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1140" w:bottom="988" w:left="2332" w:header="0" w:footer="3" w:gutter="0"/>
          <w:cols w:space="720"/>
          <w:noEndnote/>
          <w:rtlGutter w:val="0"/>
          <w:docGrid w:linePitch="360"/>
        </w:sectPr>
      </w:pPr>
    </w:p>
    <w:p>
      <w:pPr>
        <w:pStyle w:val="Style2"/>
        <w:keepNext w:val="0"/>
        <w:keepLines w:val="0"/>
        <w:framePr w:w="2928" w:h="1171" w:wrap="none" w:vAnchor="text" w:hAnchor="page" w:x="4483" w:y="21"/>
        <w:widowControl w:val="0"/>
        <w:shd w:val="clear" w:color="auto" w:fill="auto"/>
        <w:bidi w:val="0"/>
        <w:spacing w:before="0" w:line="240" w:lineRule="auto"/>
        <w:ind w:left="0" w:right="0" w:firstLine="0"/>
        <w:jc w:val="center"/>
      </w:pPr>
      <w:r>
        <w:rPr>
          <w:color w:val="000000"/>
          <w:spacing w:val="0"/>
          <w:w w:val="100"/>
          <w:position w:val="0"/>
        </w:rPr>
        <w:t>鸿博股份有限公司</w:t>
      </w:r>
    </w:p>
    <w:p>
      <w:pPr>
        <w:pStyle w:val="Style2"/>
        <w:keepNext w:val="0"/>
        <w:keepLines w:val="0"/>
        <w:framePr w:w="2928" w:h="1171" w:wrap="none" w:vAnchor="text" w:hAnchor="page" w:x="4483" w:y="2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5"/>
        <w:keepNext w:val="0"/>
        <w:keepLines w:val="0"/>
        <w:framePr w:w="2117" w:h="456" w:wrap="none" w:vAnchor="text" w:hAnchor="page" w:x="4886" w:y="10081"/>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0" behindDoc="1" locked="0" layoutInCell="1" allowOverlap="1">
            <wp:simplePos x="0" y="0"/>
            <wp:positionH relativeFrom="page">
              <wp:posOffset>1480820</wp:posOffset>
            </wp:positionH>
            <wp:positionV relativeFrom="paragraph">
              <wp:posOffset>871855</wp:posOffset>
            </wp:positionV>
            <wp:extent cx="4590415" cy="493141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590415" cy="49314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022" w:right="1140" w:bottom="988" w:left="2332" w:header="0" w:footer="3" w:gutter="0"/>
          <w:cols w:space="720"/>
          <w:noEndnote/>
          <w:rtlGutter w:val="0"/>
          <w:docGrid w:linePitch="360"/>
        </w:sectPr>
      </w:pPr>
    </w:p>
    <w:p>
      <w:pPr>
        <w:pStyle w:val="Style8"/>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第一节重要提示、目录和释义</w:t>
      </w:r>
    </w:p>
    <w:p>
      <w:pPr>
        <w:pStyle w:val="Style10"/>
        <w:keepNext w:val="0"/>
        <w:keepLines w:val="0"/>
        <w:widowControl w:val="0"/>
        <w:shd w:val="clear" w:color="auto" w:fill="auto"/>
        <w:bidi w:val="0"/>
        <w:spacing w:before="0" w:line="470" w:lineRule="exact"/>
        <w:ind w:left="0" w:right="0" w:firstLine="500"/>
        <w:jc w:val="both"/>
        <w:rPr>
          <w:sz w:val="22"/>
          <w:szCs w:val="22"/>
        </w:rPr>
      </w:pPr>
      <w:bookmarkStart w:id="0" w:name="bookmark0"/>
      <w:r>
        <w:rPr>
          <w:b/>
          <w:bCs/>
          <w:color w:val="000000"/>
          <w:spacing w:val="0"/>
          <w:w w:val="100"/>
          <w:position w:val="0"/>
          <w:sz w:val="22"/>
          <w:szCs w:val="22"/>
        </w:rPr>
        <w:t>公司董事会、监事会及董事、监事、高级管理人员保证年度报告内容的真实、准确、完 整，不存在虚假记载、误导性陈述或重大遗漏，并承担个别和连带的法律责任。</w:t>
      </w:r>
      <w:bookmarkEnd w:id="0"/>
    </w:p>
    <w:p>
      <w:pPr>
        <w:pStyle w:val="Style10"/>
        <w:keepNext w:val="0"/>
        <w:keepLines w:val="0"/>
        <w:widowControl w:val="0"/>
        <w:shd w:val="clear" w:color="auto" w:fill="auto"/>
        <w:bidi w:val="0"/>
        <w:spacing w:before="0" w:line="466" w:lineRule="exact"/>
        <w:ind w:left="0" w:right="0" w:firstLine="500"/>
        <w:jc w:val="both"/>
        <w:rPr>
          <w:sz w:val="22"/>
          <w:szCs w:val="22"/>
        </w:rPr>
      </w:pPr>
      <w:r>
        <w:rPr>
          <w:b/>
          <w:bCs/>
          <w:color w:val="000000"/>
          <w:spacing w:val="0"/>
          <w:w w:val="100"/>
          <w:position w:val="0"/>
          <w:sz w:val="22"/>
          <w:szCs w:val="22"/>
        </w:rPr>
        <w:t>公司负责人毛伟、主管会计工作负责人浦威及会计机构负责人</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会计主管人员</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林辉妹声 明：保证本年度报告中财务报告的真实、准确、完整。</w:t>
      </w:r>
    </w:p>
    <w:p>
      <w:pPr>
        <w:pStyle w:val="Style10"/>
        <w:keepNext w:val="0"/>
        <w:keepLines w:val="0"/>
        <w:widowControl w:val="0"/>
        <w:shd w:val="clear" w:color="auto" w:fill="auto"/>
        <w:bidi w:val="0"/>
        <w:spacing w:before="0" w:line="470" w:lineRule="exact"/>
        <w:ind w:left="0" w:right="0" w:firstLine="500"/>
        <w:jc w:val="both"/>
        <w:rPr>
          <w:sz w:val="22"/>
          <w:szCs w:val="22"/>
        </w:rPr>
      </w:pPr>
      <w:r>
        <w:rPr>
          <w:b/>
          <w:bCs/>
          <w:color w:val="000000"/>
          <w:spacing w:val="0"/>
          <w:w w:val="100"/>
          <w:position w:val="0"/>
          <w:sz w:val="22"/>
          <w:szCs w:val="22"/>
        </w:rPr>
        <w:t>所有董事均已出席了审议本报告的董事会会议。</w:t>
      </w:r>
    </w:p>
    <w:p>
      <w:pPr>
        <w:pStyle w:val="Style10"/>
        <w:keepNext w:val="0"/>
        <w:keepLines w:val="0"/>
        <w:widowControl w:val="0"/>
        <w:shd w:val="clear" w:color="auto" w:fill="auto"/>
        <w:bidi w:val="0"/>
        <w:spacing w:before="0" w:line="461" w:lineRule="exact"/>
        <w:ind w:left="0" w:right="0" w:firstLine="500"/>
        <w:jc w:val="both"/>
        <w:rPr>
          <w:sz w:val="22"/>
          <w:szCs w:val="22"/>
        </w:rPr>
      </w:pPr>
      <w:r>
        <w:rPr>
          <w:b/>
          <w:bCs/>
          <w:color w:val="000000"/>
          <w:spacing w:val="0"/>
          <w:w w:val="100"/>
          <w:position w:val="0"/>
          <w:sz w:val="22"/>
          <w:szCs w:val="22"/>
        </w:rPr>
        <w:t>本报告中涉及未来计划等前瞻性描述，不构成公司对投资者的实质性承诺，能否实现取 决于市场状况、经营管理团队等多种因素，存在不确定性，请投资者注意投资风险。</w:t>
      </w:r>
    </w:p>
    <w:p>
      <w:pPr>
        <w:pStyle w:val="Style10"/>
        <w:keepNext w:val="0"/>
        <w:keepLines w:val="0"/>
        <w:widowControl w:val="0"/>
        <w:shd w:val="clear" w:color="auto" w:fill="auto"/>
        <w:bidi w:val="0"/>
        <w:spacing w:before="0" w:line="472" w:lineRule="exact"/>
        <w:ind w:left="0" w:right="0" w:firstLine="500"/>
        <w:jc w:val="both"/>
        <w:rPr>
          <w:sz w:val="22"/>
          <w:szCs w:val="22"/>
        </w:rPr>
        <w:sectPr>
          <w:footnotePr>
            <w:pos w:val="pageBottom"/>
            <w:numFmt w:val="decimal"/>
            <w:numRestart w:val="continuous"/>
          </w:footnotePr>
          <w:pgSz w:w="11900" w:h="16840"/>
          <w:pgMar w:top="1738" w:right="1114" w:bottom="1738" w:left="1104" w:header="0" w:footer="3" w:gutter="0"/>
          <w:cols w:space="720"/>
          <w:noEndnote/>
          <w:rtlGutter w:val="0"/>
          <w:docGrid w:linePitch="360"/>
        </w:sectPr>
      </w:pPr>
      <w:r>
        <w:rPr>
          <w:b/>
          <w:bCs/>
          <w:color w:val="000000"/>
          <w:spacing w:val="0"/>
          <w:w w:val="100"/>
          <w:position w:val="0"/>
          <w:sz w:val="22"/>
          <w:szCs w:val="22"/>
        </w:rPr>
        <w:t>公司经本次董事会审议通过的利润分配预案为：以未来实施</w:t>
      </w: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2"/>
          <w:szCs w:val="22"/>
        </w:rPr>
        <w:t>年度利润分配方案的股 权登记日的总股本（截至披露日的总股本为</w:t>
      </w:r>
      <w:r>
        <w:rPr>
          <w:rFonts w:ascii="Times New Roman" w:eastAsia="Times New Roman" w:hAnsi="Times New Roman" w:cs="Times New Roman"/>
          <w:b/>
          <w:bCs/>
          <w:color w:val="000000"/>
          <w:spacing w:val="0"/>
          <w:w w:val="100"/>
          <w:position w:val="0"/>
          <w:sz w:val="24"/>
          <w:szCs w:val="24"/>
        </w:rPr>
        <w:t>498,344,263</w:t>
      </w:r>
      <w:r>
        <w:rPr>
          <w:b/>
          <w:bCs/>
          <w:color w:val="000000"/>
          <w:spacing w:val="0"/>
          <w:w w:val="100"/>
          <w:position w:val="0"/>
          <w:sz w:val="22"/>
          <w:szCs w:val="22"/>
        </w:rPr>
        <w:t>股）减去公司回购专户股数（截至披 露日为</w:t>
      </w:r>
      <w:r>
        <w:rPr>
          <w:rFonts w:ascii="Times New Roman" w:eastAsia="Times New Roman" w:hAnsi="Times New Roman" w:cs="Times New Roman"/>
          <w:b/>
          <w:bCs/>
          <w:color w:val="000000"/>
          <w:spacing w:val="0"/>
          <w:w w:val="100"/>
          <w:position w:val="0"/>
          <w:sz w:val="24"/>
          <w:szCs w:val="24"/>
        </w:rPr>
        <w:t>5,155,550</w:t>
      </w:r>
      <w:r>
        <w:rPr>
          <w:b/>
          <w:bCs/>
          <w:color w:val="000000"/>
          <w:spacing w:val="0"/>
          <w:w w:val="100"/>
          <w:position w:val="0"/>
          <w:sz w:val="22"/>
          <w:szCs w:val="22"/>
        </w:rPr>
        <w:t>股）为基数，向全体股东每</w:t>
      </w:r>
      <w:r>
        <w:rPr>
          <w:rFonts w:ascii="Times New Roman" w:eastAsia="Times New Roman" w:hAnsi="Times New Roman" w:cs="Times New Roman"/>
          <w:b/>
          <w:bCs/>
          <w:color w:val="000000"/>
          <w:spacing w:val="0"/>
          <w:w w:val="100"/>
          <w:position w:val="0"/>
          <w:sz w:val="24"/>
          <w:szCs w:val="24"/>
        </w:rPr>
        <w:t>10</w:t>
      </w:r>
      <w:r>
        <w:rPr>
          <w:b/>
          <w:bCs/>
          <w:color w:val="000000"/>
          <w:spacing w:val="0"/>
          <w:w w:val="100"/>
          <w:position w:val="0"/>
          <w:sz w:val="22"/>
          <w:szCs w:val="22"/>
        </w:rPr>
        <w:t>股派发现金红利</w:t>
      </w:r>
      <w:r>
        <w:rPr>
          <w:rFonts w:ascii="Times New Roman" w:eastAsia="Times New Roman" w:hAnsi="Times New Roman" w:cs="Times New Roman"/>
          <w:b/>
          <w:bCs/>
          <w:color w:val="000000"/>
          <w:spacing w:val="0"/>
          <w:w w:val="100"/>
          <w:position w:val="0"/>
          <w:sz w:val="24"/>
          <w:szCs w:val="24"/>
        </w:rPr>
        <w:t>0.00</w:t>
      </w:r>
      <w:r>
        <w:rPr>
          <w:b/>
          <w:bCs/>
          <w:color w:val="000000"/>
          <w:spacing w:val="0"/>
          <w:w w:val="100"/>
          <w:position w:val="0"/>
          <w:sz w:val="22"/>
          <w:szCs w:val="22"/>
        </w:rPr>
        <w:t>元（含税），送红股</w:t>
      </w:r>
      <w:r>
        <w:rPr>
          <w:rFonts w:ascii="Times New Roman" w:eastAsia="Times New Roman" w:hAnsi="Times New Roman" w:cs="Times New Roman"/>
          <w:b/>
          <w:bCs/>
          <w:color w:val="000000"/>
          <w:spacing w:val="0"/>
          <w:w w:val="100"/>
          <w:position w:val="0"/>
          <w:sz w:val="24"/>
          <w:szCs w:val="24"/>
        </w:rPr>
        <w:t xml:space="preserve">0 </w:t>
      </w:r>
      <w:r>
        <w:rPr>
          <w:b/>
          <w:bCs/>
          <w:color w:val="000000"/>
          <w:spacing w:val="0"/>
          <w:w w:val="100"/>
          <w:position w:val="0"/>
          <w:sz w:val="22"/>
          <w:szCs w:val="22"/>
        </w:rPr>
        <w:t>股（含税），不以公积金转增股本。</w:t>
      </w:r>
    </w:p>
    <w:p>
      <w:pPr>
        <w:pStyle w:val="Style2"/>
        <w:keepNext w:val="0"/>
        <w:keepLines w:val="0"/>
        <w:widowControl w:val="0"/>
        <w:shd w:val="clear" w:color="auto" w:fill="auto"/>
        <w:bidi w:val="0"/>
        <w:spacing w:before="0" w:after="1540" w:line="240" w:lineRule="auto"/>
        <w:ind w:left="0" w:right="0" w:firstLine="0"/>
        <w:jc w:val="center"/>
      </w:pPr>
      <w:r>
        <w:rPr>
          <w:color w:val="000000"/>
          <w:spacing w:val="0"/>
          <w:w w:val="100"/>
          <w:position w:val="0"/>
        </w:rPr>
        <w:t>目录</w:t>
      </w:r>
    </w:p>
    <w:p>
      <w:pPr>
        <w:pStyle w:val="Style14"/>
        <w:keepNext w:val="0"/>
        <w:keepLines w:val="0"/>
        <w:widowControl w:val="0"/>
        <w:shd w:val="clear" w:color="auto" w:fill="auto"/>
        <w:tabs>
          <w:tab w:leader="dot" w:pos="9612" w:val="right"/>
        </w:tabs>
        <w:bidi w:val="0"/>
        <w:spacing w:before="0" w:line="240" w:lineRule="auto"/>
        <w:ind w:left="0" w:right="0" w:firstLine="0"/>
        <w:jc w:val="left"/>
        <w:rPr>
          <w:sz w:val="18"/>
          <w:szCs w:val="18"/>
        </w:rPr>
      </w:pPr>
      <w:r>
        <w:fldChar w:fldCharType="begin"/>
        <w:instrText xml:space="preserve"> TOC \o "1-5" \h \z </w:instrText>
        <w:fldChar w:fldCharType="separate"/>
      </w:r>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p>
    <w:p>
      <w:pPr>
        <w:pStyle w:val="Style14"/>
        <w:keepNext w:val="0"/>
        <w:keepLines w:val="0"/>
        <w:widowControl w:val="0"/>
        <w:shd w:val="clear" w:color="auto" w:fill="auto"/>
        <w:tabs>
          <w:tab w:leader="dot" w:pos="9612" w:val="right"/>
        </w:tabs>
        <w:bidi w:val="0"/>
        <w:spacing w:before="0" w:line="240" w:lineRule="auto"/>
        <w:ind w:left="0" w:right="0" w:firstLine="0"/>
        <w:jc w:val="left"/>
        <w:rPr>
          <w:sz w:val="18"/>
          <w:szCs w:val="18"/>
        </w:rPr>
      </w:pPr>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w:t>
      </w:r>
    </w:p>
    <w:p>
      <w:pPr>
        <w:pStyle w:val="Style14"/>
        <w:keepNext w:val="0"/>
        <w:keepLines w:val="0"/>
        <w:widowControl w:val="0"/>
        <w:shd w:val="clear" w:color="auto" w:fill="auto"/>
        <w:tabs>
          <w:tab w:leader="dot" w:pos="9612" w:val="right"/>
        </w:tabs>
        <w:bidi w:val="0"/>
        <w:spacing w:before="0" w:line="240" w:lineRule="auto"/>
        <w:ind w:left="0" w:right="0" w:firstLine="0"/>
        <w:jc w:val="left"/>
        <w:rPr>
          <w:sz w:val="18"/>
          <w:szCs w:val="18"/>
        </w:rPr>
      </w:pPr>
      <w:r>
        <w:rPr>
          <w:color w:val="000000"/>
          <w:spacing w:val="0"/>
          <w:w w:val="100"/>
          <w:position w:val="0"/>
          <w:sz w:val="17"/>
          <w:szCs w:val="17"/>
        </w:rPr>
        <w:t>第三节管理层讨论与分析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p>
    <w:p>
      <w:pPr>
        <w:pStyle w:val="Style14"/>
        <w:keepNext w:val="0"/>
        <w:keepLines w:val="0"/>
        <w:widowControl w:val="0"/>
        <w:shd w:val="clear" w:color="auto" w:fill="auto"/>
        <w:tabs>
          <w:tab w:leader="dot" w:pos="9612" w:val="right"/>
        </w:tabs>
        <w:bidi w:val="0"/>
        <w:spacing w:before="0" w:line="240" w:lineRule="auto"/>
        <w:ind w:left="0" w:right="0" w:firstLine="0"/>
        <w:jc w:val="left"/>
        <w:rPr>
          <w:sz w:val="18"/>
          <w:szCs w:val="18"/>
        </w:rPr>
      </w:pPr>
      <w:r>
        <w:rPr>
          <w:color w:val="000000"/>
          <w:spacing w:val="0"/>
          <w:w w:val="100"/>
          <w:position w:val="0"/>
          <w:sz w:val="17"/>
          <w:szCs w:val="17"/>
        </w:rPr>
        <w:t>第四节公司治理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31</w:t>
      </w:r>
    </w:p>
    <w:p>
      <w:pPr>
        <w:pStyle w:val="Style14"/>
        <w:keepNext w:val="0"/>
        <w:keepLines w:val="0"/>
        <w:widowControl w:val="0"/>
        <w:shd w:val="clear" w:color="auto" w:fill="auto"/>
        <w:tabs>
          <w:tab w:leader="dot" w:pos="9612" w:val="right"/>
        </w:tabs>
        <w:bidi w:val="0"/>
        <w:spacing w:before="0" w:line="240" w:lineRule="auto"/>
        <w:ind w:left="0" w:right="0" w:firstLine="0"/>
        <w:jc w:val="left"/>
        <w:rPr>
          <w:sz w:val="18"/>
          <w:szCs w:val="18"/>
        </w:rPr>
      </w:pPr>
      <w:r>
        <w:rPr>
          <w:color w:val="000000"/>
          <w:spacing w:val="0"/>
          <w:w w:val="100"/>
          <w:position w:val="0"/>
          <w:sz w:val="17"/>
          <w:szCs w:val="17"/>
        </w:rPr>
        <w:t>第五节环境和社会责任</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50</w:t>
      </w:r>
    </w:p>
    <w:p>
      <w:pPr>
        <w:pStyle w:val="Style14"/>
        <w:keepNext w:val="0"/>
        <w:keepLines w:val="0"/>
        <w:widowControl w:val="0"/>
        <w:shd w:val="clear" w:color="auto" w:fill="auto"/>
        <w:tabs>
          <w:tab w:leader="dot" w:pos="9612" w:val="right"/>
        </w:tabs>
        <w:bidi w:val="0"/>
        <w:spacing w:before="0" w:line="240" w:lineRule="auto"/>
        <w:ind w:left="0" w:right="0" w:firstLine="0"/>
        <w:jc w:val="left"/>
        <w:rPr>
          <w:sz w:val="18"/>
          <w:szCs w:val="18"/>
        </w:rPr>
      </w:pPr>
      <w:r>
        <w:rPr>
          <w:color w:val="000000"/>
          <w:spacing w:val="0"/>
          <w:w w:val="100"/>
          <w:position w:val="0"/>
          <w:sz w:val="17"/>
          <w:szCs w:val="17"/>
        </w:rPr>
        <w:t>第六节重要事项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58</w:t>
      </w:r>
    </w:p>
    <w:p>
      <w:pPr>
        <w:pStyle w:val="Style14"/>
        <w:keepNext w:val="0"/>
        <w:keepLines w:val="0"/>
        <w:widowControl w:val="0"/>
        <w:shd w:val="clear" w:color="auto" w:fill="auto"/>
        <w:tabs>
          <w:tab w:leader="dot" w:pos="9612" w:val="right"/>
        </w:tabs>
        <w:bidi w:val="0"/>
        <w:spacing w:before="0" w:line="240" w:lineRule="auto"/>
        <w:ind w:left="0" w:right="0" w:firstLine="0"/>
        <w:jc w:val="left"/>
        <w:rPr>
          <w:sz w:val="18"/>
          <w:szCs w:val="18"/>
        </w:rPr>
      </w:pPr>
      <w:r>
        <w:rPr>
          <w:color w:val="000000"/>
          <w:spacing w:val="0"/>
          <w:w w:val="100"/>
          <w:position w:val="0"/>
          <w:sz w:val="17"/>
          <w:szCs w:val="17"/>
        </w:rPr>
        <w:t>第七节股份变动及股东情况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66</w:t>
      </w:r>
    </w:p>
    <w:p>
      <w:pPr>
        <w:pStyle w:val="Style14"/>
        <w:keepNext w:val="0"/>
        <w:keepLines w:val="0"/>
        <w:widowControl w:val="0"/>
        <w:shd w:val="clear" w:color="auto" w:fill="auto"/>
        <w:tabs>
          <w:tab w:leader="dot" w:pos="9612" w:val="right"/>
        </w:tabs>
        <w:bidi w:val="0"/>
        <w:spacing w:before="0" w:line="240" w:lineRule="auto"/>
        <w:ind w:left="0" w:right="0" w:firstLine="0"/>
        <w:jc w:val="left"/>
        <w:rPr>
          <w:sz w:val="18"/>
          <w:szCs w:val="18"/>
        </w:rPr>
      </w:pPr>
      <w:r>
        <w:rPr>
          <w:color w:val="000000"/>
          <w:spacing w:val="0"/>
          <w:w w:val="100"/>
          <w:position w:val="0"/>
          <w:sz w:val="17"/>
          <w:szCs w:val="17"/>
        </w:rPr>
        <w:t>第八节优先股相关情况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72</w:t>
      </w:r>
    </w:p>
    <w:p>
      <w:pPr>
        <w:pStyle w:val="Style14"/>
        <w:keepNext w:val="0"/>
        <w:keepLines w:val="0"/>
        <w:widowControl w:val="0"/>
        <w:shd w:val="clear" w:color="auto" w:fill="auto"/>
        <w:tabs>
          <w:tab w:leader="dot" w:pos="9612" w:val="right"/>
        </w:tabs>
        <w:bidi w:val="0"/>
        <w:spacing w:before="0" w:line="240" w:lineRule="auto"/>
        <w:ind w:left="0" w:right="0" w:firstLine="0"/>
        <w:jc w:val="left"/>
        <w:rPr>
          <w:sz w:val="18"/>
          <w:szCs w:val="18"/>
        </w:rPr>
      </w:pPr>
      <w:r>
        <w:rPr>
          <w:color w:val="000000"/>
          <w:spacing w:val="0"/>
          <w:w w:val="100"/>
          <w:position w:val="0"/>
          <w:sz w:val="17"/>
          <w:szCs w:val="17"/>
        </w:rPr>
        <w:t>第九节债券相关情况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73</w:t>
      </w:r>
    </w:p>
    <w:p>
      <w:pPr>
        <w:pStyle w:val="Style14"/>
        <w:keepNext w:val="0"/>
        <w:keepLines w:val="0"/>
        <w:widowControl w:val="0"/>
        <w:shd w:val="clear" w:color="auto" w:fill="auto"/>
        <w:tabs>
          <w:tab w:leader="dot" w:pos="9612"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2919" w:right="1119" w:bottom="2919" w:left="1109" w:header="0" w:footer="3" w:gutter="0"/>
          <w:cols w:space="720"/>
          <w:noEndnote/>
          <w:rtlGutter w:val="0"/>
          <w:docGrid w:linePitch="360"/>
        </w:sectPr>
      </w:pPr>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74</w:t>
      </w:r>
      <w:r>
        <w:fldChar w:fldCharType="end"/>
      </w:r>
    </w:p>
    <w:p>
      <w:pPr>
        <w:pStyle w:val="Style8"/>
        <w:keepNext w:val="0"/>
        <w:keepLines w:val="0"/>
        <w:widowControl w:val="0"/>
        <w:shd w:val="clear" w:color="auto" w:fill="auto"/>
        <w:bidi w:val="0"/>
        <w:spacing w:before="980" w:after="700" w:line="240" w:lineRule="auto"/>
        <w:ind w:left="0" w:right="0" w:firstLine="0"/>
        <w:jc w:val="center"/>
      </w:pPr>
      <w:r>
        <w:rPr>
          <w:color w:val="000000"/>
          <w:spacing w:val="0"/>
          <w:w w:val="100"/>
          <w:position w:val="0"/>
        </w:rPr>
        <w:t>备查文件目录</w:t>
      </w:r>
    </w:p>
    <w:p>
      <w:pPr>
        <w:pStyle w:val="Style10"/>
        <w:keepNext w:val="0"/>
        <w:keepLines w:val="0"/>
        <w:widowControl w:val="0"/>
        <w:shd w:val="clear" w:color="auto" w:fill="auto"/>
        <w:tabs>
          <w:tab w:pos="909" w:val="left"/>
        </w:tabs>
        <w:bidi w:val="0"/>
        <w:spacing w:before="0" w:after="0" w:line="480" w:lineRule="exact"/>
        <w:ind w:left="0" w:right="0" w:firstLine="440"/>
        <w:jc w:val="left"/>
      </w:pPr>
      <w:bookmarkStart w:id="1" w:name="bookmark1"/>
      <w:r>
        <w:rPr>
          <w:color w:val="000000"/>
          <w:spacing w:val="0"/>
          <w:w w:val="100"/>
          <w:position w:val="0"/>
        </w:rPr>
        <w:t>一</w:t>
      </w:r>
      <w:bookmarkEnd w:id="1"/>
      <w:r>
        <w:rPr>
          <w:color w:val="000000"/>
          <w:spacing w:val="0"/>
          <w:w w:val="100"/>
          <w:position w:val="0"/>
        </w:rPr>
        <w:t>、</w:t>
        <w:tab/>
        <w:t>载有公司负责人、主管会计工作负责人及会计机构负责人签名并盖章的财务报表。</w:t>
      </w:r>
    </w:p>
    <w:p>
      <w:pPr>
        <w:pStyle w:val="Style10"/>
        <w:keepNext w:val="0"/>
        <w:keepLines w:val="0"/>
        <w:widowControl w:val="0"/>
        <w:shd w:val="clear" w:color="auto" w:fill="auto"/>
        <w:tabs>
          <w:tab w:pos="909" w:val="left"/>
        </w:tabs>
        <w:bidi w:val="0"/>
        <w:spacing w:before="0" w:after="0" w:line="480" w:lineRule="exact"/>
        <w:ind w:left="0" w:right="0" w:firstLine="440"/>
        <w:jc w:val="left"/>
      </w:pPr>
      <w:bookmarkStart w:id="2" w:name="bookmark2"/>
      <w:r>
        <w:rPr>
          <w:color w:val="000000"/>
          <w:spacing w:val="0"/>
          <w:w w:val="100"/>
          <w:position w:val="0"/>
        </w:rPr>
        <w:t>二</w:t>
      </w:r>
      <w:bookmarkEnd w:id="2"/>
      <w:r>
        <w:rPr>
          <w:color w:val="000000"/>
          <w:spacing w:val="0"/>
          <w:w w:val="100"/>
          <w:position w:val="0"/>
        </w:rPr>
        <w:t>、</w:t>
        <w:tab/>
        <w:t>载有会计师事务所盖章、注册会计师签名并盖章的审计报告原件。</w:t>
      </w:r>
    </w:p>
    <w:p>
      <w:pPr>
        <w:pStyle w:val="Style10"/>
        <w:keepNext w:val="0"/>
        <w:keepLines w:val="0"/>
        <w:widowControl w:val="0"/>
        <w:shd w:val="clear" w:color="auto" w:fill="auto"/>
        <w:tabs>
          <w:tab w:pos="914" w:val="left"/>
        </w:tabs>
        <w:bidi w:val="0"/>
        <w:spacing w:before="0" w:after="0" w:line="480" w:lineRule="exact"/>
        <w:ind w:left="0" w:right="0" w:firstLine="440"/>
        <w:jc w:val="left"/>
      </w:pPr>
      <w:bookmarkStart w:id="3" w:name="bookmark3"/>
      <w:r>
        <w:rPr>
          <w:color w:val="000000"/>
          <w:spacing w:val="0"/>
          <w:w w:val="100"/>
          <w:position w:val="0"/>
        </w:rPr>
        <w:t>三</w:t>
      </w:r>
      <w:bookmarkEnd w:id="3"/>
      <w:r>
        <w:rPr>
          <w:color w:val="000000"/>
          <w:spacing w:val="0"/>
          <w:w w:val="100"/>
          <w:position w:val="0"/>
        </w:rPr>
        <w:t>、</w:t>
        <w:tab/>
        <w:t>报告期内在中国证监会指定信息披露载体上公开披露过的所有公司文件的正本及公告的原稿。</w:t>
      </w:r>
    </w:p>
    <w:p>
      <w:pPr>
        <w:pStyle w:val="Style10"/>
        <w:keepNext w:val="0"/>
        <w:keepLines w:val="0"/>
        <w:widowControl w:val="0"/>
        <w:shd w:val="clear" w:color="auto" w:fill="auto"/>
        <w:tabs>
          <w:tab w:pos="914" w:val="left"/>
        </w:tabs>
        <w:bidi w:val="0"/>
        <w:spacing w:before="0" w:after="0" w:line="480" w:lineRule="exact"/>
        <w:ind w:left="0" w:right="0" w:firstLine="440"/>
        <w:jc w:val="left"/>
      </w:pPr>
      <w:bookmarkStart w:id="4" w:name="bookmark4"/>
      <w:r>
        <w:rPr>
          <w:color w:val="000000"/>
          <w:spacing w:val="0"/>
          <w:w w:val="100"/>
          <w:position w:val="0"/>
        </w:rPr>
        <w:t>四</w:t>
      </w:r>
      <w:bookmarkEnd w:id="4"/>
      <w:r>
        <w:rPr>
          <w:color w:val="000000"/>
          <w:spacing w:val="0"/>
          <w:w w:val="100"/>
          <w:position w:val="0"/>
        </w:rPr>
        <w:t>、</w:t>
        <w:tab/>
        <w:t>载有法定代表人签名的公司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年年度报告文本。</w:t>
      </w:r>
    </w:p>
    <w:p>
      <w:pPr>
        <w:pStyle w:val="Style10"/>
        <w:keepNext w:val="0"/>
        <w:keepLines w:val="0"/>
        <w:widowControl w:val="0"/>
        <w:shd w:val="clear" w:color="auto" w:fill="auto"/>
        <w:tabs>
          <w:tab w:pos="901" w:val="left"/>
        </w:tabs>
        <w:bidi w:val="0"/>
        <w:spacing w:before="0" w:after="0" w:line="480" w:lineRule="exact"/>
        <w:ind w:left="0" w:right="0" w:firstLine="440"/>
        <w:jc w:val="left"/>
      </w:pPr>
      <w:bookmarkStart w:id="5" w:name="bookmark5"/>
      <w:r>
        <w:rPr>
          <w:color w:val="000000"/>
          <w:spacing w:val="0"/>
          <w:w w:val="100"/>
          <w:position w:val="0"/>
        </w:rPr>
        <w:t>五</w:t>
      </w:r>
      <w:bookmarkEnd w:id="5"/>
      <w:r>
        <w:rPr>
          <w:color w:val="000000"/>
          <w:spacing w:val="0"/>
          <w:w w:val="100"/>
          <w:position w:val="0"/>
        </w:rPr>
        <w:t>、</w:t>
        <w:tab/>
        <w:t>以上备查文件的备置地点：福建省福州市仓山区南江滨西大道</w:t>
      </w:r>
      <w:r>
        <w:rPr>
          <w:rFonts w:ascii="Times New Roman" w:eastAsia="Times New Roman" w:hAnsi="Times New Roman" w:cs="Times New Roman"/>
          <w:color w:val="000000"/>
          <w:spacing w:val="0"/>
          <w:w w:val="100"/>
          <w:position w:val="0"/>
        </w:rPr>
        <w:t>26</w:t>
      </w:r>
      <w:r>
        <w:rPr>
          <w:color w:val="000000"/>
          <w:spacing w:val="0"/>
          <w:w w:val="100"/>
          <w:position w:val="0"/>
        </w:rPr>
        <w:t>号鸿博梅岭观海</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21</w:t>
      </w:r>
      <w:r>
        <w:rPr>
          <w:color w:val="000000"/>
          <w:spacing w:val="0"/>
          <w:w w:val="100"/>
          <w:position w:val="0"/>
        </w:rPr>
        <w:t>层公司 证券部。</w:t>
      </w:r>
      <w:r>
        <w:br w:type="page"/>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公司或本公司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寓泰控股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河南寓泰控股有限公司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辉熠贸易</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河南辉熠贸易有限公司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鸿博昊天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鸿博昊天科技有限公司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昊天国彩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北京昊天国彩印刷有限公司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四川鸿海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四川鸿海印务有限公司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鸿博数网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鸿博（福建）数据网络科技股份有限公司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鸿博致远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福建鸿博致远信息科技有限公司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重庆鸿海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重庆市鸿海印务有限公司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无锡双龙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无锡双龙信息纸有限公司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广州彩创</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广州彩创网络技术有限公司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港龙贸易</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福州港龙贸易有限公司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北京中科彩技术有限公司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科信盛彩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北京科信盛彩投资有限公司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玉屏池酒业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四川玉屏池酒业有限公司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中证信用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中证信用增进股份有限公司</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开封鸿博</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开封鸿博股权投资有限公司</w:t>
            </w:r>
          </w:p>
        </w:tc>
      </w:tr>
    </w:tbl>
    <w:p>
      <w:pPr>
        <w:spacing w:lineRule="exact" w:line="1"/>
        <w:rPr>
          <w:sz w:val="2"/>
          <w:szCs w:val="2"/>
        </w:rPr>
      </w:pPr>
      <w:r>
        <w:br w:type="page"/>
      </w: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rPr>
        <w:t>第二节公司简介和主要财务指标</w:t>
      </w:r>
    </w:p>
    <w:p>
      <w:pPr>
        <w:pStyle w:val="Style21"/>
        <w:keepNext/>
        <w:keepLines/>
        <w:widowControl w:val="0"/>
        <w:shd w:val="clear" w:color="auto" w:fill="auto"/>
        <w:bidi w:val="0"/>
        <w:spacing w:before="0" w:after="32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rPr>
        <w:t>一</w:t>
      </w:r>
      <w:bookmarkEnd w:id="9"/>
      <w:r>
        <w:rPr>
          <w:color w:val="000000"/>
          <w:spacing w:val="0"/>
          <w:w w:val="100"/>
          <w:position w:val="0"/>
        </w:rPr>
        <w:t>、公司信息</w:t>
      </w:r>
      <w:bookmarkEnd w:id="10"/>
      <w:bookmarkEnd w:id="7"/>
      <w:bookmarkEnd w:id="8"/>
      <w:bookmarkEnd w:id="6"/>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鸿博股份</w:t>
              <w:tab/>
              <w:t>股票代码</w:t>
              <w:tab/>
            </w:r>
            <w:r>
              <w:rPr>
                <w:rFonts w:ascii="Times New Roman" w:eastAsia="Times New Roman" w:hAnsi="Times New Roman" w:cs="Times New Roman"/>
                <w:color w:val="000000"/>
                <w:spacing w:val="0"/>
                <w:w w:val="100"/>
                <w:position w:val="0"/>
                <w:sz w:val="18"/>
                <w:szCs w:val="18"/>
              </w:rPr>
              <w:t>002229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鸿博股份有限公司</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HONGBO CO.,LTD.</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HONGBO</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毛伟</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福建省福州市金山开发区金达路</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福建省福州市仓山区南江滨西大道</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号鸿博梅岭观海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"http://www.hb-print" </w:instrText>
            </w:r>
            <w:r>
              <w:fldChar w:fldCharType="separate"/>
            </w:r>
            <w:r>
              <w:rPr>
                <w:rFonts w:ascii="Times New Roman" w:eastAsia="Times New Roman" w:hAnsi="Times New Roman" w:cs="Times New Roman"/>
                <w:color w:val="000000"/>
                <w:spacing w:val="0"/>
                <w:w w:val="100"/>
                <w:position w:val="0"/>
                <w:sz w:val="18"/>
                <w:szCs w:val="18"/>
              </w:rPr>
              <w:t>www.hb-print</w:t>
            </w:r>
            <w:r>
              <w:fldChar w:fldCharType="end"/>
            </w:r>
            <w:r>
              <w:rPr>
                <w:rFonts w:ascii="Times New Roman" w:eastAsia="Times New Roman" w:hAnsi="Times New Roman" w:cs="Times New Roman"/>
                <w:color w:val="000000"/>
                <w:spacing w:val="0"/>
                <w:w w:val="100"/>
                <w:position w:val="0"/>
                <w:sz w:val="18"/>
                <w:szCs w:val="18"/>
              </w:rPr>
              <w:t>. com. cn</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"mailto:hongbo-printing@hongbo.net.cn" </w:instrText>
            </w:r>
            <w:r>
              <w:fldChar w:fldCharType="separate"/>
            </w:r>
            <w:r>
              <w:rPr>
                <w:rFonts w:ascii="Times New Roman" w:eastAsia="Times New Roman" w:hAnsi="Times New Roman" w:cs="Times New Roman"/>
                <w:color w:val="000000"/>
                <w:spacing w:val="0"/>
                <w:w w:val="100"/>
                <w:position w:val="0"/>
                <w:sz w:val="18"/>
                <w:szCs w:val="18"/>
              </w:rPr>
              <w:t>hongbo-printing@hongbo.net.cn</w:t>
            </w:r>
            <w:r>
              <w:fldChar w:fldCharType="end"/>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李泽文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游清泉</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福建省福州市仓山区南江滨西大道</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 鸿博梅岭观海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福建省福州市仓山区南江滨西大道</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 鸿博梅岭观海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0591-88070028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0591-88070028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0591-88074777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0591-88074777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"mailto:hongbo-printing@hongbo.net.cn" </w:instrText>
            </w:r>
            <w:r>
              <w:fldChar w:fldCharType="separate"/>
            </w:r>
            <w:r>
              <w:rPr>
                <w:rFonts w:ascii="Times New Roman" w:eastAsia="Times New Roman" w:hAnsi="Times New Roman" w:cs="Times New Roman"/>
                <w:color w:val="000000"/>
                <w:spacing w:val="0"/>
                <w:w w:val="100"/>
                <w:position w:val="0"/>
                <w:sz w:val="18"/>
                <w:szCs w:val="18"/>
              </w:rPr>
              <w:t>hongbo-printing@hongbo.net.cn</w:t>
            </w:r>
            <w:r>
              <w:fldChar w:fldCharType="end"/>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"mailto:hongbo-printing@hongbo.net.cn" </w:instrText>
            </w:r>
            <w:r>
              <w:fldChar w:fldCharType="separate"/>
            </w:r>
            <w:r>
              <w:rPr>
                <w:rFonts w:ascii="Times New Roman" w:eastAsia="Times New Roman" w:hAnsi="Times New Roman" w:cs="Times New Roman"/>
                <w:color w:val="000000"/>
                <w:spacing w:val="0"/>
                <w:w w:val="100"/>
                <w:position w:val="0"/>
                <w:sz w:val="18"/>
                <w:szCs w:val="18"/>
              </w:rPr>
              <w:t>hongbo-printing@hongbo.net.cn</w:t>
            </w:r>
            <w:r>
              <w:fldChar w:fldCharType="end"/>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福建省福州市仓山区南江滨西大道</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号鸿博梅岭观海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层公司</w:t>
            </w:r>
          </w:p>
        </w:tc>
      </w:tr>
    </w:tbl>
    <w:p>
      <w:pPr>
        <w:spacing w:lineRule="exact" w:line="1"/>
        <w:rPr>
          <w:sz w:val="2"/>
          <w:szCs w:val="2"/>
        </w:rPr>
      </w:pPr>
      <w:r>
        <w:br w:type="page"/>
      </w:r>
    </w:p>
    <w:tbl>
      <w:tblPr>
        <w:tblOverlap w:val="never"/>
        <w:jc w:val="center"/>
        <w:tblLayout w:type="fixed"/>
      </w:tblPr>
      <w:tblGrid>
        <w:gridCol w:w="3998"/>
        <w:gridCol w:w="5587"/>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证券部</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、注册变更情况</w:t>
      </w:r>
      <w:bookmarkEnd w:id="19"/>
      <w:bookmarkEnd w:id="20"/>
      <w:bookmarkEnd w:id="22"/>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91350000705101637F</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r>
        <w:trPr>
          <w:trHeight w:val="290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日，公司收到尤氏家族、辉熠贸易通知，尤氏家族与辉熠贸易协 议转让公司</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rPr>
              <w:t>股股份事宜经深圳证券交易所审核通过，并收到中国证券 登记结算有限责任公司深圳分公司出具的《证券过户登记确认书》，相关股份过 户登记手续已办理完毕，过户日期为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日，股份性质为无限售流通 股。本次股份转让完成后，辉熠贸易直接持有上市公司</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 股份，占上市公司总股本的</w:t>
            </w:r>
            <w:r>
              <w:rPr>
                <w:rFonts w:ascii="Times New Roman" w:eastAsia="Times New Roman" w:hAnsi="Times New Roman" w:cs="Times New Roman"/>
                <w:color w:val="000000"/>
                <w:spacing w:val="0"/>
                <w:w w:val="100"/>
                <w:position w:val="0"/>
                <w:sz w:val="18"/>
                <w:szCs w:val="18"/>
              </w:rPr>
              <w:t>8.03%</w:t>
            </w:r>
            <w:r>
              <w:rPr>
                <w:color w:val="000000"/>
                <w:spacing w:val="0"/>
                <w:w w:val="100"/>
                <w:position w:val="0"/>
              </w:rPr>
              <w:t>；同时，寓泰控股直接持有公司</w:t>
            </w:r>
            <w:r>
              <w:rPr>
                <w:rFonts w:ascii="Times New Roman" w:eastAsia="Times New Roman" w:hAnsi="Times New Roman" w:cs="Times New Roman"/>
                <w:color w:val="000000"/>
                <w:spacing w:val="0"/>
                <w:w w:val="100"/>
                <w:position w:val="0"/>
                <w:sz w:val="18"/>
                <w:szCs w:val="18"/>
              </w:rPr>
              <w:t>71,263,785</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股普通股股份，持股比例为</w:t>
            </w:r>
            <w:r>
              <w:rPr>
                <w:rFonts w:ascii="Times New Roman" w:eastAsia="Times New Roman" w:hAnsi="Times New Roman" w:cs="Times New Roman"/>
                <w:color w:val="000000"/>
                <w:spacing w:val="0"/>
                <w:w w:val="100"/>
                <w:position w:val="0"/>
                <w:sz w:val="18"/>
                <w:szCs w:val="18"/>
              </w:rPr>
              <w:t>14.30%</w:t>
            </w:r>
            <w:r>
              <w:rPr>
                <w:color w:val="000000"/>
                <w:spacing w:val="0"/>
                <w:w w:val="100"/>
                <w:position w:val="0"/>
              </w:rPr>
              <w:t>，辉熠贸易及寓泰控股成为公司的控股股东， 毛伟先生作为辉熠贸易及寓泰控股的实际控制人，合计控制的公司表决权的比例 为</w:t>
            </w:r>
            <w:r>
              <w:rPr>
                <w:rFonts w:ascii="Times New Roman" w:eastAsia="Times New Roman" w:hAnsi="Times New Roman" w:cs="Times New Roman"/>
                <w:color w:val="000000"/>
                <w:spacing w:val="0"/>
                <w:w w:val="100"/>
                <w:position w:val="0"/>
                <w:sz w:val="18"/>
                <w:szCs w:val="18"/>
              </w:rPr>
              <w:t>22.33%</w:t>
            </w:r>
            <w:r>
              <w:rPr>
                <w:color w:val="000000"/>
                <w:spacing w:val="0"/>
                <w:w w:val="100"/>
                <w:position w:val="0"/>
              </w:rPr>
              <w:t>，公司实际控制人变更为毛伟。</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、其他有关资料</w:t>
      </w:r>
      <w:bookmarkEnd w:id="23"/>
      <w:bookmarkEnd w:id="24"/>
      <w:bookmarkEnd w:id="26"/>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上会会计师事务所（特殊普通合伙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上海市静安区威海路</w:t>
            </w:r>
            <w:r>
              <w:rPr>
                <w:rFonts w:ascii="Times New Roman" w:eastAsia="Times New Roman" w:hAnsi="Times New Roman" w:cs="Times New Roman"/>
                <w:color w:val="000000"/>
                <w:spacing w:val="0"/>
                <w:w w:val="100"/>
                <w:position w:val="0"/>
                <w:sz w:val="18"/>
                <w:szCs w:val="18"/>
              </w:rPr>
              <w:t>755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翟萍萍、童维维</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、主要会计数据和财务指标</w:t>
      </w:r>
      <w:bookmarkEnd w:id="27"/>
      <w:bookmarkEnd w:id="28"/>
      <w:bookmarkEnd w:id="30"/>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574,429,448.81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473,819,659.54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626,563,387.07</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9,139,042.08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25,458,258.23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35,309,282.90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-9,597,492.56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-66,475,803.84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-13,613,066.71</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8,393,506.14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94,916,752.41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58,047,795.62</w:t>
            </w:r>
          </w:p>
        </w:tc>
      </w:tr>
    </w:tbl>
    <w:p>
      <w:pPr>
        <w:spacing w:lineRule="exact" w:line="1"/>
        <w:rPr>
          <w:sz w:val="2"/>
          <w:szCs w:val="2"/>
        </w:rPr>
      </w:pPr>
      <w:r>
        <w:br w:type="page"/>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2,417,659,774.19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2,138,347,541.25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2,123,455,510.64</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1,687,172,643.55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1,679,893,121.92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1,687,805,977.49</w:t>
            </w:r>
          </w:p>
        </w:tc>
      </w:tr>
    </w:tbl>
    <w:p>
      <w:pPr>
        <w:pStyle w:val="Style26"/>
        <w:keepNext w:val="0"/>
        <w:keepLines w:val="0"/>
        <w:widowControl w:val="0"/>
        <w:shd w:val="clear" w:color="auto" w:fill="auto"/>
        <w:bidi w:val="0"/>
        <w:spacing w:before="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317" w:lineRule="exact"/>
        <w:ind w:left="0" w:right="0" w:firstLine="0"/>
        <w:jc w:val="both"/>
      </w:pPr>
      <w:r>
        <w:rPr>
          <w:color w:val="000000"/>
          <w:spacing w:val="0"/>
          <w:w w:val="100"/>
          <w:position w:val="0"/>
        </w:rPr>
        <w:t>扣除非经常损益前后的净利润孰低者为负值</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574,429,448.81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473,819,659.54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16,307,328.66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11,942,478.34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租金、废料收入等正常经营之 外的其他业务收入，以及本年 度新增的纸浆贸易收入</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558,122,120.15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461,877,181.20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扣除后营业收入</w:t>
            </w:r>
          </w:p>
        </w:tc>
      </w:tr>
    </w:tbl>
    <w:p>
      <w:pPr>
        <w:widowControl w:val="0"/>
        <w:spacing w:after="359" w:line="1" w:lineRule="exact"/>
      </w:pPr>
    </w:p>
    <w:p>
      <w:pPr>
        <w:pStyle w:val="Style21"/>
        <w:keepNext/>
        <w:keepLines/>
        <w:widowControl w:val="0"/>
        <w:shd w:val="clear" w:color="auto" w:fill="auto"/>
        <w:bidi w:val="0"/>
        <w:spacing w:before="0" w:after="36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、境内外会计准则下会计数据差异</w:t>
      </w:r>
      <w:bookmarkEnd w:id="31"/>
      <w:bookmarkEnd w:id="32"/>
      <w:bookmarkEnd w:id="34"/>
    </w:p>
    <w:p>
      <w:pPr>
        <w:pStyle w:val="Style29"/>
        <w:keepNext/>
        <w:keepLines/>
        <w:widowControl w:val="0"/>
        <w:shd w:val="clear" w:color="auto" w:fill="auto"/>
        <w:tabs>
          <w:tab w:pos="358" w:val="left"/>
        </w:tabs>
        <w:bidi w:val="0"/>
        <w:spacing w:before="0" w:line="240" w:lineRule="auto"/>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368"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bidi w:val="0"/>
        <w:spacing w:before="0" w:after="36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、分季度主要财务指标</w:t>
      </w:r>
      <w:bookmarkEnd w:id="43"/>
      <w:bookmarkEnd w:id="44"/>
      <w:bookmarkEnd w:id="46"/>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163,071,499.60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135,116,565.49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103,588,766.80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172,652,616.92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12,458,352.92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5,841,963.17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-7,694,351.12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-1,466,922.89</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10,350,392.39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-1,547,317.33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-13,682,227.94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-4,718,339.68</w:t>
            </w:r>
          </w:p>
        </w:tc>
      </w:tr>
    </w:tbl>
    <w:p>
      <w:pPr>
        <w:spacing w:lineRule="exact" w:line="1"/>
        <w:rPr>
          <w:sz w:val="2"/>
          <w:szCs w:val="2"/>
        </w:rPr>
      </w:pPr>
      <w:r>
        <w:br w:type="page"/>
      </w:r>
    </w:p>
    <w:tbl>
      <w:tblPr>
        <w:tblOverlap w:val="never"/>
        <w:jc w:val="center"/>
        <w:tblLayout w:type="fixed"/>
      </w:tblPr>
      <w:tblGrid>
        <w:gridCol w:w="2630"/>
        <w:gridCol w:w="1738"/>
        <w:gridCol w:w="1742"/>
        <w:gridCol w:w="1738"/>
        <w:gridCol w:w="1738"/>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-55,777,627.27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-10,355,637.11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40,065,407.29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34,461,363.23</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九</w:t>
      </w:r>
      <w:bookmarkEnd w:id="49"/>
      <w:r>
        <w:rPr>
          <w:color w:val="000000"/>
          <w:spacing w:val="0"/>
          <w:w w:val="100"/>
          <w:position w:val="0"/>
        </w:rPr>
        <w:t>、非经常性损益项目及金额</w:t>
      </w:r>
      <w:bookmarkEnd w:id="47"/>
      <w:bookmarkEnd w:id="48"/>
      <w:bookmarkEnd w:id="50"/>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1,548,610.84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-1,038,198.64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-753,642.48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4,913,224.36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4,748,376.34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12,234,298.27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601,316.83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38,757.86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6,919,689.66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11,690,824.97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12,347,017.64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15,999,075.69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84,605,461.80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34,217,901.37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1,121,464.67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-157,867.85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250,714.49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104,036.44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-6,495,484.31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7,985,909.72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3,448,797.89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16,348,013.42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8,571,845.26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541,915.86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1,683,794.69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694,174.23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18,736,534.64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91,934,062.07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48,922,349.61</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line="317" w:lineRule="exact"/>
        <w:ind w:left="0" w:right="0" w:firstLine="0"/>
        <w:jc w:val="both"/>
      </w:pPr>
      <w:r>
        <w:rPr>
          <w:color w:val="000000"/>
          <w:spacing w:val="0"/>
          <w:w w:val="100"/>
          <w:position w:val="0"/>
        </w:rPr>
        <w:t>其他符合非经常性损益定义的损益项目的具体情况：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其他符合非经常性损益定义的损益项目为本年智能卡生产线计提的减值准备，因该生产线已停产待处置，考虑其性质、金额 及发生频率，故将其列为非经常性损益。</w:t>
      </w:r>
    </w:p>
    <w:p>
      <w:pPr>
        <w:pStyle w:val="Style26"/>
        <w:keepNext w:val="0"/>
        <w:keepLines w:val="0"/>
        <w:widowControl w:val="0"/>
        <w:shd w:val="clear" w:color="auto" w:fill="auto"/>
        <w:bidi w:val="0"/>
        <w:spacing w:before="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line="312" w:lineRule="exact"/>
        <w:ind w:left="0" w:right="0" w:firstLine="0"/>
        <w:jc w:val="both"/>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rPr>
        <w:t>第三节管理层讨论与分析</w:t>
      </w:r>
    </w:p>
    <w:p>
      <w:pPr>
        <w:pStyle w:val="Style21"/>
        <w:keepNext/>
        <w:keepLines/>
        <w:widowControl w:val="0"/>
        <w:shd w:val="clear" w:color="auto" w:fill="auto"/>
        <w:tabs>
          <w:tab w:pos="517" w:val="left"/>
        </w:tabs>
        <w:bidi w:val="0"/>
        <w:spacing w:before="0" w:after="200" w:line="240" w:lineRule="auto"/>
        <w:ind w:left="0" w:right="0" w:firstLine="0"/>
        <w:jc w:val="left"/>
      </w:pPr>
      <w:bookmarkStart w:id="51" w:name="bookmark51"/>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w:t>
        <w:tab/>
        <w:t>报告期内公司所处的行业情况</w:t>
      </w:r>
      <w:bookmarkEnd w:id="52"/>
      <w:bookmarkEnd w:id="53"/>
      <w:bookmarkEnd w:id="55"/>
      <w:bookmarkEnd w:id="51"/>
    </w:p>
    <w:p>
      <w:pPr>
        <w:pStyle w:val="Style10"/>
        <w:keepNext w:val="0"/>
        <w:keepLines w:val="0"/>
        <w:widowControl w:val="0"/>
        <w:numPr>
          <w:ilvl w:val="0"/>
          <w:numId w:val="1"/>
        </w:numPr>
        <w:shd w:val="clear" w:color="auto" w:fill="auto"/>
        <w:bidi w:val="0"/>
        <w:spacing w:before="0" w:line="468" w:lineRule="exact"/>
        <w:ind w:left="0" w:right="0" w:firstLine="440"/>
        <w:jc w:val="both"/>
      </w:pPr>
      <w:bookmarkStart w:id="56" w:name="bookmark56"/>
      <w:bookmarkEnd w:id="56"/>
      <w:r>
        <w:rPr>
          <w:rFonts w:ascii="Times New Roman" w:eastAsia="Times New Roman" w:hAnsi="Times New Roman" w:cs="Times New Roman"/>
          <w:color w:val="000000"/>
          <w:spacing w:val="0"/>
          <w:w w:val="100"/>
          <w:position w:val="0"/>
        </w:rPr>
        <w:t xml:space="preserve"> </w:t>
      </w:r>
      <w:r>
        <w:rPr>
          <w:color w:val="000000"/>
          <w:spacing w:val="0"/>
          <w:w w:val="100"/>
          <w:position w:val="0"/>
        </w:rPr>
        <w:t>彩票行业发展处于成熟阶段，增长较为稳定，且与社会经济发展水平高度相关。公司主营业务为热 敏票的印刷，并占据较大市场份额，</w:t>
      </w:r>
      <w:r>
        <w:rPr>
          <w:rFonts w:ascii="Times New Roman" w:eastAsia="Times New Roman" w:hAnsi="Times New Roman" w:cs="Times New Roman"/>
          <w:color w:val="000000"/>
          <w:spacing w:val="0"/>
          <w:w w:val="100"/>
          <w:position w:val="0"/>
        </w:rPr>
        <w:t>2015</w:t>
      </w:r>
      <w:r>
        <w:rPr>
          <w:color w:val="000000"/>
          <w:spacing w:val="0"/>
          <w:w w:val="100"/>
          <w:position w:val="0"/>
        </w:rPr>
        <w:t>年通过收购中科彩进入体彩即开票印刷业务领域，力争打通整个 彩票产业链，在彩票行业占有重要地位。</w:t>
      </w:r>
    </w:p>
    <w:p>
      <w:pPr>
        <w:pStyle w:val="Style10"/>
        <w:keepNext w:val="0"/>
        <w:keepLines w:val="0"/>
        <w:widowControl w:val="0"/>
        <w:numPr>
          <w:ilvl w:val="0"/>
          <w:numId w:val="1"/>
        </w:numPr>
        <w:shd w:val="clear" w:color="auto" w:fill="auto"/>
        <w:tabs>
          <w:tab w:pos="752" w:val="left"/>
        </w:tabs>
        <w:bidi w:val="0"/>
        <w:spacing w:before="0" w:after="440" w:line="470" w:lineRule="exact"/>
        <w:ind w:left="0" w:right="0" w:firstLine="440"/>
        <w:jc w:val="both"/>
      </w:pPr>
      <w:bookmarkStart w:id="57" w:name="bookmark57"/>
      <w:bookmarkEnd w:id="57"/>
      <w:r>
        <w:rPr>
          <w:color w:val="000000"/>
          <w:spacing w:val="0"/>
          <w:w w:val="100"/>
          <w:position w:val="0"/>
        </w:rPr>
        <w:t>印刷行业处于发展的成熟阶段，与国民经济发展景气度相关性强。从细分领域看，商业票据行业发 展受无纸化影响较大，增长缓慢，公司在商业票据印刷领域经过多年发展，凭借优异的产品、有效的服务、 良好的信誉，已成为行业龙头企业之一；书刊行业市场集中度最近几年开始逐步提升，公司是北京地区书 刊印刷领域的主要参与者之一；包装印刷市场占印刷工业产值的比重较高，且与国民经济发展高度相关， 同时公司所处的酒盒包装领域迎来市场回暖，公司已成为四川地区主要的酒盒包装企业之一。</w:t>
      </w:r>
    </w:p>
    <w:p>
      <w:pPr>
        <w:pStyle w:val="Style21"/>
        <w:keepNext/>
        <w:keepLines/>
        <w:widowControl w:val="0"/>
        <w:shd w:val="clear" w:color="auto" w:fill="auto"/>
        <w:tabs>
          <w:tab w:pos="517" w:val="left"/>
        </w:tabs>
        <w:bidi w:val="0"/>
        <w:spacing w:before="0" w:after="20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二</w:t>
      </w:r>
      <w:bookmarkEnd w:id="60"/>
      <w:r>
        <w:rPr>
          <w:color w:val="000000"/>
          <w:spacing w:val="0"/>
          <w:w w:val="100"/>
          <w:position w:val="0"/>
        </w:rPr>
        <w:t>、</w:t>
        <w:tab/>
        <w:t>报告期内公司从事的主要业务</w:t>
      </w:r>
      <w:bookmarkEnd w:id="58"/>
      <w:bookmarkEnd w:id="59"/>
      <w:bookmarkEnd w:id="61"/>
    </w:p>
    <w:p>
      <w:pPr>
        <w:pStyle w:val="Style10"/>
        <w:keepNext w:val="0"/>
        <w:keepLines w:val="0"/>
        <w:widowControl w:val="0"/>
        <w:shd w:val="clear" w:color="auto" w:fill="auto"/>
        <w:bidi w:val="0"/>
        <w:spacing w:before="0" w:line="470" w:lineRule="exact"/>
        <w:ind w:left="0" w:right="0" w:firstLine="440"/>
        <w:jc w:val="both"/>
      </w:pPr>
      <w:r>
        <w:rPr>
          <w:color w:val="000000"/>
          <w:spacing w:val="0"/>
          <w:w w:val="100"/>
          <w:position w:val="0"/>
        </w:rPr>
        <w:t>报告期内，公司业务涵盖安全印务、彩票新渠道服务、书刊印刷与高端包装印刷等业务，公司主要产 品及用途如下：</w:t>
      </w:r>
    </w:p>
    <w:p>
      <w:pPr>
        <w:pStyle w:val="Style10"/>
        <w:keepNext w:val="0"/>
        <w:keepLines w:val="0"/>
        <w:widowControl w:val="0"/>
        <w:numPr>
          <w:ilvl w:val="0"/>
          <w:numId w:val="3"/>
        </w:numPr>
        <w:shd w:val="clear" w:color="auto" w:fill="auto"/>
        <w:bidi w:val="0"/>
        <w:spacing w:before="0" w:line="468" w:lineRule="exact"/>
        <w:ind w:left="0" w:right="0" w:firstLine="440"/>
        <w:jc w:val="both"/>
      </w:pPr>
      <w:bookmarkStart w:id="62" w:name="bookmark62"/>
      <w:bookmarkEnd w:id="62"/>
      <w:r>
        <w:rPr>
          <w:rFonts w:ascii="Times New Roman" w:eastAsia="Times New Roman" w:hAnsi="Times New Roman" w:cs="Times New Roman"/>
          <w:color w:val="000000"/>
          <w:spacing w:val="0"/>
          <w:w w:val="100"/>
          <w:position w:val="0"/>
        </w:rPr>
        <w:t xml:space="preserve"> </w:t>
      </w:r>
      <w:r>
        <w:rPr>
          <w:color w:val="000000"/>
          <w:spacing w:val="0"/>
          <w:w w:val="100"/>
          <w:position w:val="0"/>
        </w:rPr>
        <w:t>安全印务业务，产品包括体彩福彩热敏纸票证、体彩即开型彩票普通税务发票、证书证件等，产品 主要用于彩票、税务、金融、保险等领域。该业务通过投标获取订单生产，业绩驱动主要受彩票销量的影 响。</w:t>
      </w:r>
    </w:p>
    <w:p>
      <w:pPr>
        <w:pStyle w:val="Style10"/>
        <w:keepNext w:val="0"/>
        <w:keepLines w:val="0"/>
        <w:widowControl w:val="0"/>
        <w:numPr>
          <w:ilvl w:val="0"/>
          <w:numId w:val="3"/>
        </w:numPr>
        <w:shd w:val="clear" w:color="auto" w:fill="auto"/>
        <w:bidi w:val="0"/>
        <w:spacing w:before="0" w:line="472" w:lineRule="exact"/>
        <w:ind w:left="0" w:right="0" w:firstLine="440"/>
        <w:jc w:val="both"/>
      </w:pPr>
      <w:bookmarkStart w:id="63" w:name="bookmark63"/>
      <w:bookmarkEnd w:id="63"/>
      <w:r>
        <w:rPr>
          <w:rFonts w:ascii="Times New Roman" w:eastAsia="Times New Roman" w:hAnsi="Times New Roman" w:cs="Times New Roman"/>
          <w:color w:val="000000"/>
          <w:spacing w:val="0"/>
          <w:w w:val="100"/>
          <w:position w:val="0"/>
        </w:rPr>
        <w:t xml:space="preserve"> </w:t>
      </w:r>
      <w:r>
        <w:rPr>
          <w:color w:val="000000"/>
          <w:spacing w:val="0"/>
          <w:w w:val="100"/>
          <w:position w:val="0"/>
        </w:rPr>
        <w:t>彩票新渠道服务，产品包括区块链彩票、新媒体营销服务系统及技术平台开发等。其中服务系统及 技术平台的业务模式为给福彩、体彩中心提供相应的服务，如搭建营销服务平台、提供营销解决方案、积 分兑换彩票、彩票投注站线上培训平台等。业绩驱动主要受新型彩票产品、彩民数量、彩票销量及相关政 策影响。</w:t>
      </w:r>
    </w:p>
    <w:p>
      <w:pPr>
        <w:pStyle w:val="Style10"/>
        <w:keepNext w:val="0"/>
        <w:keepLines w:val="0"/>
        <w:widowControl w:val="0"/>
        <w:numPr>
          <w:ilvl w:val="0"/>
          <w:numId w:val="3"/>
        </w:numPr>
        <w:shd w:val="clear" w:color="auto" w:fill="auto"/>
        <w:bidi w:val="0"/>
        <w:spacing w:before="0" w:after="440" w:line="470" w:lineRule="exact"/>
        <w:ind w:left="0" w:right="0" w:firstLine="440"/>
        <w:jc w:val="both"/>
      </w:pPr>
      <w:bookmarkStart w:id="64" w:name="bookmark64"/>
      <w:bookmarkEnd w:id="64"/>
      <w:r>
        <w:rPr>
          <w:rFonts w:ascii="Times New Roman" w:eastAsia="Times New Roman" w:hAnsi="Times New Roman" w:cs="Times New Roman"/>
          <w:color w:val="000000"/>
          <w:spacing w:val="0"/>
          <w:w w:val="100"/>
          <w:position w:val="0"/>
        </w:rPr>
        <w:t xml:space="preserve"> </w:t>
      </w:r>
      <w:r>
        <w:rPr>
          <w:color w:val="000000"/>
          <w:spacing w:val="0"/>
          <w:w w:val="100"/>
          <w:position w:val="0"/>
        </w:rPr>
        <w:t>书刊与高端包装业务，产品主要包括书刊以及高档酒盒等，产品主要用于文化、酒类包装等领域。</w:t>
      </w:r>
    </w:p>
    <w:p>
      <w:pPr>
        <w:pStyle w:val="Style21"/>
        <w:keepNext/>
        <w:keepLines/>
        <w:widowControl w:val="0"/>
        <w:shd w:val="clear" w:color="auto" w:fill="auto"/>
        <w:tabs>
          <w:tab w:pos="522" w:val="left"/>
        </w:tabs>
        <w:bidi w:val="0"/>
        <w:spacing w:before="0" w:after="20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rPr>
        <w:t>三</w:t>
      </w:r>
      <w:bookmarkEnd w:id="67"/>
      <w:r>
        <w:rPr>
          <w:color w:val="000000"/>
          <w:spacing w:val="0"/>
          <w:w w:val="100"/>
          <w:position w:val="0"/>
        </w:rPr>
        <w:t>、</w:t>
        <w:tab/>
        <w:t>核心竞争力分析</w:t>
      </w:r>
      <w:bookmarkEnd w:id="65"/>
      <w:bookmarkEnd w:id="66"/>
      <w:bookmarkEnd w:id="68"/>
    </w:p>
    <w:p>
      <w:pPr>
        <w:pStyle w:val="Style10"/>
        <w:keepNext w:val="0"/>
        <w:keepLines w:val="0"/>
        <w:widowControl w:val="0"/>
        <w:shd w:val="clear" w:color="auto" w:fill="auto"/>
        <w:bidi w:val="0"/>
        <w:spacing w:before="0" w:line="470" w:lineRule="exact"/>
        <w:ind w:left="0" w:right="0" w:firstLine="440"/>
        <w:jc w:val="left"/>
      </w:pPr>
      <w:r>
        <w:rPr>
          <w:color w:val="000000"/>
          <w:spacing w:val="0"/>
          <w:w w:val="100"/>
          <w:position w:val="0"/>
        </w:rPr>
        <w:t>报告期内，公司核心竞争力无重大变化。</w:t>
      </w:r>
    </w:p>
    <w:p>
      <w:pPr>
        <w:pStyle w:val="Style10"/>
        <w:keepNext w:val="0"/>
        <w:keepLines w:val="0"/>
        <w:widowControl w:val="0"/>
        <w:shd w:val="clear" w:color="auto" w:fill="auto"/>
        <w:bidi w:val="0"/>
        <w:spacing w:before="0" w:line="470" w:lineRule="exact"/>
        <w:ind w:left="0" w:right="0" w:firstLine="440"/>
        <w:jc w:val="both"/>
      </w:pPr>
      <w:r>
        <w:rPr>
          <w:color w:val="000000"/>
          <w:spacing w:val="0"/>
          <w:w w:val="100"/>
          <w:position w:val="0"/>
        </w:rPr>
        <w:t>第一创新研发</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随着公司研发投入的持续加大，公司在热敏纸票证、即开票业务、高档商业票据、高端包装印刷等方 </w:t>
      </w:r>
      <w:r>
        <w:rPr>
          <w:color w:val="000000"/>
          <w:spacing w:val="0"/>
          <w:w w:val="100"/>
          <w:position w:val="0"/>
        </w:rPr>
        <w:t>面的技术实力不断增强，品质控制以及印刷技术得到持续提高，专利储备逐步增多，公司新型产品的推出 步伐不断加快，为公司综合竞争力的提升做出了重要贡献。</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第二产品服务</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公司积极研发新产品</w:t>
      </w:r>
      <w:r>
        <w:rPr>
          <w:color w:val="000000"/>
          <w:spacing w:val="0"/>
          <w:w w:val="100"/>
          <w:position w:val="0"/>
        </w:rPr>
        <w:t>，</w:t>
      </w:r>
      <w:r>
        <w:rPr>
          <w:color w:val="000000"/>
          <w:spacing w:val="0"/>
          <w:w w:val="100"/>
          <w:position w:val="0"/>
        </w:rPr>
        <w:t>开展新业务。报告期内，公司新印刷产品、新技术服务不断推出，新彩种储备进 一步丰富。公司通过收购中科彩开展即开票印刷业务，通过募投项目进入彩票物联网服务领域。实现了由 单一产品提供商向方案解决以及服务提供商转变。</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第三业务布局</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目前，公司建设了福州、无锡、北京、重庆、泸州五大印刷基地，形成了立足福建，布局全国的战略 格局，业务范围涵盖华南、华东、华北、西南。公司具备了以最快的速度、最短的交货周期为客户提供最 好服务的优势。</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第四客户优势</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公司继续保持与众多金融、保险、财税以及高端白酒客户稳定的合作关系。同时积极深耕彩票行业领 域客户，通过区块链彩票研发、彩票平台及营销服务系统的搭建，切入彩票上游彩种研发和下游销售领域。 通过为客户提供个性化产品需求、系统解决方案，不断提升公司产品和服务附加值，深化与客户合作，进 一步打造公司彩票全产业链布局，形成新的利润增长点。</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第五管理优化</w:t>
      </w:r>
    </w:p>
    <w:p>
      <w:pPr>
        <w:pStyle w:val="Style10"/>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报告期内，公司进一步优化管理，管理层科学合理编制人力资源计划</w:t>
      </w:r>
      <w:r>
        <w:rPr>
          <w:color w:val="000000"/>
          <w:spacing w:val="0"/>
          <w:w w:val="100"/>
          <w:position w:val="0"/>
        </w:rPr>
        <w:t>，</w:t>
      </w:r>
      <w:r>
        <w:rPr>
          <w:color w:val="000000"/>
          <w:spacing w:val="0"/>
          <w:w w:val="100"/>
          <w:position w:val="0"/>
        </w:rPr>
        <w:t>满足集团多元化发展的人力资源 需要</w:t>
      </w:r>
      <w:r>
        <w:rPr>
          <w:color w:val="000000"/>
          <w:spacing w:val="0"/>
          <w:w w:val="100"/>
          <w:position w:val="0"/>
        </w:rPr>
        <w:t>，</w:t>
      </w:r>
      <w:r>
        <w:rPr>
          <w:color w:val="000000"/>
          <w:spacing w:val="0"/>
          <w:w w:val="100"/>
          <w:position w:val="0"/>
        </w:rPr>
        <w:t>充分优化人员结构，打造一支务实高效的管理队伍和一支潜心钻研业务的专业技术队伍；同时，启动 调整公司管理层人员，推动企业人才向科技型、年轻化发展，匹配企业未来发展战略和经营计划。</w:t>
      </w:r>
    </w:p>
    <w:p>
      <w:pPr>
        <w:pStyle w:val="Style21"/>
        <w:keepNext/>
        <w:keepLines/>
        <w:widowControl w:val="0"/>
        <w:shd w:val="clear" w:color="auto" w:fill="auto"/>
        <w:bidi w:val="0"/>
        <w:spacing w:before="0" w:after="380" w:line="240" w:lineRule="auto"/>
        <w:ind w:left="0" w:right="0" w:firstLine="0"/>
        <w:jc w:val="both"/>
      </w:pPr>
      <w:bookmarkStart w:id="69" w:name="bookmark69"/>
      <w:bookmarkStart w:id="70" w:name="bookmark70"/>
      <w:bookmarkStart w:id="71" w:name="bookmark71"/>
      <w:bookmarkStart w:id="72" w:name="bookmark72"/>
      <w:r>
        <w:rPr>
          <w:color w:val="000000"/>
          <w:spacing w:val="0"/>
          <w:w w:val="100"/>
          <w:position w:val="0"/>
        </w:rPr>
        <w:t>四</w:t>
      </w:r>
      <w:bookmarkEnd w:id="71"/>
      <w:r>
        <w:rPr>
          <w:color w:val="000000"/>
          <w:spacing w:val="0"/>
          <w:w w:val="100"/>
          <w:position w:val="0"/>
        </w:rPr>
        <w:t>、主营业务分析</w:t>
      </w:r>
      <w:bookmarkEnd w:id="69"/>
      <w:bookmarkEnd w:id="70"/>
      <w:bookmarkEnd w:id="72"/>
    </w:p>
    <w:p>
      <w:pPr>
        <w:pStyle w:val="Style29"/>
        <w:keepNext/>
        <w:keepLines/>
        <w:widowControl w:val="0"/>
        <w:shd w:val="clear" w:color="auto" w:fill="auto"/>
        <w:bidi w:val="0"/>
        <w:spacing w:before="0" w:after="80" w:line="480" w:lineRule="auto"/>
        <w:ind w:left="0" w:right="0" w:firstLine="0"/>
        <w:jc w:val="both"/>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1</w:t>
      </w:r>
      <w:bookmarkEnd w:id="75"/>
      <w:r>
        <w:rPr>
          <w:color w:val="000000"/>
          <w:spacing w:val="0"/>
          <w:w w:val="100"/>
          <w:position w:val="0"/>
        </w:rPr>
        <w:t>、概述</w:t>
      </w:r>
      <w:bookmarkEnd w:id="73"/>
      <w:bookmarkEnd w:id="74"/>
      <w:bookmarkEnd w:id="76"/>
    </w:p>
    <w:tbl>
      <w:tblPr>
        <w:tblOverlap w:val="never"/>
        <w:jc w:val="center"/>
        <w:tblLayout w:type="fixed"/>
      </w:tblPr>
      <w:tblGrid>
        <w:gridCol w:w="3696"/>
        <w:gridCol w:w="2371"/>
        <w:gridCol w:w="2371"/>
        <w:gridCol w:w="1238"/>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574,429,448.81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473,819,659.54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428,952,498.80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359,293,812.23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19.39%</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20,089,934.46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22,223,128.68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80,268,130.38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79,276,732.49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3,389,101.26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-732,334.63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562.78%</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22,985,965.50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21,159,854.45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w:t>
            </w:r>
          </w:p>
        </w:tc>
      </w:tr>
    </w:tbl>
    <w:p>
      <w:pPr>
        <w:spacing w:lineRule="exact" w:line="1"/>
        <w:rPr>
          <w:sz w:val="2"/>
          <w:szCs w:val="2"/>
        </w:rPr>
      </w:pPr>
      <w:r>
        <w:br w:type="page"/>
      </w:r>
    </w:p>
    <w:tbl>
      <w:tblPr>
        <w:tblOverlap w:val="never"/>
        <w:jc w:val="center"/>
        <w:tblLayout w:type="fixed"/>
      </w:tblPr>
      <w:tblGrid>
        <w:gridCol w:w="3696"/>
        <w:gridCol w:w="2371"/>
        <w:gridCol w:w="2371"/>
        <w:gridCol w:w="1238"/>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7,913,675.31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77,213,065.52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-89.75%</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-12,391,533.86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-36,541,056.70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66.09%</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9,139,042.08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25,458,258.23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8,393,506.14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94,916,752.41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-91.16%</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-90,880,387.71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17,233,736.05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-627.34%</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194,004,197.11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-26,737,572.11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825.59%</w:t>
            </w:r>
          </w:p>
        </w:tc>
      </w:tr>
      <w:tr>
        <w:trPr>
          <w:trHeight w:val="44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111,515,819.27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85,409,912.73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30.57%</w:t>
            </w:r>
          </w:p>
        </w:tc>
      </w:tr>
    </w:tbl>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报告期内，公司经营管理层在</w:t>
      </w:r>
      <w:r>
        <w:rPr>
          <w:rFonts w:ascii="Times New Roman" w:eastAsia="Times New Roman" w:hAnsi="Times New Roman" w:cs="Times New Roman"/>
          <w:color w:val="000000"/>
          <w:spacing w:val="0"/>
          <w:w w:val="100"/>
          <w:position w:val="0"/>
        </w:rPr>
        <w:t>“</w:t>
      </w:r>
      <w:r>
        <w:rPr>
          <w:color w:val="000000"/>
          <w:spacing w:val="0"/>
          <w:w w:val="100"/>
          <w:position w:val="0"/>
        </w:rPr>
        <w:t>降本增效、节俭务实</w:t>
      </w:r>
      <w:r>
        <w:rPr>
          <w:rFonts w:ascii="Times New Roman" w:eastAsia="Times New Roman" w:hAnsi="Times New Roman" w:cs="Times New Roman"/>
          <w:color w:val="000000"/>
          <w:spacing w:val="0"/>
          <w:w w:val="100"/>
          <w:position w:val="0"/>
        </w:rPr>
        <w:t>''</w:t>
      </w:r>
      <w:r>
        <w:rPr>
          <w:color w:val="000000"/>
          <w:spacing w:val="0"/>
          <w:w w:val="100"/>
          <w:position w:val="0"/>
        </w:rPr>
        <w:t>经营方针的指导下，认真贯彻执行董事会制定的 年度经营计划，针对各业务板块，继续坚持</w:t>
      </w:r>
      <w:r>
        <w:rPr>
          <w:rFonts w:ascii="Times New Roman" w:eastAsia="Times New Roman" w:hAnsi="Times New Roman" w:cs="Times New Roman"/>
          <w:color w:val="000000"/>
          <w:spacing w:val="0"/>
          <w:w w:val="100"/>
          <w:position w:val="0"/>
        </w:rPr>
        <w:t>“</w:t>
      </w:r>
      <w:r>
        <w:rPr>
          <w:color w:val="000000"/>
          <w:spacing w:val="0"/>
          <w:w w:val="100"/>
          <w:position w:val="0"/>
        </w:rPr>
        <w:t>巩固与提升、拓展与升级</w:t>
      </w:r>
      <w:r>
        <w:rPr>
          <w:rFonts w:ascii="Times New Roman" w:eastAsia="Times New Roman" w:hAnsi="Times New Roman" w:cs="Times New Roman"/>
          <w:color w:val="000000"/>
          <w:spacing w:val="0"/>
          <w:w w:val="100"/>
          <w:position w:val="0"/>
        </w:rPr>
        <w:t>”</w:t>
      </w:r>
      <w:r>
        <w:rPr>
          <w:color w:val="000000"/>
          <w:spacing w:val="0"/>
          <w:w w:val="100"/>
          <w:position w:val="0"/>
        </w:rPr>
        <w:t>的发展之路。</w:t>
      </w:r>
    </w:p>
    <w:p>
      <w:pPr>
        <w:pStyle w:val="Style1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年因新型冠状病毒疫情爆发，公司产销均受到一定影响，营业收入有所下降；本年公司生产经营 向好，特别是即开型彩票与酒类包装产品销量均有较大增长，公司本年实现营业收入</w:t>
      </w:r>
      <w:r>
        <w:rPr>
          <w:rFonts w:ascii="Times New Roman" w:eastAsia="Times New Roman" w:hAnsi="Times New Roman" w:cs="Times New Roman"/>
          <w:color w:val="000000"/>
          <w:spacing w:val="0"/>
          <w:w w:val="100"/>
          <w:position w:val="0"/>
        </w:rPr>
        <w:t>5.74</w:t>
      </w:r>
      <w:r>
        <w:rPr>
          <w:color w:val="000000"/>
          <w:spacing w:val="0"/>
          <w:w w:val="100"/>
          <w:position w:val="0"/>
        </w:rPr>
        <w:t>亿元，较上年同 期</w:t>
      </w:r>
      <w:r>
        <w:rPr>
          <w:rFonts w:ascii="Times New Roman" w:eastAsia="Times New Roman" w:hAnsi="Times New Roman" w:cs="Times New Roman"/>
          <w:color w:val="000000"/>
          <w:spacing w:val="0"/>
          <w:w w:val="100"/>
          <w:position w:val="0"/>
        </w:rPr>
        <w:t>4.74</w:t>
      </w:r>
      <w:r>
        <w:rPr>
          <w:color w:val="000000"/>
          <w:spacing w:val="0"/>
          <w:w w:val="100"/>
          <w:position w:val="0"/>
        </w:rPr>
        <w:t>亿元相比增加</w:t>
      </w:r>
      <w:r>
        <w:rPr>
          <w:rFonts w:ascii="Times New Roman" w:eastAsia="Times New Roman" w:hAnsi="Times New Roman" w:cs="Times New Roman"/>
          <w:color w:val="000000"/>
          <w:spacing w:val="0"/>
          <w:w w:val="100"/>
          <w:position w:val="0"/>
        </w:rPr>
        <w:t xml:space="preserve">21.23% </w:t>
      </w:r>
      <w:r>
        <w:rPr>
          <w:color w:val="000000"/>
          <w:spacing w:val="0"/>
          <w:w w:val="100"/>
          <w:position w:val="0"/>
        </w:rPr>
        <w:t>；公司本年实现归属于上市公司股东的净利润</w:t>
      </w:r>
      <w:r>
        <w:rPr>
          <w:rFonts w:ascii="Times New Roman" w:eastAsia="Times New Roman" w:hAnsi="Times New Roman" w:cs="Times New Roman"/>
          <w:color w:val="000000"/>
          <w:spacing w:val="0"/>
          <w:w w:val="100"/>
          <w:position w:val="0"/>
        </w:rPr>
        <w:t>913.90</w:t>
      </w:r>
      <w:r>
        <w:rPr>
          <w:color w:val="000000"/>
          <w:spacing w:val="0"/>
          <w:w w:val="100"/>
          <w:position w:val="0"/>
        </w:rPr>
        <w:t>万元，与上年同期</w:t>
      </w:r>
      <w:r>
        <w:rPr>
          <w:rFonts w:ascii="Times New Roman" w:eastAsia="Times New Roman" w:hAnsi="Times New Roman" w:cs="Times New Roman"/>
          <w:color w:val="000000"/>
          <w:spacing w:val="0"/>
          <w:w w:val="100"/>
          <w:position w:val="0"/>
        </w:rPr>
        <w:t xml:space="preserve">2,545.83 </w:t>
      </w:r>
      <w:r>
        <w:rPr>
          <w:color w:val="000000"/>
          <w:spacing w:val="0"/>
          <w:w w:val="100"/>
          <w:position w:val="0"/>
        </w:rPr>
        <w:t>万元相比减少</w:t>
      </w:r>
      <w:r>
        <w:rPr>
          <w:rFonts w:ascii="Times New Roman" w:eastAsia="Times New Roman" w:hAnsi="Times New Roman" w:cs="Times New Roman"/>
          <w:color w:val="000000"/>
          <w:spacing w:val="0"/>
          <w:w w:val="100"/>
          <w:position w:val="0"/>
        </w:rPr>
        <w:t>64.10%</w:t>
      </w:r>
      <w:r>
        <w:rPr>
          <w:color w:val="000000"/>
          <w:spacing w:val="0"/>
          <w:w w:val="100"/>
          <w:position w:val="0"/>
        </w:rPr>
        <w:t>，主要是由于本年金融资产增值产生的公允价值变动收益减少所致；</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费用变动原因说明详见</w:t>
      </w:r>
      <w:r>
        <w:rPr>
          <w:rFonts w:ascii="Times New Roman" w:eastAsia="Times New Roman" w:hAnsi="Times New Roman" w:cs="Times New Roman"/>
          <w:color w:val="000000"/>
          <w:spacing w:val="0"/>
          <w:w w:val="100"/>
          <w:position w:val="0"/>
        </w:rPr>
        <w:t>“</w:t>
      </w:r>
      <w:r>
        <w:rPr>
          <w:color w:val="000000"/>
          <w:spacing w:val="0"/>
          <w:w w:val="100"/>
          <w:position w:val="0"/>
        </w:rPr>
        <w:t>第三节、四、</w:t>
      </w:r>
      <w:r>
        <w:rPr>
          <w:rFonts w:ascii="Times New Roman" w:eastAsia="Times New Roman" w:hAnsi="Times New Roman" w:cs="Times New Roman"/>
          <w:color w:val="000000"/>
          <w:spacing w:val="0"/>
          <w:w w:val="100"/>
          <w:position w:val="0"/>
        </w:rPr>
        <w:t>3</w:t>
      </w:r>
      <w:r>
        <w:rPr>
          <w:color w:val="000000"/>
          <w:spacing w:val="0"/>
          <w:w w:val="100"/>
          <w:position w:val="0"/>
        </w:rPr>
        <w:t>、费用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0"/>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现金流变动原因说明详见</w:t>
      </w:r>
      <w:r>
        <w:rPr>
          <w:rFonts w:ascii="Times New Roman" w:eastAsia="Times New Roman" w:hAnsi="Times New Roman" w:cs="Times New Roman"/>
          <w:color w:val="000000"/>
          <w:spacing w:val="0"/>
          <w:w w:val="100"/>
          <w:position w:val="0"/>
        </w:rPr>
        <w:t>“</w:t>
      </w:r>
      <w:r>
        <w:rPr>
          <w:color w:val="000000"/>
          <w:spacing w:val="0"/>
          <w:w w:val="100"/>
          <w:position w:val="0"/>
        </w:rPr>
        <w:t>第三节、四、</w:t>
      </w:r>
      <w:r>
        <w:rPr>
          <w:rFonts w:ascii="Times New Roman" w:eastAsia="Times New Roman" w:hAnsi="Times New Roman" w:cs="Times New Roman"/>
          <w:color w:val="000000"/>
          <w:spacing w:val="0"/>
          <w:w w:val="100"/>
          <w:position w:val="0"/>
        </w:rPr>
        <w:t>5</w:t>
      </w:r>
      <w:r>
        <w:rPr>
          <w:color w:val="000000"/>
          <w:spacing w:val="0"/>
          <w:w w:val="100"/>
          <w:position w:val="0"/>
        </w:rPr>
        <w:t>、现金流</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keepLines/>
        <w:widowControl w:val="0"/>
        <w:shd w:val="clear" w:color="auto" w:fill="auto"/>
        <w:bidi w:val="0"/>
        <w:spacing w:before="0" w:after="120" w:line="469" w:lineRule="exact"/>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2</w:t>
      </w:r>
      <w:bookmarkEnd w:id="79"/>
      <w:r>
        <w:rPr>
          <w:color w:val="000000"/>
          <w:spacing w:val="0"/>
          <w:w w:val="100"/>
          <w:position w:val="0"/>
        </w:rPr>
        <w:t>、收入与成本</w:t>
      </w:r>
      <w:bookmarkEnd w:id="77"/>
      <w:bookmarkEnd w:id="78"/>
      <w:bookmarkEnd w:id="80"/>
    </w:p>
    <w:p>
      <w:pPr>
        <w:pStyle w:val="Style34"/>
        <w:keepNext/>
        <w:keepLines/>
        <w:widowControl w:val="0"/>
        <w:shd w:val="clear" w:color="auto" w:fill="auto"/>
        <w:bidi w:val="0"/>
        <w:spacing w:before="0" w:after="400" w:line="469" w:lineRule="exact"/>
        <w:ind w:left="0" w:right="0" w:firstLine="0"/>
        <w:jc w:val="left"/>
      </w:pPr>
      <w:bookmarkStart w:id="81" w:name="bookmark81"/>
      <w:bookmarkStart w:id="82" w:name="bookmark82"/>
      <w:bookmarkStart w:id="83" w:name="bookmark83"/>
      <w:bookmarkStart w:id="84" w:name="bookmark84"/>
      <w:r>
        <w:rPr>
          <w:color w:val="000000"/>
          <w:spacing w:val="0"/>
          <w:w w:val="100"/>
          <w:position w:val="0"/>
        </w:rPr>
        <w:t>（</w:t>
      </w:r>
      <w:bookmarkEnd w:id="8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81"/>
      <w:bookmarkEnd w:id="82"/>
      <w:bookmarkEnd w:id="84"/>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574,429,448.81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473,819,659.54</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w:t>
            </w:r>
          </w:p>
        </w:tc>
      </w:tr>
      <w:tr>
        <w:trPr>
          <w:trHeight w:val="398"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543,398,694.56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451,806,059.31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31,030,754.25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22,013,600.23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40.96%</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389,764,033.15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353,358,405.67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包装办公用纸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160,132,946.26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98,352,569.87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24,532,469.40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22,108,684.00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149,994,698.53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175,822,531.70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13,374,001.92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10,585,009.48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123,932,914.21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112,156,296.80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17,185,094.34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24,116,036.16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48,024,914.53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29,287,608.02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201,221,516.03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100,499,445.41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20,580,529.99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20,556,659.40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其他（含出口）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115,779.26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796,072.57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-85.46%</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574,429,448.81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473,819,659.54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rPr>
        <w:t>（</w:t>
      </w:r>
      <w:bookmarkEnd w:id="8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85"/>
      <w:bookmarkEnd w:id="86"/>
      <w:bookmarkEnd w:id="8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毛利率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543,398,694.56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410,475,263.80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31,030,754.25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18,477,235.00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24.13%</w:t>
            </w:r>
          </w:p>
        </w:tc>
      </w:tr>
      <w:tr>
        <w:trPr>
          <w:trHeight w:val="398"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389,764,033.15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306,608,488.38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包装办公用纸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160,132,946.26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109,338,775.92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24,532,469.40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13,005,234.50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41.40%</w:t>
            </w:r>
          </w:p>
        </w:tc>
      </w:tr>
      <w:tr>
        <w:trPr>
          <w:trHeight w:val="398"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149,994,698.53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124,732,330.80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13,374,001.92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9,376,568.18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123,932,914.21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92,320,211.06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17,185,094.34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13,101,952.31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48,024,914.53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38,842,805.73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201,221,516.03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136,142,167.21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20,580,529.99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14,374,167.88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其他（含出口）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115,779.26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62,295.63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rPr>
        <w:t>（</w:t>
      </w:r>
      <w:bookmarkEnd w:id="91"/>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89"/>
      <w:bookmarkEnd w:id="90"/>
      <w:bookmarkEnd w:id="92"/>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单位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体彩即开票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千张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3,308,922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2,124,477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千张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3,067,920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2,043,330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千张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422,430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663,432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-36.33%</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包装产品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万个</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万个</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万个</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0.72%</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书刊杂志</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万本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万本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万本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-31.03%</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热敏票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-24.25%</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本年体彩即开票及酒类包装产品销量较上年增长较多。</w:t>
      </w:r>
    </w:p>
    <w:p>
      <w:pPr>
        <w:pStyle w:val="Style34"/>
        <w:keepNext/>
        <w:keepLines/>
        <w:widowControl w:val="0"/>
        <w:shd w:val="clear" w:color="auto" w:fill="auto"/>
        <w:tabs>
          <w:tab w:pos="478" w:val="left"/>
        </w:tabs>
        <w:bidi w:val="0"/>
        <w:spacing w:before="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w:t>
      </w:r>
      <w:bookmarkEnd w:id="9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93"/>
      <w:bookmarkEnd w:id="94"/>
      <w:bookmarkEnd w:id="96"/>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8" w:val="left"/>
        </w:tabs>
        <w:bidi w:val="0"/>
        <w:spacing w:before="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00"/>
      <w:bookmarkEnd w:id="97"/>
      <w:bookmarkEnd w:id="9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306,608,488.38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265,755,564.35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包装办公用纸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109,338,775.92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72,665,538.19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50.47%</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13,005,234.50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20,872,709.69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-37.69%</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78" w:val="left"/>
        </w:tabs>
        <w:bidi w:val="0"/>
        <w:spacing w:before="0" w:line="478" w:lineRule="exact"/>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01"/>
      <w:bookmarkEnd w:id="102"/>
      <w:bookmarkEnd w:id="104"/>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0"/>
        <w:keepNext w:val="0"/>
        <w:keepLines w:val="0"/>
        <w:widowControl w:val="0"/>
        <w:shd w:val="clear" w:color="auto" w:fill="auto"/>
        <w:bidi w:val="0"/>
        <w:spacing w:before="0" w:after="200" w:line="478" w:lineRule="exact"/>
        <w:ind w:left="0" w:right="0" w:firstLine="440"/>
        <w:jc w:val="both"/>
      </w:pPr>
      <w:r>
        <w:rPr>
          <w:color w:val="000000"/>
          <w:spacing w:val="0"/>
          <w:w w:val="100"/>
          <w:position w:val="0"/>
        </w:rPr>
        <w:t>本报告期纳入合并财务报表范围的主体较上年度新增</w:t>
      </w:r>
      <w:r>
        <w:rPr>
          <w:rFonts w:ascii="Times New Roman" w:eastAsia="Times New Roman" w:hAnsi="Times New Roman" w:cs="Times New Roman"/>
          <w:color w:val="000000"/>
          <w:spacing w:val="0"/>
          <w:w w:val="100"/>
          <w:position w:val="0"/>
        </w:rPr>
        <w:t>5</w:t>
      </w:r>
      <w:r>
        <w:rPr>
          <w:color w:val="000000"/>
          <w:spacing w:val="0"/>
          <w:w w:val="100"/>
          <w:position w:val="0"/>
        </w:rPr>
        <w:t>家子公司，其中投资设立珠海寰博科技有限公 司、上海弘博信息技术有限公司、香港鸿博集团有限公司、亿科集团有限公司等</w:t>
      </w:r>
      <w:r>
        <w:rPr>
          <w:rFonts w:ascii="Times New Roman" w:eastAsia="Times New Roman" w:hAnsi="Times New Roman" w:cs="Times New Roman"/>
          <w:color w:val="000000"/>
          <w:spacing w:val="0"/>
          <w:w w:val="100"/>
          <w:position w:val="0"/>
        </w:rPr>
        <w:t>4</w:t>
      </w:r>
      <w:r>
        <w:rPr>
          <w:color w:val="000000"/>
          <w:spacing w:val="0"/>
          <w:w w:val="100"/>
          <w:position w:val="0"/>
        </w:rPr>
        <w:t>家子公司，控股合并成 都标点体育文化发展有限公司等</w:t>
      </w:r>
      <w:r>
        <w:rPr>
          <w:rFonts w:ascii="Times New Roman" w:eastAsia="Times New Roman" w:hAnsi="Times New Roman" w:cs="Times New Roman"/>
          <w:color w:val="000000"/>
          <w:spacing w:val="0"/>
          <w:w w:val="100"/>
          <w:position w:val="0"/>
        </w:rPr>
        <w:t>1</w:t>
      </w:r>
      <w:r>
        <w:rPr>
          <w:color w:val="000000"/>
          <w:spacing w:val="0"/>
          <w:w w:val="100"/>
          <w:position w:val="0"/>
        </w:rPr>
        <w:t>家子公司。</w:t>
      </w:r>
    </w:p>
    <w:p>
      <w:pPr>
        <w:pStyle w:val="Style34"/>
        <w:keepNext/>
        <w:keepLines/>
        <w:widowControl w:val="0"/>
        <w:shd w:val="clear" w:color="auto" w:fill="auto"/>
        <w:tabs>
          <w:tab w:pos="478" w:val="left"/>
        </w:tabs>
        <w:bidi w:val="0"/>
        <w:spacing w:before="0" w:line="478" w:lineRule="exact"/>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05"/>
      <w:bookmarkEnd w:id="106"/>
      <w:bookmarkEnd w:id="108"/>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8" w:val="left"/>
        </w:tabs>
        <w:bidi w:val="0"/>
        <w:spacing w:before="0" w:line="478" w:lineRule="exact"/>
        <w:ind w:left="0" w:right="0" w:firstLine="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09"/>
      <w:bookmarkEnd w:id="110"/>
      <w:bookmarkEnd w:id="112"/>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316,265,341.54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55.06%</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155,966,783.32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122,760,565.49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15,811,221.08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11,732,262.15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9,994,509.50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316,265,341.54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55.06%</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78,205,823.25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30.48%</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26,771,190.75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21,164,334.96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12,595,321.83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9,659,330.57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8,015,645.15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78,205,823.25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30.48%</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3</w:t>
      </w:r>
      <w:bookmarkEnd w:id="115"/>
      <w:r>
        <w:rPr>
          <w:color w:val="000000"/>
          <w:spacing w:val="0"/>
          <w:w w:val="100"/>
          <w:position w:val="0"/>
        </w:rPr>
        <w:t>、费用</w:t>
      </w:r>
      <w:bookmarkEnd w:id="113"/>
      <w:bookmarkEnd w:id="114"/>
      <w:bookmarkEnd w:id="116"/>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20,089,934.46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22,223,128.68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80,268,130.38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79,276,732.49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3,389,101.26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-732,334.63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本年银行借款增加导致财务费用增 加。</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22,985,965.50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21,159,854.45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4</w:t>
      </w:r>
      <w:bookmarkEnd w:id="119"/>
      <w:r>
        <w:rPr>
          <w:color w:val="000000"/>
          <w:spacing w:val="0"/>
          <w:w w:val="100"/>
          <w:position w:val="0"/>
        </w:rPr>
        <w:t>、研发投入</w:t>
      </w:r>
      <w:bookmarkEnd w:id="117"/>
      <w:bookmarkEnd w:id="118"/>
      <w:bookmarkEnd w:id="120"/>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项目目的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提高打印机包装功 效的研发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增加产品功能、提高性 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已申请一项实用新型专利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该技术可以可变数据类产品 上应用推广，如证书证书、 票据、彩票等项目上进行市 场推广。</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一种证书防伪热转 印装置的研发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0" w:lineRule="exact"/>
              <w:ind w:left="0" w:right="0" w:firstLine="0"/>
              <w:jc w:val="both"/>
            </w:pPr>
            <w:r>
              <w:rPr>
                <w:color w:val="000000"/>
                <w:spacing w:val="0"/>
                <w:w w:val="100"/>
                <w:position w:val="0"/>
              </w:rPr>
              <w:t>新研发一种新的证书防 伪热转印装置，从而增 加产品功能、提高性能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已申请一项实用新型专利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该项目技术彩票项目上进行 市场推广。</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一种新型行式热敏 嵌入式彩票打印机 的研发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研发一种新型行式热敏 嵌入式彩票打印机，从 而增加产品功能、提高 性能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试生产阶段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已申请一项实用新型专利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该技术可以在福利彩票、体 育彩票等热敏卷式项目上进 行市场推广。</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一种防伪二维码票 据印制一体化装置 的研发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新研发一种防伪二维码 票据印制一体化装置， 从而增加产品功能、提 高性能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试生产阶段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已申请一项实用新型专利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该技术可以在税务票证、财 务票据、银行中空凭证等项 目进行市场推广。</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一种彩票防伪方法 及终端的研发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新研发一种彩票防伪方 法及终端，从而增加产 品功能、提高性能</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试生产阶段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已申请一项国家发明专利</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该技术可以在现在的彩票业 务上，同时可在新型的彩票 相关项目进行市场推广</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一种证书打印机的 翻页机构的研发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新研发一种证书打印机 的翻页机构，从而增加 产品功能、提高性能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试生产阶段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已申请一项实用新型专利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该技术可以在国家各部委证 件证书等项目进行市场推 广。</w:t>
            </w:r>
          </w:p>
        </w:tc>
      </w:tr>
      <w:tr>
        <w:trPr>
          <w:trHeight w:val="25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新型国产油墨的测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试及应用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为避免进口材料受国际 贸易争端影响不能及时 供应及进口材料品质异 常时的对彩票生产造成 的影响，并进一步提升 彩票的品质、提高彩票 的长期稳定性，更好的 服务于中国彩民。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可完全替代原进口油墨，并 可进一步提升彩票的长期稳 定性。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提升产品的稳定性并减少公 司对进口原材料的依赖，提 升产品品质、增加公司抵抗 风险的能力。</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特殊材料（镭射纸）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应用于彩票生产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利用镭射纸的材料特性 开发相关新产品，在保 证彩票安全性能的同 时，提高彩票防伪水平 并满足消费者对于彩票 感官的更高层次的需 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充分利用镭射纸的材料特</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性，在保证彩票安全性能的 同时，开发适合镭射纸的彩 票品种。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利用镭射纸材料开发新游戏 玩法、扩展彩票品种，提升 公司的竞争力。</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新型柔版的测试及 应用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为避免原材料受国际贸 易争端影响而不能及时 供应及材料品质异常时 的对彩票生产造成的影 响，寻找替代产品在保 证彩票的品质的同时并 保障彩票的稳定供应。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可替代原柔版，可保证印前 制版及印刷生产过程的正常 进行并保证彩票安全的稳定 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避免国际贸易争端、原材料 不能及时供应及原材料材料 品质异常时产生的对彩票生 产及供应造成的影响，增加 公司抵抗风险的能力并提升 客户满意度。</w:t>
            </w:r>
          </w:p>
        </w:tc>
      </w:tr>
      <w:tr>
        <w:trPr>
          <w:trHeight w:val="258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新生产系统新功能 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近年彩票市场供不应 求，客户对即开型彩票 的发货需求会临时调 整。新功能开发后可以 灵活的满足大奖组彩票 生产过程中的分批次完 结游戏时间，以随时发 货满足客户需求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生产过程更灵活的控制游戏 发货进度，满足客户随机需 求</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提高客户满意度，提升公司 竞争力。</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热敏直接制版机的 温控系统及热敏直 接制版机的研发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本项目研发一种热敏直 接制版机的温控系统及 热敏直接制版机以缓解 现有技术中的热敏直接 制版机存在的生产效率 低，经济成本高的技术 问题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已申请实用新型专利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节省了经济成本</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制版机的定位夹持 翻转装置的研发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本项目研发一种制版机 的定位夹持翻转装置，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已申请实用新型专利</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提高了使用者的工作效率</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以解决上述技术中提出 的只能对固定规格板材 夹持，装置使用范围具 有局限性和工作步骤和 工作难度大，工作效率 低的问题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计算机直接制版机 的出料装置的研发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一种计算机直接制版机 的出料装置</w:t>
            </w:r>
            <w:r>
              <w:rPr>
                <w:color w:val="000000"/>
                <w:spacing w:val="0"/>
                <w:w w:val="100"/>
                <w:position w:val="0"/>
                <w:sz w:val="18"/>
                <w:szCs w:val="18"/>
              </w:rPr>
              <w:t>，</w:t>
            </w:r>
            <w:r>
              <w:rPr>
                <w:color w:val="000000"/>
                <w:spacing w:val="0"/>
                <w:w w:val="100"/>
                <w:position w:val="0"/>
              </w:rPr>
              <w:t>能够将从制 版机出料口运出的板材 的较短边转动到送料机 构上，这样便于对板材 的运输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已申请实用新型专利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提高产品的质量</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具有防护功能的自 动锁线机预警装置 的研发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研发一种具有防护功能 的自动锁线机故障预警 装置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已申请实用新型专利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提高产品的质量</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全自动锁线机故障 预警装置的研发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研发一种全自动锁线机 故障预警装置来满足生 产需求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已申请实用新型专利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提高了工作效率</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智能化数字印刷后 加工技术的研发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减少能源消耗或提高能</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源使用效率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小试阶段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已申请实用新型专利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减少能源消耗或提高能源使 用效率</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防伪彩票生产全流 程可视化信息系统 的研发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减少能源消耗或提高能</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源使用效率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小试阶段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已申请实用新型专利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减少能源消耗或提高能源使 用效率</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基于胶版印刷的</w:t>
            </w:r>
          </w:p>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LED-UV</w:t>
            </w:r>
            <w:r>
              <w:rPr>
                <w:color w:val="000000"/>
                <w:spacing w:val="0"/>
                <w:w w:val="100"/>
                <w:position w:val="0"/>
              </w:rPr>
              <w:t>印刷固化 技术的研发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减少能源消耗或提高能</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源使用效率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小试阶段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已申请实用新型专利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减少能源消耗或提高能源使 用效率</w:t>
            </w:r>
          </w:p>
        </w:tc>
      </w:tr>
      <w:tr>
        <w:trPr>
          <w:trHeight w:val="10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防伪油墨卷凹组合 绿色印刷工艺的研 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减少能源消耗或提高能</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源使用效率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小试阶段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已申请实用新型专利</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减少能源消耗或提高能源使 用效率</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22,985,965.50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21,159,854.45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公司研发人员构成发生重大变化的原因及影响</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5</w:t>
      </w:r>
      <w:bookmarkEnd w:id="123"/>
      <w:r>
        <w:rPr>
          <w:color w:val="000000"/>
          <w:spacing w:val="0"/>
          <w:w w:val="100"/>
          <w:position w:val="0"/>
        </w:rPr>
        <w:t>、现金流</w:t>
      </w:r>
      <w:bookmarkEnd w:id="121"/>
      <w:bookmarkEnd w:id="122"/>
      <w:bookmarkEnd w:id="124"/>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1,166,083,975.34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643,830,553.66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1,157,690,469.20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548,913,801.25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8,393,506.14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94,916,752.41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1,590,181,987.18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2,419,602,599.56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1,681,062,374.89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2,402,368,863.51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-90,880,387.71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17,233,736.05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389,934,930.60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217.02%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195,930,733.49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149,737,572.11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194,004,197.11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-26,737,572.11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825.59%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111,515,819.27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85,409,912.73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30.57%</w:t>
            </w:r>
          </w:p>
        </w:tc>
      </w:tr>
    </w:tbl>
    <w:p>
      <w:pPr>
        <w:pStyle w:val="Style26"/>
        <w:keepNext w:val="0"/>
        <w:keepLines w:val="0"/>
        <w:widowControl w:val="0"/>
        <w:shd w:val="clear" w:color="auto" w:fill="auto"/>
        <w:bidi w:val="0"/>
        <w:spacing w:before="0" w:line="350" w:lineRule="exact"/>
        <w:ind w:left="0" w:right="0" w:firstLine="0"/>
        <w:jc w:val="left"/>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经营活动现金流入较上年增加</w:t>
      </w:r>
      <w:r>
        <w:rPr>
          <w:rFonts w:ascii="Times New Roman" w:eastAsia="Times New Roman" w:hAnsi="Times New Roman" w:cs="Times New Roman"/>
          <w:color w:val="000000"/>
          <w:spacing w:val="0"/>
          <w:w w:val="100"/>
          <w:position w:val="0"/>
          <w:sz w:val="18"/>
          <w:szCs w:val="18"/>
        </w:rPr>
        <w:t>81.12%</w:t>
      </w:r>
      <w:r>
        <w:rPr>
          <w:color w:val="000000"/>
          <w:spacing w:val="0"/>
          <w:w w:val="100"/>
          <w:position w:val="0"/>
        </w:rPr>
        <w:t>，经营活动现金流出较上年增加</w:t>
      </w:r>
      <w:r>
        <w:rPr>
          <w:rFonts w:ascii="Times New Roman" w:eastAsia="Times New Roman" w:hAnsi="Times New Roman" w:cs="Times New Roman"/>
          <w:color w:val="000000"/>
          <w:spacing w:val="0"/>
          <w:w w:val="100"/>
          <w:position w:val="0"/>
          <w:sz w:val="18"/>
          <w:szCs w:val="18"/>
        </w:rPr>
        <w:t>110.91%</w:t>
      </w:r>
      <w:r>
        <w:rPr>
          <w:color w:val="000000"/>
          <w:spacing w:val="0"/>
          <w:w w:val="100"/>
          <w:position w:val="0"/>
        </w:rPr>
        <w:t>，主要是本年新增纸浆贸易所致；</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经营活动产生的现金流量净额较上年减少</w:t>
      </w:r>
      <w:r>
        <w:rPr>
          <w:rFonts w:ascii="Times New Roman" w:eastAsia="Times New Roman" w:hAnsi="Times New Roman" w:cs="Times New Roman"/>
          <w:color w:val="000000"/>
          <w:spacing w:val="0"/>
          <w:w w:val="100"/>
          <w:position w:val="0"/>
          <w:sz w:val="18"/>
          <w:szCs w:val="18"/>
        </w:rPr>
        <w:t>91.16%</w:t>
      </w:r>
      <w:r>
        <w:rPr>
          <w:color w:val="000000"/>
          <w:spacing w:val="0"/>
          <w:w w:val="100"/>
          <w:position w:val="0"/>
        </w:rPr>
        <w:t>，主要是由于应收货款未到结算期所致；</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投资活动现金流入较上年减少</w:t>
      </w:r>
      <w:r>
        <w:rPr>
          <w:rFonts w:ascii="Times New Roman" w:eastAsia="Times New Roman" w:hAnsi="Times New Roman" w:cs="Times New Roman"/>
          <w:color w:val="000000"/>
          <w:spacing w:val="0"/>
          <w:w w:val="100"/>
          <w:position w:val="0"/>
          <w:sz w:val="18"/>
          <w:szCs w:val="18"/>
        </w:rPr>
        <w:t>34.28%</w:t>
      </w:r>
      <w:r>
        <w:rPr>
          <w:color w:val="000000"/>
          <w:spacing w:val="0"/>
          <w:w w:val="100"/>
          <w:position w:val="0"/>
        </w:rPr>
        <w:t>，投资活动现金流出较上年减少</w:t>
      </w:r>
      <w:r>
        <w:rPr>
          <w:rFonts w:ascii="Times New Roman" w:eastAsia="Times New Roman" w:hAnsi="Times New Roman" w:cs="Times New Roman"/>
          <w:color w:val="000000"/>
          <w:spacing w:val="0"/>
          <w:w w:val="100"/>
          <w:position w:val="0"/>
          <w:sz w:val="18"/>
          <w:szCs w:val="18"/>
        </w:rPr>
        <w:t>30.02%</w:t>
      </w:r>
      <w:r>
        <w:rPr>
          <w:color w:val="000000"/>
          <w:spacing w:val="0"/>
          <w:w w:val="100"/>
          <w:position w:val="0"/>
        </w:rPr>
        <w:t>，主要是本年购买银行理财频次减少所致;</w:t>
      </w:r>
    </w:p>
    <w:p>
      <w:pPr>
        <w:pStyle w:val="Style26"/>
        <w:keepNext w:val="0"/>
        <w:keepLines w:val="0"/>
        <w:widowControl w:val="0"/>
        <w:shd w:val="clear" w:color="auto" w:fill="auto"/>
        <w:bidi w:val="0"/>
        <w:spacing w:before="0" w:line="350" w:lineRule="exact"/>
        <w:ind w:left="0" w:right="0" w:firstLine="0"/>
        <w:jc w:val="left"/>
      </w:pPr>
      <w:r>
        <w:rPr>
          <w:color w:val="000000"/>
          <w:spacing w:val="0"/>
          <w:w w:val="100"/>
          <w:position w:val="0"/>
        </w:rPr>
        <w:t>投资活动产生的现金流量净额较上年减少</w:t>
      </w:r>
      <w:r>
        <w:rPr>
          <w:rFonts w:ascii="Times New Roman" w:eastAsia="Times New Roman" w:hAnsi="Times New Roman" w:cs="Times New Roman"/>
          <w:color w:val="000000"/>
          <w:spacing w:val="0"/>
          <w:w w:val="100"/>
          <w:position w:val="0"/>
          <w:sz w:val="18"/>
          <w:szCs w:val="18"/>
        </w:rPr>
        <w:t>627.34%</w:t>
      </w:r>
      <w:r>
        <w:rPr>
          <w:color w:val="000000"/>
          <w:spacing w:val="0"/>
          <w:w w:val="100"/>
          <w:position w:val="0"/>
        </w:rPr>
        <w:t>，主要是本年末银行理财产品未到期，同时本年发生股权投资所致； 筹资活动现金流入较上年增加</w:t>
      </w:r>
      <w:r>
        <w:rPr>
          <w:rFonts w:ascii="Times New Roman" w:eastAsia="Times New Roman" w:hAnsi="Times New Roman" w:cs="Times New Roman"/>
          <w:color w:val="000000"/>
          <w:spacing w:val="0"/>
          <w:w w:val="100"/>
          <w:position w:val="0"/>
          <w:sz w:val="18"/>
          <w:szCs w:val="18"/>
        </w:rPr>
        <w:t>217.02%</w:t>
      </w:r>
      <w:r>
        <w:rPr>
          <w:color w:val="000000"/>
          <w:spacing w:val="0"/>
          <w:w w:val="100"/>
          <w:position w:val="0"/>
        </w:rPr>
        <w:t>，主要是本年银行借款收到的现金增加；</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筹资活动现金流出较上年增加</w:t>
      </w:r>
      <w:r>
        <w:rPr>
          <w:rFonts w:ascii="Times New Roman" w:eastAsia="Times New Roman" w:hAnsi="Times New Roman" w:cs="Times New Roman"/>
          <w:color w:val="000000"/>
          <w:spacing w:val="0"/>
          <w:w w:val="100"/>
          <w:position w:val="0"/>
          <w:sz w:val="18"/>
          <w:szCs w:val="18"/>
        </w:rPr>
        <w:t>30.85%</w:t>
      </w:r>
      <w:r>
        <w:rPr>
          <w:color w:val="000000"/>
          <w:spacing w:val="0"/>
          <w:w w:val="100"/>
          <w:position w:val="0"/>
        </w:rPr>
        <w:t>，主要是导致偿还银行借款本金及利息增加，同时本年支付少数股权股利所致;</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筹资活动产生的现金流量净额较上年增加</w:t>
      </w:r>
      <w:r>
        <w:rPr>
          <w:rFonts w:ascii="Times New Roman" w:eastAsia="Times New Roman" w:hAnsi="Times New Roman" w:cs="Times New Roman"/>
          <w:color w:val="000000"/>
          <w:spacing w:val="0"/>
          <w:w w:val="100"/>
          <w:position w:val="0"/>
          <w:sz w:val="18"/>
          <w:szCs w:val="18"/>
        </w:rPr>
        <w:t>825.59%</w:t>
      </w:r>
      <w:r>
        <w:rPr>
          <w:color w:val="000000"/>
          <w:spacing w:val="0"/>
          <w:w w:val="100"/>
          <w:position w:val="0"/>
        </w:rPr>
        <w:t>，主要是本年银行借款收到的现金增加；</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现金及现金等价物净增加额较上年增加</w:t>
      </w:r>
      <w:r>
        <w:rPr>
          <w:rFonts w:ascii="Times New Roman" w:eastAsia="Times New Roman" w:hAnsi="Times New Roman" w:cs="Times New Roman"/>
          <w:color w:val="000000"/>
          <w:spacing w:val="0"/>
          <w:w w:val="100"/>
          <w:position w:val="0"/>
          <w:sz w:val="18"/>
          <w:szCs w:val="18"/>
        </w:rPr>
        <w:t>30.57%</w:t>
      </w:r>
      <w:r>
        <w:rPr>
          <w:color w:val="000000"/>
          <w:spacing w:val="0"/>
          <w:w w:val="100"/>
          <w:position w:val="0"/>
        </w:rPr>
        <w:t>，主要是本年银行借款收到的现金增加所致。</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400" w:line="240" w:lineRule="auto"/>
        <w:ind w:left="0" w:right="0" w:firstLine="0"/>
        <w:jc w:val="left"/>
        <w:rPr>
          <w:sz w:val="18"/>
          <w:szCs w:val="18"/>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第十节、七、</w:t>
      </w:r>
      <w:r>
        <w:rPr>
          <w:rFonts w:ascii="Times New Roman" w:eastAsia="Times New Roman" w:hAnsi="Times New Roman" w:cs="Times New Roman"/>
          <w:color w:val="000000"/>
          <w:spacing w:val="0"/>
          <w:w w:val="100"/>
          <w:position w:val="0"/>
          <w:sz w:val="18"/>
          <w:szCs w:val="18"/>
        </w:rPr>
        <w:t>79</w:t>
      </w:r>
      <w:r>
        <w:rPr>
          <w:color w:val="000000"/>
          <w:spacing w:val="0"/>
          <w:w w:val="100"/>
          <w:position w:val="0"/>
          <w:sz w:val="17"/>
          <w:szCs w:val="17"/>
        </w:rPr>
        <w:t>、现金流量表补充资料</w:t>
      </w:r>
      <w:r>
        <w:rPr>
          <w:rFonts w:ascii="Times New Roman" w:eastAsia="Times New Roman" w:hAnsi="Times New Roman" w:cs="Times New Roman"/>
          <w:color w:val="000000"/>
          <w:spacing w:val="0"/>
          <w:w w:val="100"/>
          <w:position w:val="0"/>
          <w:sz w:val="18"/>
          <w:szCs w:val="18"/>
        </w:rPr>
        <w:t>”</w:t>
      </w:r>
    </w:p>
    <w:p>
      <w:pPr>
        <w:pStyle w:val="Style21"/>
        <w:keepNext/>
        <w:keepLines/>
        <w:widowControl w:val="0"/>
        <w:shd w:val="clear" w:color="auto" w:fill="auto"/>
        <w:bidi w:val="0"/>
        <w:spacing w:before="0" w:after="36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五</w:t>
      </w:r>
      <w:bookmarkEnd w:id="127"/>
      <w:r>
        <w:rPr>
          <w:color w:val="000000"/>
          <w:spacing w:val="0"/>
          <w:w w:val="100"/>
          <w:position w:val="0"/>
        </w:rPr>
        <w:t>、非主营业务分析</w:t>
      </w:r>
      <w:bookmarkEnd w:id="125"/>
      <w:bookmarkEnd w:id="126"/>
      <w:bookmarkEnd w:id="12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15,005,090.04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理财产品收益及投资分红</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7,913,675.31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金融资产评估增值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-12,391,533.86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存货、固定资产、商誉减值 计提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125,162.82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283,030.67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-6,064,420.29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应收款项坏账准备计提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7,568,913.01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政府补助</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1"/>
        <w:keepNext/>
        <w:keepLines/>
        <w:widowControl w:val="0"/>
        <w:shd w:val="clear" w:color="auto" w:fill="auto"/>
        <w:bidi w:val="0"/>
        <w:spacing w:before="0" w:after="36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六</w:t>
      </w:r>
      <w:bookmarkEnd w:id="131"/>
      <w:r>
        <w:rPr>
          <w:color w:val="000000"/>
          <w:spacing w:val="0"/>
          <w:w w:val="100"/>
          <w:position w:val="0"/>
        </w:rPr>
        <w:t>、资产及负债状况分析</w:t>
      </w:r>
      <w:bookmarkEnd w:id="129"/>
      <w:bookmarkEnd w:id="130"/>
      <w:bookmarkEnd w:id="132"/>
    </w:p>
    <w:p>
      <w:pPr>
        <w:pStyle w:val="Style29"/>
        <w:keepNext/>
        <w:keepLines/>
        <w:widowControl w:val="0"/>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1</w:t>
      </w:r>
      <w:bookmarkEnd w:id="135"/>
      <w:r>
        <w:rPr>
          <w:color w:val="000000"/>
          <w:spacing w:val="0"/>
          <w:w w:val="100"/>
          <w:position w:val="0"/>
        </w:rPr>
        <w:t>、资产构成重大变动情况</w:t>
      </w:r>
      <w:bookmarkEnd w:id="133"/>
      <w:bookmarkEnd w:id="134"/>
      <w:bookmarkEnd w:id="136"/>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占总资产比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1,040,954,947.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926,780,292.82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172,981,230.6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69,795,091.24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期末余额较年初增长</w:t>
            </w:r>
            <w:r>
              <w:rPr>
                <w:rFonts w:ascii="Times New Roman" w:eastAsia="Times New Roman" w:hAnsi="Times New Roman" w:cs="Times New Roman"/>
                <w:color w:val="000000"/>
                <w:spacing w:val="0"/>
                <w:w w:val="100"/>
                <w:position w:val="0"/>
                <w:sz w:val="18"/>
                <w:szCs w:val="18"/>
              </w:rPr>
              <w:t>147.84%</w:t>
            </w:r>
            <w:r>
              <w:rPr>
                <w:color w:val="000000"/>
                <w:spacing w:val="0"/>
                <w:w w:val="100"/>
                <w:position w:val="0"/>
              </w:rPr>
              <w:t>，主要 是期末客户货款未到账期所致。</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77,808,086.75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109,056,467.22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16,761,492.30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19,580,692.38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428,424,720.0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467,197,104.76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251,837.10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392,831.55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22,678,062.11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32,140,200.89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313,406,138.8</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123,158,231.94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期末余额较年初增长</w:t>
            </w:r>
            <w:r>
              <w:rPr>
                <w:rFonts w:ascii="Times New Roman" w:eastAsia="Times New Roman" w:hAnsi="Times New Roman" w:cs="Times New Roman"/>
                <w:color w:val="000000"/>
                <w:spacing w:val="0"/>
                <w:w w:val="100"/>
                <w:position w:val="0"/>
                <w:sz w:val="18"/>
                <w:szCs w:val="18"/>
              </w:rPr>
              <w:t>154.47%</w:t>
            </w:r>
            <w:r>
              <w:rPr>
                <w:color w:val="000000"/>
                <w:spacing w:val="0"/>
                <w:w w:val="100"/>
                <w:position w:val="0"/>
              </w:rPr>
              <w:t>，主要 是本期银行借款增加导致。</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13,896,472.64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27,783,678.61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期末余额较年初下降</w:t>
            </w:r>
            <w:r>
              <w:rPr>
                <w:rFonts w:ascii="Times New Roman" w:eastAsia="Times New Roman" w:hAnsi="Times New Roman" w:cs="Times New Roman"/>
                <w:color w:val="000000"/>
                <w:spacing w:val="0"/>
                <w:w w:val="100"/>
                <w:position w:val="0"/>
                <w:sz w:val="18"/>
                <w:szCs w:val="18"/>
              </w:rPr>
              <w:t>49.98%</w:t>
            </w:r>
            <w:r>
              <w:rPr>
                <w:color w:val="000000"/>
                <w:spacing w:val="0"/>
                <w:w w:val="100"/>
                <w:position w:val="0"/>
              </w:rPr>
              <w:t>，主要是 本年发货结转收入导致。</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50,065,972.22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期末余额较年初增长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，主要是 本年新增银行借款所致。</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15,025,514.90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37,404,785.93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期末余额较年初下降</w:t>
            </w:r>
            <w:r>
              <w:rPr>
                <w:rFonts w:ascii="Times New Roman" w:eastAsia="Times New Roman" w:hAnsi="Times New Roman" w:cs="Times New Roman"/>
                <w:color w:val="000000"/>
                <w:spacing w:val="0"/>
                <w:w w:val="100"/>
                <w:position w:val="0"/>
                <w:sz w:val="18"/>
                <w:szCs w:val="18"/>
              </w:rPr>
              <w:t>59.83%</w:t>
            </w:r>
            <w:r>
              <w:rPr>
                <w:color w:val="000000"/>
                <w:spacing w:val="0"/>
                <w:w w:val="100"/>
                <w:position w:val="0"/>
              </w:rPr>
              <w:t>，主要是 主要是本年租金支付以及一年内到 期租赁负债重分类至一年内到期的 非流动负债列报所致。</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期末余额较年初增长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，主要是 期末银行理财产品未到期所致。</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14,233,159.58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4,075,840.58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期末余额较年初增长</w:t>
            </w:r>
            <w:r>
              <w:rPr>
                <w:rFonts w:ascii="Times New Roman" w:eastAsia="Times New Roman" w:hAnsi="Times New Roman" w:cs="Times New Roman"/>
                <w:color w:val="000000"/>
                <w:spacing w:val="0"/>
                <w:w w:val="100"/>
                <w:position w:val="0"/>
                <w:sz w:val="18"/>
                <w:szCs w:val="18"/>
              </w:rPr>
              <w:t>249.21%</w:t>
            </w:r>
            <w:r>
              <w:rPr>
                <w:color w:val="000000"/>
                <w:spacing w:val="0"/>
                <w:w w:val="100"/>
                <w:position w:val="0"/>
              </w:rPr>
              <w:t>，主要 是原材料采购及贸易采购导致预付 货款增加。</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 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期末余额较年初增长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，主要是 本年投资广州科语机器人有限公司 所致。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57,632,744.00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40,359,243.33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期末余额较年初增长</w:t>
            </w:r>
            <w:r>
              <w:rPr>
                <w:rFonts w:ascii="Times New Roman" w:eastAsia="Times New Roman" w:hAnsi="Times New Roman" w:cs="Times New Roman"/>
                <w:color w:val="000000"/>
                <w:spacing w:val="0"/>
                <w:w w:val="100"/>
                <w:position w:val="0"/>
                <w:sz w:val="18"/>
                <w:szCs w:val="18"/>
              </w:rPr>
              <w:t>42.80%</w:t>
            </w:r>
            <w:r>
              <w:rPr>
                <w:color w:val="000000"/>
                <w:spacing w:val="0"/>
                <w:w w:val="100"/>
                <w:position w:val="0"/>
              </w:rPr>
              <w:t>，主要是 本年控股合并成都标点所致。</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15,326,712.22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23,975,735.51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期末余额较年初减少</w:t>
            </w:r>
            <w:r>
              <w:rPr>
                <w:rFonts w:ascii="Times New Roman" w:eastAsia="Times New Roman" w:hAnsi="Times New Roman" w:cs="Times New Roman"/>
                <w:color w:val="000000"/>
                <w:spacing w:val="0"/>
                <w:w w:val="100"/>
                <w:position w:val="0"/>
                <w:sz w:val="18"/>
                <w:szCs w:val="18"/>
              </w:rPr>
              <w:t>36.07%</w:t>
            </w:r>
            <w:r>
              <w:rPr>
                <w:color w:val="000000"/>
                <w:spacing w:val="0"/>
                <w:w w:val="100"/>
                <w:position w:val="0"/>
              </w:rPr>
              <w:t>，主要是 本年摊销所致。</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37,749,125.28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28,870,534.45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期末余额较年初增长</w:t>
            </w:r>
            <w:r>
              <w:rPr>
                <w:rFonts w:ascii="Times New Roman" w:eastAsia="Times New Roman" w:hAnsi="Times New Roman" w:cs="Times New Roman"/>
                <w:color w:val="000000"/>
                <w:spacing w:val="0"/>
                <w:w w:val="100"/>
                <w:position w:val="0"/>
                <w:sz w:val="18"/>
                <w:szCs w:val="18"/>
              </w:rPr>
              <w:t>30.75%</w:t>
            </w:r>
            <w:r>
              <w:rPr>
                <w:color w:val="000000"/>
                <w:spacing w:val="0"/>
                <w:w w:val="100"/>
                <w:position w:val="0"/>
              </w:rPr>
              <w:t>，主要是 本年可弥补亏损计提递延所得税资 产所致。</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14,469,084.07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9,491,468.24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期末余额较年初增长</w:t>
            </w:r>
            <w:r>
              <w:rPr>
                <w:rFonts w:ascii="Times New Roman" w:eastAsia="Times New Roman" w:hAnsi="Times New Roman" w:cs="Times New Roman"/>
                <w:color w:val="000000"/>
                <w:spacing w:val="0"/>
                <w:w w:val="100"/>
                <w:position w:val="0"/>
                <w:sz w:val="18"/>
                <w:szCs w:val="18"/>
              </w:rPr>
              <w:t>52.44%</w:t>
            </w:r>
            <w:r>
              <w:rPr>
                <w:color w:val="000000"/>
                <w:spacing w:val="0"/>
                <w:w w:val="100"/>
                <w:position w:val="0"/>
              </w:rPr>
              <w:t>，主要是 由于本年收入及盈利增长导致税费 增长所致。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16,124,974.51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10,442,914.10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期末余额较年初增长</w:t>
            </w:r>
            <w:r>
              <w:rPr>
                <w:rFonts w:ascii="Times New Roman" w:eastAsia="Times New Roman" w:hAnsi="Times New Roman" w:cs="Times New Roman"/>
                <w:color w:val="000000"/>
                <w:spacing w:val="0"/>
                <w:w w:val="100"/>
                <w:position w:val="0"/>
                <w:sz w:val="18"/>
                <w:szCs w:val="18"/>
              </w:rPr>
              <w:t>54.41%</w:t>
            </w:r>
            <w:r>
              <w:rPr>
                <w:color w:val="000000"/>
                <w:spacing w:val="0"/>
                <w:w w:val="100"/>
                <w:position w:val="0"/>
              </w:rPr>
              <w:t>，主要是 本年计提下市票销毁费用所致。</w:t>
            </w:r>
          </w:p>
        </w:tc>
      </w:tr>
      <w:tr>
        <w:trPr>
          <w:trHeight w:val="10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11,391,405.96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期末余额较年初增长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，主要是 本年首次执行新租赁准则，将于一年 内到期的租赁负债重分类所致。</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2</w:t>
      </w:r>
      <w:bookmarkEnd w:id="139"/>
      <w:r>
        <w:rPr>
          <w:color w:val="000000"/>
          <w:spacing w:val="0"/>
          <w:w w:val="100"/>
          <w:position w:val="0"/>
        </w:rPr>
        <w:t>、以公允价值计量的资产和负债</w:t>
      </w:r>
      <w:bookmarkEnd w:id="137"/>
      <w:bookmarkEnd w:id="138"/>
      <w:bookmarkEnd w:id="140"/>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104"/>
        <w:gridCol w:w="1094"/>
        <w:gridCol w:w="1090"/>
        <w:gridCol w:w="1090"/>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本期购买金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本期出售金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368,186,169.4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6,105,257.76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-5,108,400.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409,183,027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368,186,169.4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6,105,257.76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-5,108,400.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459,183,027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应收融资款 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666,958.23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-666,958.23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19,405.00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368,853,127.6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6,105,257.76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1,655,019,40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-5,775,358.</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459,202,432</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其他变动的内容</w:t>
      </w:r>
    </w:p>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月，华盖信诚医疗健康投资成都合伙企业（有限合伙）以减资形式分配向公司分配</w:t>
      </w:r>
      <w:r>
        <w:rPr>
          <w:rFonts w:ascii="Times New Roman" w:eastAsia="Times New Roman" w:hAnsi="Times New Roman" w:cs="Times New Roman"/>
          <w:color w:val="000000"/>
          <w:spacing w:val="0"/>
          <w:w w:val="100"/>
          <w:position w:val="0"/>
          <w:sz w:val="18"/>
          <w:szCs w:val="18"/>
        </w:rPr>
        <w:t>5,108,400.00</w:t>
      </w:r>
      <w:r>
        <w:rPr>
          <w:color w:val="000000"/>
          <w:spacing w:val="0"/>
          <w:w w:val="100"/>
          <w:position w:val="0"/>
        </w:rPr>
        <w:t>元，分配后，出资 比例不变。</w:t>
      </w:r>
    </w:p>
    <w:p>
      <w:pPr>
        <w:pStyle w:val="Style26"/>
        <w:keepNext w:val="0"/>
        <w:keepLines w:val="0"/>
        <w:widowControl w:val="0"/>
        <w:shd w:val="clear" w:color="auto" w:fill="auto"/>
        <w:bidi w:val="0"/>
        <w:spacing w:before="0" w:line="322" w:lineRule="exact"/>
        <w:ind w:left="0" w:right="0" w:firstLine="0"/>
        <w:jc w:val="left"/>
      </w:pPr>
      <w:r>
        <w:rPr>
          <w:color w:val="000000"/>
          <w:spacing w:val="0"/>
          <w:w w:val="100"/>
          <w:position w:val="0"/>
        </w:rPr>
        <w:t>报告期内公司主要资产计量属性是否发生重大变化</w:t>
      </w:r>
    </w:p>
    <w:p>
      <w:pPr>
        <w:pStyle w:val="Style26"/>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2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、截至报告期末的资产权利受限情况</w:t>
      </w:r>
      <w:bookmarkEnd w:id="141"/>
      <w:bookmarkEnd w:id="142"/>
      <w:bookmarkEnd w:id="144"/>
    </w:p>
    <w:tbl>
      <w:tblPr>
        <w:tblOverlap w:val="never"/>
        <w:jc w:val="center"/>
        <w:tblLayout w:type="fixed"/>
      </w:tblPr>
      <w:tblGrid>
        <w:gridCol w:w="4718"/>
        <w:gridCol w:w="2525"/>
        <w:gridCol w:w="2434"/>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受限原因</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24,465,764.51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票据保证金、贷款保证金等</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114,308,360.66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借款质押</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25,241,312.99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14,206,212.92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178,221,651.08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1"/>
        <w:keepNext/>
        <w:keepLines/>
        <w:widowControl w:val="0"/>
        <w:shd w:val="clear" w:color="auto" w:fill="auto"/>
        <w:bidi w:val="0"/>
        <w:spacing w:before="0" w:after="36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七</w:t>
      </w:r>
      <w:bookmarkEnd w:id="147"/>
      <w:r>
        <w:rPr>
          <w:color w:val="000000"/>
          <w:spacing w:val="0"/>
          <w:w w:val="100"/>
          <w:position w:val="0"/>
        </w:rPr>
        <w:t>、投资状况分析</w:t>
      </w:r>
      <w:bookmarkEnd w:id="145"/>
      <w:bookmarkEnd w:id="146"/>
      <w:bookmarkEnd w:id="148"/>
    </w:p>
    <w:p>
      <w:pPr>
        <w:pStyle w:val="Style29"/>
        <w:keepNext/>
        <w:keepLines/>
        <w:widowControl w:val="0"/>
        <w:shd w:val="clear" w:color="auto" w:fill="auto"/>
        <w:bidi w:val="0"/>
        <w:spacing w:before="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1</w:t>
      </w:r>
      <w:bookmarkEnd w:id="151"/>
      <w:r>
        <w:rPr>
          <w:color w:val="000000"/>
          <w:spacing w:val="0"/>
          <w:w w:val="100"/>
          <w:position w:val="0"/>
        </w:rPr>
        <w:t>、总体情况</w:t>
      </w:r>
      <w:bookmarkEnd w:id="149"/>
      <w:bookmarkEnd w:id="150"/>
      <w:bookmarkEnd w:id="152"/>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报告期投资额（元）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269,406,365.00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499.00%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2</w:t>
      </w:r>
      <w:bookmarkEnd w:id="155"/>
      <w:r>
        <w:rPr>
          <w:color w:val="000000"/>
          <w:spacing w:val="0"/>
          <w:w w:val="100"/>
          <w:position w:val="0"/>
        </w:rPr>
        <w:t>、报告期内获取的重大的股权投资情况</w:t>
      </w:r>
      <w:bookmarkEnd w:id="153"/>
      <w:bookmarkEnd w:id="154"/>
      <w:bookmarkEnd w:id="15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165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主要业 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投资方 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持股比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资金来 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投资期 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产品类 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预计收</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本期投</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资盈亏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是否涉 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披露日</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期（如</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披露索 引（如 有）</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广州科</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语机器 人有限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家用电 力器具 制造、 机器人</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技术研 发等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家用电 力器具 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股权产</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权已全</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部过户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成都标 点体育 文化发 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体育赛 事策 划、市 场营销 策划等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22,950,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股权产</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权已全</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部过户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1,517,1</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河南濮 郡金勤 产业投 资基金 一期合 伙企业 （有限 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投资管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投资管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股权产</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权已全</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部过户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212,95 </w:t>
            </w:r>
            <w:r>
              <w:rPr>
                <w:rFonts w:ascii="Times New Roman" w:eastAsia="Times New Roman" w:hAnsi="Times New Roman" w:cs="Times New Roman"/>
                <w:color w:val="000000"/>
                <w:spacing w:val="0"/>
                <w:w w:val="100"/>
                <w:position w:val="0"/>
                <w:sz w:val="18"/>
                <w:szCs w:val="18"/>
              </w:rPr>
              <w:t xml:space="preserve">0,000.0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1,517,1</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66.43</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keepLines/>
        <w:widowControl w:val="0"/>
        <w:shd w:val="clear" w:color="auto" w:fill="auto"/>
        <w:tabs>
          <w:tab w:pos="368" w:val="left"/>
        </w:tabs>
        <w:bidi w:val="0"/>
        <w:spacing w:before="0" w:after="38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3</w:t>
      </w:r>
      <w:bookmarkEnd w:id="159"/>
      <w:r>
        <w:rPr>
          <w:color w:val="000000"/>
          <w:spacing w:val="0"/>
          <w:w w:val="100"/>
          <w:position w:val="0"/>
        </w:rPr>
        <w:t>、</w:t>
        <w:tab/>
        <w:t>报告期内正在进行的重大的非股权投资情况</w:t>
      </w:r>
      <w:bookmarkEnd w:id="157"/>
      <w:bookmarkEnd w:id="158"/>
      <w:bookmarkEnd w:id="16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68" w:val="left"/>
        </w:tabs>
        <w:bidi w:val="0"/>
        <w:spacing w:before="0" w:after="38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4</w:t>
      </w:r>
      <w:bookmarkEnd w:id="163"/>
      <w:r>
        <w:rPr>
          <w:color w:val="000000"/>
          <w:spacing w:val="0"/>
          <w:w w:val="100"/>
          <w:position w:val="0"/>
        </w:rPr>
        <w:t>、</w:t>
        <w:tab/>
        <w:t>金融资产投资</w:t>
      </w:r>
      <w:bookmarkEnd w:id="161"/>
      <w:bookmarkEnd w:id="162"/>
      <w:bookmarkEnd w:id="164"/>
    </w:p>
    <w:p>
      <w:pPr>
        <w:pStyle w:val="Style34"/>
        <w:keepNext/>
        <w:keepLines/>
        <w:widowControl w:val="0"/>
        <w:shd w:val="clear" w:color="auto" w:fill="auto"/>
        <w:tabs>
          <w:tab w:pos="478" w:val="left"/>
        </w:tabs>
        <w:bidi w:val="0"/>
        <w:spacing w:before="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65"/>
      <w:bookmarkEnd w:id="166"/>
      <w:bookmarkEnd w:id="16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4"/>
        <w:keepNext/>
        <w:keepLines/>
        <w:widowControl w:val="0"/>
        <w:shd w:val="clear" w:color="auto" w:fill="auto"/>
        <w:tabs>
          <w:tab w:pos="478" w:val="left"/>
        </w:tabs>
        <w:bidi w:val="0"/>
        <w:spacing w:before="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w:t>
      </w:r>
      <w:bookmarkEnd w:id="171"/>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69"/>
      <w:bookmarkEnd w:id="170"/>
      <w:bookmarkEnd w:id="172"/>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9"/>
        <w:keepNext/>
        <w:keepLines/>
        <w:widowControl w:val="0"/>
        <w:shd w:val="clear" w:color="auto" w:fill="auto"/>
        <w:tabs>
          <w:tab w:pos="368" w:val="left"/>
        </w:tabs>
        <w:bidi w:val="0"/>
        <w:spacing w:before="0" w:after="38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5</w:t>
      </w:r>
      <w:bookmarkEnd w:id="175"/>
      <w:r>
        <w:rPr>
          <w:color w:val="000000"/>
          <w:spacing w:val="0"/>
          <w:w w:val="100"/>
          <w:position w:val="0"/>
        </w:rPr>
        <w:t>、</w:t>
        <w:tab/>
        <w:t>募集资金使用情况</w:t>
      </w:r>
      <w:bookmarkEnd w:id="173"/>
      <w:bookmarkEnd w:id="174"/>
      <w:bookmarkEnd w:id="176"/>
    </w:p>
    <w:p>
      <w:pPr>
        <w:pStyle w:val="Style26"/>
        <w:keepNext w:val="0"/>
        <w:keepLines w:val="0"/>
        <w:widowControl w:val="0"/>
        <w:numPr>
          <w:ilvl w:val="0"/>
          <w:numId w:val="5"/>
        </w:numPr>
        <w:shd w:val="clear" w:color="auto" w:fill="auto"/>
        <w:tabs>
          <w:tab w:pos="291" w:val="left"/>
          <w:tab w:pos="723" w:val="left"/>
        </w:tabs>
        <w:bidi w:val="0"/>
        <w:spacing w:before="0" w:after="380" w:line="240" w:lineRule="auto"/>
        <w:ind w:left="0" w:right="0" w:firstLine="0"/>
        <w:jc w:val="left"/>
      </w:pPr>
      <w:bookmarkStart w:id="177" w:name="bookmark177"/>
      <w:bookmarkEnd w:id="177"/>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w:t>
      </w:r>
      <w:bookmarkEnd w:id="18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78"/>
      <w:bookmarkEnd w:id="179"/>
      <w:bookmarkEnd w:id="181"/>
    </w:p>
    <w:p>
      <w:pPr>
        <w:pStyle w:val="Style26"/>
        <w:keepNext w:val="0"/>
        <w:keepLines w:val="0"/>
        <w:widowControl w:val="0"/>
        <w:numPr>
          <w:ilvl w:val="0"/>
          <w:numId w:val="5"/>
        </w:numPr>
        <w:shd w:val="clear" w:color="auto" w:fill="auto"/>
        <w:tabs>
          <w:tab w:pos="291" w:val="left"/>
          <w:tab w:pos="723" w:val="left"/>
        </w:tabs>
        <w:bidi w:val="0"/>
        <w:spacing w:before="0" w:line="240" w:lineRule="auto"/>
        <w:ind w:left="0" w:right="0" w:firstLine="0"/>
        <w:jc w:val="left"/>
      </w:pPr>
      <w:bookmarkStart w:id="182" w:name="bookmark182"/>
      <w:bookmarkEnd w:id="182"/>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用途的募</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集资金总</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用途的募</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集资金总</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额比例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闲置两年 以上募集 资金金额</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53,376.84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存放于募 集资金专 户及购买</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银行理财 产品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53,376.84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53,376.84</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53,376.84</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募集资金总体使用情况说明</w:t>
            </w:r>
          </w:p>
        </w:tc>
      </w:tr>
      <w:tr>
        <w:trPr>
          <w:trHeight w:val="1037" w:hRule="exact"/>
        </w:trPr>
        <w:tc>
          <w:tcPr>
            <w:gridSpan w:val="11"/>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日，本公司募集资金累计直接投入募投项目</w:t>
            </w:r>
            <w:r>
              <w:rPr>
                <w:rFonts w:ascii="Times New Roman" w:eastAsia="Times New Roman" w:hAnsi="Times New Roman" w:cs="Times New Roman"/>
                <w:color w:val="000000"/>
                <w:spacing w:val="0"/>
                <w:w w:val="100"/>
                <w:position w:val="0"/>
                <w:sz w:val="18"/>
                <w:szCs w:val="18"/>
              </w:rPr>
              <w:t>296,821,383.37</w:t>
            </w:r>
            <w:r>
              <w:rPr>
                <w:color w:val="000000"/>
                <w:spacing w:val="0"/>
                <w:w w:val="100"/>
                <w:position w:val="0"/>
              </w:rPr>
              <w:t>元，其中投入收购无锡双龙信息纸有限公 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股权并增资用于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彩票物联网智能化管理及应用项目</w:t>
            </w:r>
            <w:r>
              <w:rPr>
                <w:rFonts w:ascii="Times New Roman" w:eastAsia="Times New Roman" w:hAnsi="Times New Roman" w:cs="Times New Roman"/>
                <w:color w:val="000000"/>
                <w:spacing w:val="0"/>
                <w:w w:val="100"/>
                <w:position w:val="0"/>
                <w:sz w:val="18"/>
                <w:szCs w:val="18"/>
              </w:rPr>
              <w:t>”77,860,713.02</w:t>
            </w:r>
            <w:r>
              <w:rPr>
                <w:color w:val="000000"/>
                <w:spacing w:val="0"/>
                <w:w w:val="100"/>
                <w:position w:val="0"/>
              </w:rPr>
              <w:t>元，投入电子彩票研发中心项目</w:t>
            </w:r>
            <w:r>
              <w:rPr>
                <w:rFonts w:ascii="Times New Roman" w:eastAsia="Times New Roman" w:hAnsi="Times New Roman" w:cs="Times New Roman"/>
                <w:color w:val="000000"/>
                <w:spacing w:val="0"/>
                <w:w w:val="100"/>
                <w:position w:val="0"/>
                <w:sz w:val="18"/>
                <w:szCs w:val="18"/>
              </w:rPr>
              <w:t>4,545,254.42</w:t>
            </w:r>
            <w:r>
              <w:rPr>
                <w:color w:val="000000"/>
                <w:spacing w:val="0"/>
                <w:w w:val="100"/>
                <w:position w:val="0"/>
              </w:rPr>
              <w:t>元， 投入补充流动资金项目</w:t>
            </w:r>
            <w:r>
              <w:rPr>
                <w:rFonts w:ascii="Times New Roman" w:eastAsia="Times New Roman" w:hAnsi="Times New Roman" w:cs="Times New Roman"/>
                <w:color w:val="000000"/>
                <w:spacing w:val="0"/>
                <w:w w:val="100"/>
                <w:position w:val="0"/>
                <w:sz w:val="18"/>
                <w:szCs w:val="18"/>
              </w:rPr>
              <w:t>214,415,415.93</w:t>
            </w:r>
            <w:r>
              <w:rPr>
                <w:color w:val="000000"/>
                <w:spacing w:val="0"/>
                <w:w w:val="100"/>
                <w:position w:val="0"/>
              </w:rPr>
              <w:t>元。</w:t>
            </w:r>
          </w:p>
        </w:tc>
      </w:tr>
    </w:tbl>
    <w:p>
      <w:pPr>
        <w:widowControl w:val="0"/>
        <w:spacing w:after="319" w:line="1" w:lineRule="exact"/>
      </w:pPr>
    </w:p>
    <w:p>
      <w:pPr>
        <w:pStyle w:val="Style34"/>
        <w:keepNext/>
        <w:keepLines/>
        <w:widowControl w:val="0"/>
        <w:shd w:val="clear" w:color="auto" w:fill="auto"/>
        <w:bidi w:val="0"/>
        <w:spacing w:before="0" w:after="24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w:t>
      </w:r>
      <w:bookmarkEnd w:id="185"/>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83"/>
      <w:bookmarkEnd w:id="184"/>
      <w:bookmarkEnd w:id="186"/>
    </w:p>
    <w:p>
      <w:pPr>
        <w:pStyle w:val="Style26"/>
        <w:keepNext w:val="0"/>
        <w:keepLines w:val="0"/>
        <w:widowControl w:val="0"/>
        <w:shd w:val="clear" w:color="auto" w:fill="auto"/>
        <w:bidi w:val="0"/>
        <w:spacing w:before="0" w:after="380" w:line="350" w:lineRule="exact"/>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 单位：万元</w:t>
      </w:r>
      <w:r>
        <w:br w:type="page"/>
      </w:r>
    </w:p>
    <w:tbl>
      <w:tblPr>
        <w:tblOverlap w:val="never"/>
        <w:jc w:val="center"/>
        <w:tblLayout w:type="fixed"/>
      </w:tblPr>
      <w:tblGrid>
        <w:gridCol w:w="1776"/>
        <w:gridCol w:w="782"/>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资总额</w:t>
            </w:r>
          </w:p>
          <w:p>
            <w:pPr>
              <w:pStyle w:val="Style18"/>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324" w:lineRule="exact"/>
              <w:ind w:left="0" w:right="0" w:firstLine="0"/>
              <w:jc w:val="left"/>
            </w:pPr>
            <w:r>
              <w:rPr>
                <w:color w:val="000000"/>
                <w:spacing w:val="0"/>
                <w:w w:val="100"/>
                <w:position w:val="0"/>
              </w:rPr>
              <w:t>截至期末 投资进度 ⑶=</w:t>
            </w:r>
          </w:p>
          <w:p>
            <w:pPr>
              <w:pStyle w:val="Style18"/>
              <w:keepNext w:val="0"/>
              <w:keepLines w:val="0"/>
              <w:widowControl w:val="0"/>
              <w:shd w:val="clear" w:color="auto" w:fill="auto"/>
              <w:bidi w:val="0"/>
              <w:spacing w:before="0" w:after="0" w:line="377"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预定可使</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用状态日</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本报告期 实现的效 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是否达到</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收购无锡双龙信息 纸有限公司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股权 并增资用于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彩票物联 网智能化管理及应用 项目</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7,786.07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、电子彩票研发中心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、补充流动资金项目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21,441.54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29,682.14</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29,682.14</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73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未达到计划进度或预</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计收益的情况和原因</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59"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因目前国内互联网彩票政策没有变化，仍处于禁售状态，彩票物联网智能化管理及应用项目、电 子彩票研发中心项目建设已暂停，后续待相关政策放开后会陆续投入；</w:t>
            </w:r>
          </w:p>
          <w:p>
            <w:pPr>
              <w:pStyle w:val="Style18"/>
              <w:keepNext w:val="0"/>
              <w:keepLines w:val="0"/>
              <w:widowControl w:val="0"/>
              <w:shd w:val="clear" w:color="auto" w:fill="auto"/>
              <w:tabs>
                <w:tab w:pos="27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收购无锡双龙信息纸有限公司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股权已全部投入，彩票物联网智能化管理及应用项目，资金 后续待相关政策放开后会陆续投入；</w:t>
            </w:r>
          </w:p>
          <w:p>
            <w:pPr>
              <w:pStyle w:val="Style18"/>
              <w:keepNext w:val="0"/>
              <w:keepLines w:val="0"/>
              <w:widowControl w:val="0"/>
              <w:shd w:val="clear" w:color="auto" w:fill="auto"/>
              <w:tabs>
                <w:tab w:pos="27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补充流动资金项目资金已全部投入。</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不存在该情况</w:t>
            </w:r>
          </w:p>
        </w:tc>
      </w:tr>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710"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电子彩票研发中心项目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，实施地点变更为子公司乐特瑞住所地海南省 海口市，实施主体由公司本部变更为乐特瑞。</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1"/>
        <w:gridCol w:w="7814"/>
      </w:tblGrid>
      <w:tr>
        <w:trPr>
          <w:trHeight w:val="403"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存放在募集资金专户中。</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不存在该情况</w:t>
            </w:r>
          </w:p>
        </w:tc>
      </w:tr>
    </w:tbl>
    <w:p>
      <w:pPr>
        <w:widowControl w:val="0"/>
        <w:spacing w:after="359" w:line="1" w:lineRule="exact"/>
      </w:pPr>
    </w:p>
    <w:p>
      <w:pPr>
        <w:pStyle w:val="Style34"/>
        <w:keepNext/>
        <w:keepLines/>
        <w:widowControl w:val="0"/>
        <w:numPr>
          <w:ilvl w:val="0"/>
          <w:numId w:val="7"/>
        </w:numPr>
        <w:shd w:val="clear" w:color="auto" w:fill="auto"/>
        <w:bidi w:val="0"/>
        <w:spacing w:before="0" w:after="220" w:line="240" w:lineRule="auto"/>
        <w:ind w:left="0" w:right="0" w:firstLine="0"/>
        <w:jc w:val="left"/>
      </w:pPr>
      <w:bookmarkStart w:id="187" w:name="bookmark187"/>
      <w:bookmarkStart w:id="188" w:name="bookmark188"/>
      <w:bookmarkStart w:id="189" w:name="bookmark189"/>
      <w:bookmarkStart w:id="190" w:name="bookmark190"/>
      <w:bookmarkEnd w:id="189"/>
      <w:r>
        <w:rPr>
          <w:color w:val="000000"/>
          <w:spacing w:val="0"/>
          <w:w w:val="100"/>
          <w:position w:val="0"/>
        </w:rPr>
        <w:t>募集资金变更项目情况</w:t>
      </w:r>
      <w:bookmarkEnd w:id="187"/>
      <w:bookmarkEnd w:id="188"/>
      <w:bookmarkEnd w:id="190"/>
    </w:p>
    <w:p>
      <w:pPr>
        <w:pStyle w:val="Style26"/>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公司报告期不存在募集资金变更项目情况。</w:t>
      </w:r>
    </w:p>
    <w:p>
      <w:pPr>
        <w:pStyle w:val="Style21"/>
        <w:keepNext/>
        <w:keepLines/>
        <w:widowControl w:val="0"/>
        <w:shd w:val="clear" w:color="auto" w:fill="auto"/>
        <w:tabs>
          <w:tab w:pos="517" w:val="left"/>
        </w:tabs>
        <w:bidi w:val="0"/>
        <w:spacing w:before="0" w:after="36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八</w:t>
      </w:r>
      <w:bookmarkEnd w:id="193"/>
      <w:r>
        <w:rPr>
          <w:color w:val="000000"/>
          <w:spacing w:val="0"/>
          <w:w w:val="100"/>
          <w:position w:val="0"/>
        </w:rPr>
        <w:t>、</w:t>
        <w:tab/>
        <w:t>重大资产和股权出售</w:t>
      </w:r>
      <w:bookmarkEnd w:id="191"/>
      <w:bookmarkEnd w:id="192"/>
      <w:bookmarkEnd w:id="194"/>
    </w:p>
    <w:p>
      <w:pPr>
        <w:pStyle w:val="Style29"/>
        <w:keepNext/>
        <w:keepLines/>
        <w:widowControl w:val="0"/>
        <w:shd w:val="clear" w:color="auto" w:fill="auto"/>
        <w:tabs>
          <w:tab w:pos="388" w:val="left"/>
        </w:tabs>
        <w:bidi w:val="0"/>
        <w:spacing w:before="0" w:after="22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1</w:t>
      </w:r>
      <w:bookmarkEnd w:id="197"/>
      <w:r>
        <w:rPr>
          <w:color w:val="000000"/>
          <w:spacing w:val="0"/>
          <w:w w:val="100"/>
          <w:position w:val="0"/>
        </w:rPr>
        <w:t>、</w:t>
        <w:tab/>
        <w:t>出售重大资产情况</w:t>
      </w:r>
      <w:bookmarkEnd w:id="195"/>
      <w:bookmarkEnd w:id="196"/>
      <w:bookmarkEnd w:id="198"/>
    </w:p>
    <w:p>
      <w:pPr>
        <w:pStyle w:val="Style26"/>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388" w:val="left"/>
        </w:tabs>
        <w:bidi w:val="0"/>
        <w:spacing w:before="0" w:after="22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2</w:t>
      </w:r>
      <w:bookmarkEnd w:id="201"/>
      <w:r>
        <w:rPr>
          <w:color w:val="000000"/>
          <w:spacing w:val="0"/>
          <w:w w:val="100"/>
          <w:position w:val="0"/>
        </w:rPr>
        <w:t>、</w:t>
        <w:tab/>
        <w:t>出售重大股权情况</w:t>
      </w:r>
      <w:bookmarkEnd w:id="199"/>
      <w:bookmarkEnd w:id="200"/>
      <w:bookmarkEnd w:id="202"/>
    </w:p>
    <w:p>
      <w:pPr>
        <w:pStyle w:val="Style26"/>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22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九</w:t>
      </w:r>
      <w:bookmarkEnd w:id="205"/>
      <w:r>
        <w:rPr>
          <w:color w:val="000000"/>
          <w:spacing w:val="0"/>
          <w:w w:val="100"/>
          <w:position w:val="0"/>
        </w:rPr>
        <w:t>、</w:t>
        <w:tab/>
        <w:t>主要控股参股公司分析</w:t>
      </w:r>
      <w:bookmarkEnd w:id="203"/>
      <w:bookmarkEnd w:id="204"/>
      <w:bookmarkEnd w:id="206"/>
    </w:p>
    <w:p>
      <w:pPr>
        <w:pStyle w:val="Style26"/>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365" w:lineRule="exact"/>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 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重庆市鸿海 印务有限公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包装装潢印 刷品、防伪 票证、其他 印刷品印制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324,498,248.</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226,378,197.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170,169,014.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39,702,309.6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32,757,156.9</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16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鸿博昊天科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出版物印</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刷、包装装 潢品印刷、 其他印刷品 印刷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301,378,636.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223,909,464.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108,038,380.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-12,802,218.</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-10,948,515.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r>
    </w:tbl>
    <w:tbl>
      <w:tblPr>
        <w:tblOverlap w:val="never"/>
        <w:jc w:val="center"/>
        <w:tblLayout w:type="fixed"/>
      </w:tblPr>
      <w:tblGrid>
        <w:gridCol w:w="1061"/>
        <w:gridCol w:w="1200"/>
        <w:gridCol w:w="1042"/>
        <w:gridCol w:w="1046"/>
        <w:gridCol w:w="1046"/>
        <w:gridCol w:w="1046"/>
        <w:gridCol w:w="1042"/>
        <w:gridCol w:w="1046"/>
        <w:gridCol w:w="1056"/>
      </w:tblGrid>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无锡双龙信 息纸有限公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包装装潢印 刷品印刷； 其他印刷品</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印刷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128,127,735.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107,755,417.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40,335,061.3</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-4,151,824.5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-2,628,907.2</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成都标点体 育文化发展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体育赛事策 划、市场营 销策划等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13,698,600.0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14,009,057.3</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9,339,529.29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9,101,490.40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3,934,283.98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2,974,836.13</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珠海寰博科技有限公司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上海弘博信息技术有限公司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成都标点体育文化发展有限公司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香港鸿博集团有限公司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亿科集团有限公司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主要控股参股公司情况说明</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子公司重庆市鸿海印务有限公司本报告期净利润较上年同期增长</w:t>
      </w:r>
      <w:r>
        <w:rPr>
          <w:rFonts w:ascii="Times New Roman" w:eastAsia="Times New Roman" w:hAnsi="Times New Roman" w:cs="Times New Roman"/>
          <w:color w:val="000000"/>
          <w:spacing w:val="0"/>
          <w:w w:val="100"/>
          <w:position w:val="0"/>
          <w:sz w:val="18"/>
          <w:szCs w:val="18"/>
        </w:rPr>
        <w:t>385.80%</w:t>
      </w:r>
      <w:r>
        <w:rPr>
          <w:color w:val="000000"/>
          <w:spacing w:val="0"/>
          <w:w w:val="100"/>
          <w:position w:val="0"/>
        </w:rPr>
        <w:t>，主要是其全资子公司四川鸿海印务有限公司本期 酒类包装销量大幅增加所致；</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子公司鸿博昊天科技有限公司本报告期净利润较上年同期增长</w:t>
      </w:r>
      <w:r>
        <w:rPr>
          <w:rFonts w:ascii="Times New Roman" w:eastAsia="Times New Roman" w:hAnsi="Times New Roman" w:cs="Times New Roman"/>
          <w:color w:val="000000"/>
          <w:spacing w:val="0"/>
          <w:w w:val="100"/>
          <w:position w:val="0"/>
          <w:sz w:val="18"/>
          <w:szCs w:val="18"/>
        </w:rPr>
        <w:t>42.27%</w:t>
      </w:r>
      <w:r>
        <w:rPr>
          <w:color w:val="000000"/>
          <w:spacing w:val="0"/>
          <w:w w:val="100"/>
          <w:position w:val="0"/>
        </w:rPr>
        <w:t>，主要是上年设备计提减值金额较大所致。</w:t>
      </w:r>
    </w:p>
    <w:p>
      <w:pPr>
        <w:pStyle w:val="Style21"/>
        <w:keepNext/>
        <w:keepLines/>
        <w:widowControl w:val="0"/>
        <w:shd w:val="clear" w:color="auto" w:fill="auto"/>
        <w:bidi w:val="0"/>
        <w:spacing w:before="0" w:after="380" w:line="240" w:lineRule="auto"/>
        <w:ind w:left="0" w:right="0" w:firstLine="0"/>
        <w:jc w:val="left"/>
      </w:pPr>
      <w:bookmarkStart w:id="207" w:name="bookmark207"/>
      <w:bookmarkStart w:id="208" w:name="bookmark208"/>
      <w:bookmarkStart w:id="209" w:name="bookmark209"/>
      <w:r>
        <w:rPr>
          <w:color w:val="000000"/>
          <w:spacing w:val="0"/>
          <w:w w:val="100"/>
          <w:position w:val="0"/>
        </w:rPr>
        <w:t>十、公司控制的结构化主体情况</w:t>
      </w:r>
      <w:bookmarkEnd w:id="207"/>
      <w:bookmarkEnd w:id="208"/>
      <w:bookmarkEnd w:id="209"/>
    </w:p>
    <w:p>
      <w:pPr>
        <w:pStyle w:val="Style2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00" w:line="240" w:lineRule="auto"/>
        <w:ind w:left="0" w:right="0" w:firstLine="0"/>
        <w:jc w:val="left"/>
      </w:pPr>
      <w:bookmarkStart w:id="210" w:name="bookmark210"/>
      <w:bookmarkStart w:id="211" w:name="bookmark211"/>
      <w:bookmarkStart w:id="212" w:name="bookmark212"/>
      <w:r>
        <w:rPr>
          <w:color w:val="000000"/>
          <w:spacing w:val="0"/>
          <w:w w:val="100"/>
          <w:position w:val="0"/>
        </w:rPr>
        <w:t>十一、公司未来发展的展望</w:t>
      </w:r>
      <w:bookmarkEnd w:id="210"/>
      <w:bookmarkEnd w:id="211"/>
      <w:bookmarkEnd w:id="212"/>
    </w:p>
    <w:p>
      <w:pPr>
        <w:pStyle w:val="Style10"/>
        <w:keepNext w:val="0"/>
        <w:keepLines w:val="0"/>
        <w:widowControl w:val="0"/>
        <w:shd w:val="clear" w:color="auto" w:fill="auto"/>
        <w:bidi w:val="0"/>
        <w:spacing w:before="0" w:after="260" w:line="471" w:lineRule="exact"/>
        <w:ind w:left="0" w:right="0" w:firstLine="440"/>
        <w:jc w:val="both"/>
      </w:pPr>
      <w:bookmarkStart w:id="213" w:name="bookmark213"/>
      <w:r>
        <w:rPr>
          <w:color w:val="000000"/>
          <w:spacing w:val="0"/>
          <w:w w:val="100"/>
          <w:position w:val="0"/>
        </w:rPr>
        <w:t>（</w:t>
      </w:r>
      <w:bookmarkEnd w:id="213"/>
      <w:r>
        <w:rPr>
          <w:color w:val="000000"/>
          <w:spacing w:val="0"/>
          <w:w w:val="100"/>
          <w:position w:val="0"/>
        </w:rPr>
        <w:t>一）行业竞争格局和发展趋势</w:t>
      </w:r>
    </w:p>
    <w:p>
      <w:pPr>
        <w:pStyle w:val="Style10"/>
        <w:keepNext w:val="0"/>
        <w:keepLines w:val="0"/>
        <w:widowControl w:val="0"/>
        <w:shd w:val="clear" w:color="auto" w:fill="auto"/>
        <w:bidi w:val="0"/>
        <w:spacing w:before="0" w:after="0" w:line="492" w:lineRule="auto"/>
        <w:ind w:left="0" w:right="0" w:firstLine="540"/>
        <w:jc w:val="both"/>
      </w:pPr>
      <w:bookmarkStart w:id="214" w:name="bookmark214"/>
      <w:r>
        <w:rPr>
          <w:rFonts w:ascii="Times New Roman" w:eastAsia="Times New Roman" w:hAnsi="Times New Roman" w:cs="Times New Roman"/>
          <w:color w:val="000000"/>
          <w:spacing w:val="0"/>
          <w:w w:val="100"/>
          <w:position w:val="0"/>
        </w:rPr>
        <w:t>1</w:t>
      </w:r>
      <w:bookmarkEnd w:id="214"/>
      <w:r>
        <w:rPr>
          <w:color w:val="000000"/>
          <w:spacing w:val="0"/>
          <w:w w:val="100"/>
          <w:position w:val="0"/>
        </w:rPr>
        <w:t>、行业竞争格局</w:t>
      </w:r>
    </w:p>
    <w:p>
      <w:pPr>
        <w:pStyle w:val="Style10"/>
        <w:keepNext w:val="0"/>
        <w:keepLines w:val="0"/>
        <w:widowControl w:val="0"/>
        <w:shd w:val="clear" w:color="auto" w:fill="auto"/>
        <w:tabs>
          <w:tab w:pos="1021" w:val="left"/>
        </w:tabs>
        <w:bidi w:val="0"/>
        <w:spacing w:before="0" w:after="0" w:line="469" w:lineRule="exact"/>
        <w:ind w:left="0" w:right="0" w:firstLine="440"/>
        <w:jc w:val="both"/>
      </w:pPr>
      <w:bookmarkStart w:id="215" w:name="bookmark215"/>
      <w:r>
        <w:rPr>
          <w:color w:val="000000"/>
          <w:spacing w:val="0"/>
          <w:w w:val="100"/>
          <w:position w:val="0"/>
        </w:rPr>
        <w:t>（</w:t>
      </w:r>
      <w:bookmarkEnd w:id="215"/>
      <w:r>
        <w:rPr>
          <w:rFonts w:ascii="Times New Roman" w:eastAsia="Times New Roman" w:hAnsi="Times New Roman" w:cs="Times New Roman"/>
          <w:color w:val="000000"/>
          <w:spacing w:val="0"/>
          <w:w w:val="100"/>
          <w:position w:val="0"/>
        </w:rPr>
        <w:t>1</w:t>
      </w:r>
      <w:r>
        <w:rPr>
          <w:color w:val="000000"/>
          <w:spacing w:val="0"/>
          <w:w w:val="100"/>
          <w:position w:val="0"/>
        </w:rPr>
        <w:t>）</w:t>
        <w:tab/>
        <w:t>彩票行业属于国家严格监管行业，产业链主要包括彩种研发、彩票印刷、终端设备、彩票销售 等环节，其中彩票印刷几家大型企业主导市场，属于非充分竞争行业；终端设备需要第三方检测机构认证 和相关监管部门的许可，进入门槛比较高，属于非充分竞争行业；彩票实体店销售的进入门槛较低，属于 充分竞争行业，大型企业仍存在整合机会。</w:t>
      </w:r>
    </w:p>
    <w:p>
      <w:pPr>
        <w:pStyle w:val="Style10"/>
        <w:keepNext w:val="0"/>
        <w:keepLines w:val="0"/>
        <w:widowControl w:val="0"/>
        <w:shd w:val="clear" w:color="auto" w:fill="auto"/>
        <w:bidi w:val="0"/>
        <w:spacing w:before="0" w:after="260" w:line="473" w:lineRule="exact"/>
        <w:ind w:left="0" w:right="0" w:firstLine="440"/>
        <w:jc w:val="both"/>
      </w:pPr>
      <w:bookmarkStart w:id="216" w:name="bookmark216"/>
      <w:r>
        <w:rPr>
          <w:color w:val="000000"/>
          <w:spacing w:val="0"/>
          <w:w w:val="100"/>
          <w:position w:val="0"/>
        </w:rPr>
        <w:t>（</w:t>
      </w:r>
      <w:bookmarkEnd w:id="216"/>
      <w:r>
        <w:rPr>
          <w:rFonts w:ascii="Times New Roman" w:eastAsia="Times New Roman" w:hAnsi="Times New Roman" w:cs="Times New Roman"/>
          <w:color w:val="000000"/>
          <w:spacing w:val="0"/>
          <w:w w:val="100"/>
          <w:position w:val="0"/>
        </w:rPr>
        <w:t>2</w:t>
      </w:r>
      <w:r>
        <w:rPr>
          <w:color w:val="000000"/>
          <w:spacing w:val="0"/>
          <w:w w:val="100"/>
          <w:position w:val="0"/>
        </w:rPr>
        <w:t>） 票据票证印刷行业发展已充分市场化，企业类型以中小企业居多，产品结构单一，技术水平低， 企业之间主要靠价格赢得市场。书刊印制及包装印刷属于充分竞争市场，市场集中度低。随着国家供给侧 改革的推进和环保执法的深入开展，行业面临产能结构优化，业务转型升级，大型企业仍存在整合机会。</w:t>
      </w:r>
    </w:p>
    <w:p>
      <w:pPr>
        <w:pStyle w:val="Style10"/>
        <w:keepNext w:val="0"/>
        <w:keepLines w:val="0"/>
        <w:widowControl w:val="0"/>
        <w:shd w:val="clear" w:color="auto" w:fill="auto"/>
        <w:bidi w:val="0"/>
        <w:spacing w:before="0" w:after="180" w:line="492" w:lineRule="auto"/>
        <w:ind w:left="0" w:right="0" w:firstLine="440"/>
        <w:jc w:val="both"/>
      </w:pPr>
      <w:bookmarkStart w:id="217" w:name="bookmark217"/>
      <w:r>
        <w:rPr>
          <w:rFonts w:ascii="Times New Roman" w:eastAsia="Times New Roman" w:hAnsi="Times New Roman" w:cs="Times New Roman"/>
          <w:color w:val="000000"/>
          <w:spacing w:val="0"/>
          <w:w w:val="100"/>
          <w:position w:val="0"/>
        </w:rPr>
        <w:t>2</w:t>
      </w:r>
      <w:bookmarkEnd w:id="217"/>
      <w:r>
        <w:rPr>
          <w:color w:val="000000"/>
          <w:spacing w:val="0"/>
          <w:w w:val="100"/>
          <w:position w:val="0"/>
        </w:rPr>
        <w:t>、发展趋势</w:t>
      </w:r>
    </w:p>
    <w:p>
      <w:pPr>
        <w:pStyle w:val="Style10"/>
        <w:keepNext w:val="0"/>
        <w:keepLines w:val="0"/>
        <w:widowControl w:val="0"/>
        <w:shd w:val="clear" w:color="auto" w:fill="auto"/>
        <w:bidi w:val="0"/>
        <w:spacing w:before="0" w:line="467" w:lineRule="exact"/>
        <w:ind w:left="0" w:right="0" w:firstLine="440"/>
        <w:jc w:val="both"/>
      </w:pPr>
      <w:bookmarkStart w:id="218" w:name="bookmark218"/>
      <w:r>
        <w:rPr>
          <w:color w:val="000000"/>
          <w:spacing w:val="0"/>
          <w:w w:val="100"/>
          <w:position w:val="0"/>
        </w:rPr>
        <w:t>（</w:t>
      </w:r>
      <w:bookmarkEnd w:id="218"/>
      <w:r>
        <w:rPr>
          <w:rFonts w:ascii="Times New Roman" w:eastAsia="Times New Roman" w:hAnsi="Times New Roman" w:cs="Times New Roman"/>
          <w:color w:val="000000"/>
          <w:spacing w:val="0"/>
          <w:w w:val="100"/>
          <w:position w:val="0"/>
        </w:rPr>
        <w:t>1</w:t>
      </w:r>
      <w:r>
        <w:rPr>
          <w:color w:val="000000"/>
          <w:spacing w:val="0"/>
          <w:w w:val="100"/>
          <w:position w:val="0"/>
        </w:rPr>
        <w:t>） 彩票行业：监管趋严，注重</w:t>
      </w:r>
      <w:r>
        <w:rPr>
          <w:rFonts w:ascii="Times New Roman" w:eastAsia="Times New Roman" w:hAnsi="Times New Roman" w:cs="Times New Roman"/>
          <w:color w:val="000000"/>
          <w:spacing w:val="0"/>
          <w:w w:val="100"/>
          <w:position w:val="0"/>
        </w:rPr>
        <w:t>“</w:t>
      </w:r>
      <w:r>
        <w:rPr>
          <w:color w:val="000000"/>
          <w:spacing w:val="0"/>
          <w:w w:val="100"/>
          <w:position w:val="0"/>
        </w:rPr>
        <w:t>责任</w:t>
      </w:r>
      <w:r>
        <w:rPr>
          <w:rFonts w:ascii="Times New Roman" w:eastAsia="Times New Roman" w:hAnsi="Times New Roman" w:cs="Times New Roman"/>
          <w:color w:val="000000"/>
          <w:spacing w:val="0"/>
          <w:w w:val="100"/>
          <w:position w:val="0"/>
        </w:rPr>
        <w:t>”</w:t>
      </w:r>
      <w:r>
        <w:rPr>
          <w:color w:val="000000"/>
          <w:spacing w:val="0"/>
          <w:w w:val="100"/>
          <w:position w:val="0"/>
        </w:rPr>
        <w:t>。随着彩票销量的增长，彩票行业的监管将越来越重要、越 来越严格。主管部门继续严禁擅自利用互联网彩票销售行为。同时，</w:t>
      </w:r>
      <w:r>
        <w:rPr>
          <w:rFonts w:ascii="Times New Roman" w:eastAsia="Times New Roman" w:hAnsi="Times New Roman" w:cs="Times New Roman"/>
          <w:color w:val="000000"/>
          <w:spacing w:val="0"/>
          <w:w w:val="100"/>
          <w:position w:val="0"/>
        </w:rPr>
        <w:t>“</w:t>
      </w:r>
      <w:r>
        <w:rPr>
          <w:color w:val="000000"/>
          <w:spacing w:val="0"/>
          <w:w w:val="100"/>
          <w:position w:val="0"/>
        </w:rPr>
        <w:t>责任彩票</w:t>
      </w:r>
      <w:r>
        <w:rPr>
          <w:rFonts w:ascii="Times New Roman" w:eastAsia="Times New Roman" w:hAnsi="Times New Roman" w:cs="Times New Roman"/>
          <w:color w:val="000000"/>
          <w:spacing w:val="0"/>
          <w:w w:val="100"/>
          <w:position w:val="0"/>
        </w:rPr>
        <w:t>''</w:t>
      </w:r>
      <w:r>
        <w:rPr>
          <w:color w:val="000000"/>
          <w:spacing w:val="0"/>
          <w:w w:val="100"/>
          <w:position w:val="0"/>
        </w:rPr>
        <w:t>将越来越受到国家主管机 构的重视。相关法律法规的出台将进一步规范彩票行业相关方的责任，推动彩票行业合规运营、科学监管， 从而促进彩票行业健康发展。</w:t>
      </w:r>
    </w:p>
    <w:p>
      <w:pPr>
        <w:pStyle w:val="Style10"/>
        <w:keepNext w:val="0"/>
        <w:keepLines w:val="0"/>
        <w:widowControl w:val="0"/>
        <w:shd w:val="clear" w:color="auto" w:fill="auto"/>
        <w:bidi w:val="0"/>
        <w:spacing w:before="0" w:line="469" w:lineRule="exact"/>
        <w:ind w:left="0" w:right="0" w:firstLine="440"/>
        <w:jc w:val="both"/>
      </w:pPr>
      <w:bookmarkStart w:id="219" w:name="bookmark219"/>
      <w:r>
        <w:rPr>
          <w:color w:val="000000"/>
          <w:spacing w:val="0"/>
          <w:w w:val="100"/>
          <w:position w:val="0"/>
        </w:rPr>
        <w:t>（</w:t>
      </w:r>
      <w:bookmarkEnd w:id="219"/>
      <w:r>
        <w:rPr>
          <w:rFonts w:ascii="Times New Roman" w:eastAsia="Times New Roman" w:hAnsi="Times New Roman" w:cs="Times New Roman"/>
          <w:color w:val="000000"/>
          <w:spacing w:val="0"/>
          <w:w w:val="100"/>
          <w:position w:val="0"/>
        </w:rPr>
        <w:t>2</w:t>
      </w:r>
      <w:r>
        <w:rPr>
          <w:color w:val="000000"/>
          <w:spacing w:val="0"/>
          <w:w w:val="100"/>
          <w:position w:val="0"/>
        </w:rPr>
        <w:t>） 印刷行业：环保要求提高，经营成本上升，企业整合加快。整体来看，整个印刷产业工业总产 值在缓慢增长。印刷企业生产线自动化、智能化程度不断提高，以节约不断上升的人力成本。绿色印刷将 越来越受到政府重视，部分地区已经开始强制实施，甚至出台措施限制印刷产业的发展。由于经营成本的 上升、环保要求和产品技术要求的提高，大部分中小印刷企业面临被市场淘汰的局面，大型印刷企业为避 免恶性竞争将通过股权重组、企业整合实现强强联合，企业整合进程加快。细分行业来看，随着互联网金 融、信息数据化的发展，商业票据票据印刷行业面临市场萎缩、产品结构调整、产业转型升级。拥有高档 防伪技术、符合国家税制改革而来的票证改革要求的大型票据企业将有更大的发展空间。书刊杂志印刷成 本上涨、绿色环保以及转型升级的压力，行业薄利甚至微利将持续较长时间。行业内企业优胜劣汰将进一 步加剧，符合环保政策、拥有先进印刷技术以及优秀管理的企业将迎来整合和发展的机遇。</w:t>
      </w:r>
    </w:p>
    <w:p>
      <w:pPr>
        <w:pStyle w:val="Style10"/>
        <w:keepNext w:val="0"/>
        <w:keepLines w:val="0"/>
        <w:widowControl w:val="0"/>
        <w:shd w:val="clear" w:color="auto" w:fill="auto"/>
        <w:tabs>
          <w:tab w:pos="974" w:val="left"/>
        </w:tabs>
        <w:bidi w:val="0"/>
        <w:spacing w:before="0" w:line="469" w:lineRule="exact"/>
        <w:ind w:left="0" w:right="0" w:firstLine="440"/>
        <w:jc w:val="both"/>
      </w:pPr>
      <w:bookmarkStart w:id="220" w:name="bookmark220"/>
      <w:r>
        <w:rPr>
          <w:color w:val="000000"/>
          <w:spacing w:val="0"/>
          <w:w w:val="100"/>
          <w:position w:val="0"/>
        </w:rPr>
        <w:t>（</w:t>
      </w:r>
      <w:bookmarkEnd w:id="220"/>
      <w:r>
        <w:rPr>
          <w:color w:val="000000"/>
          <w:spacing w:val="0"/>
          <w:w w:val="100"/>
          <w:position w:val="0"/>
        </w:rPr>
        <w:t>二）</w:t>
        <w:tab/>
        <w:t>公司发展战略</w:t>
      </w:r>
    </w:p>
    <w:p>
      <w:pPr>
        <w:pStyle w:val="Style10"/>
        <w:keepNext w:val="0"/>
        <w:keepLines w:val="0"/>
        <w:widowControl w:val="0"/>
        <w:shd w:val="clear" w:color="auto" w:fill="auto"/>
        <w:tabs>
          <w:tab w:pos="753" w:val="left"/>
        </w:tabs>
        <w:bidi w:val="0"/>
        <w:spacing w:before="0" w:line="467" w:lineRule="exact"/>
        <w:ind w:left="0" w:right="0" w:firstLine="440"/>
        <w:jc w:val="both"/>
      </w:pPr>
      <w:bookmarkStart w:id="221" w:name="bookmark221"/>
      <w:r>
        <w:rPr>
          <w:rFonts w:ascii="Times New Roman" w:eastAsia="Times New Roman" w:hAnsi="Times New Roman" w:cs="Times New Roman"/>
          <w:color w:val="000000"/>
          <w:spacing w:val="0"/>
          <w:w w:val="100"/>
          <w:position w:val="0"/>
        </w:rPr>
        <w:t>1</w:t>
      </w:r>
      <w:bookmarkEnd w:id="221"/>
      <w:r>
        <w:rPr>
          <w:color w:val="000000"/>
          <w:spacing w:val="0"/>
          <w:w w:val="100"/>
          <w:position w:val="0"/>
        </w:rPr>
        <w:t>、</w:t>
        <w:tab/>
        <w:t>总体发展战略从单一的票据印刷企业发展成为集高端包装、数字印刷、彩票服务等为一体的综合 性企业；从彩票印刷发展为集彩种研发、网络终端销售、技术平台构建为一体的彩票运营与服务商；以技 术创新、管理创新、经营模式创新来提升企业核心竞争力，创建可持续发展、有社会责任的现代化综合型 企业集团。</w:t>
      </w:r>
    </w:p>
    <w:p>
      <w:pPr>
        <w:pStyle w:val="Style10"/>
        <w:keepNext w:val="0"/>
        <w:keepLines w:val="0"/>
        <w:widowControl w:val="0"/>
        <w:shd w:val="clear" w:color="auto" w:fill="auto"/>
        <w:tabs>
          <w:tab w:pos="753" w:val="left"/>
        </w:tabs>
        <w:bidi w:val="0"/>
        <w:spacing w:before="0" w:line="469" w:lineRule="exact"/>
        <w:ind w:left="0" w:right="0" w:firstLine="440"/>
        <w:jc w:val="both"/>
      </w:pPr>
      <w:bookmarkStart w:id="222" w:name="bookmark222"/>
      <w:r>
        <w:rPr>
          <w:rFonts w:ascii="Times New Roman" w:eastAsia="Times New Roman" w:hAnsi="Times New Roman" w:cs="Times New Roman"/>
          <w:color w:val="000000"/>
          <w:spacing w:val="0"/>
          <w:w w:val="100"/>
          <w:position w:val="0"/>
        </w:rPr>
        <w:t>2</w:t>
      </w:r>
      <w:bookmarkEnd w:id="222"/>
      <w:r>
        <w:rPr>
          <w:color w:val="000000"/>
          <w:spacing w:val="0"/>
          <w:w w:val="100"/>
          <w:position w:val="0"/>
        </w:rPr>
        <w:t>、</w:t>
        <w:tab/>
        <w:t>业务发展战略</w:t>
      </w:r>
    </w:p>
    <w:p>
      <w:pPr>
        <w:pStyle w:val="Style10"/>
        <w:keepNext w:val="0"/>
        <w:keepLines w:val="0"/>
        <w:widowControl w:val="0"/>
        <w:shd w:val="clear" w:color="auto" w:fill="auto"/>
        <w:tabs>
          <w:tab w:pos="961" w:val="left"/>
        </w:tabs>
        <w:bidi w:val="0"/>
        <w:spacing w:before="0" w:line="468" w:lineRule="exact"/>
        <w:ind w:left="0" w:right="0" w:firstLine="440"/>
        <w:jc w:val="left"/>
      </w:pPr>
      <w:bookmarkStart w:id="223" w:name="bookmark223"/>
      <w:r>
        <w:rPr>
          <w:color w:val="000000"/>
          <w:spacing w:val="0"/>
          <w:w w:val="100"/>
          <w:position w:val="0"/>
        </w:rPr>
        <w:t>（</w:t>
      </w:r>
      <w:bookmarkEnd w:id="223"/>
      <w:r>
        <w:rPr>
          <w:rFonts w:ascii="Times New Roman" w:eastAsia="Times New Roman" w:hAnsi="Times New Roman" w:cs="Times New Roman"/>
          <w:color w:val="000000"/>
          <w:spacing w:val="0"/>
          <w:w w:val="100"/>
          <w:position w:val="0"/>
        </w:rPr>
        <w:t>1</w:t>
      </w:r>
      <w:r>
        <w:rPr>
          <w:color w:val="000000"/>
          <w:spacing w:val="0"/>
          <w:w w:val="100"/>
          <w:position w:val="0"/>
        </w:rPr>
        <w:t>）</w:t>
        <w:tab/>
        <w:t>以彩票印制为基础，持续投入做好技术储备工作，重视区块链彩票的个性化服务推广和系统平 台建设；通过产业链延伸和市场开拓，提供彩票游戏开发、彩票印刷、彩票社会化运营等为一体的全方位 彩票服务业务，将公司打造成全产业链的综合彩票服务商。</w:t>
      </w:r>
    </w:p>
    <w:p>
      <w:pPr>
        <w:pStyle w:val="Style10"/>
        <w:keepNext w:val="0"/>
        <w:keepLines w:val="0"/>
        <w:widowControl w:val="0"/>
        <w:shd w:val="clear" w:color="auto" w:fill="auto"/>
        <w:tabs>
          <w:tab w:pos="961" w:val="left"/>
        </w:tabs>
        <w:bidi w:val="0"/>
        <w:spacing w:before="0" w:line="475" w:lineRule="exact"/>
        <w:ind w:left="0" w:right="0" w:firstLine="440"/>
        <w:jc w:val="left"/>
      </w:pPr>
      <w:bookmarkStart w:id="224" w:name="bookmark224"/>
      <w:r>
        <w:rPr>
          <w:color w:val="000000"/>
          <w:spacing w:val="0"/>
          <w:w w:val="100"/>
          <w:position w:val="0"/>
        </w:rPr>
        <w:t>（</w:t>
      </w:r>
      <w:bookmarkEnd w:id="224"/>
      <w:r>
        <w:rPr>
          <w:rFonts w:ascii="Times New Roman" w:eastAsia="Times New Roman" w:hAnsi="Times New Roman" w:cs="Times New Roman"/>
          <w:color w:val="000000"/>
          <w:spacing w:val="0"/>
          <w:w w:val="100"/>
          <w:position w:val="0"/>
        </w:rPr>
        <w:t>2</w:t>
      </w:r>
      <w:r>
        <w:rPr>
          <w:color w:val="000000"/>
          <w:spacing w:val="0"/>
          <w:w w:val="100"/>
          <w:position w:val="0"/>
        </w:rPr>
        <w:t>）</w:t>
        <w:tab/>
        <w:t>根据公司长远发展规划，通过产业整合、并购等方式切入新兴产业，实现数个产业的协同发展， 为公司实现跨越式发展提供动力。</w:t>
      </w:r>
    </w:p>
    <w:p>
      <w:pPr>
        <w:pStyle w:val="Style10"/>
        <w:keepNext w:val="0"/>
        <w:keepLines w:val="0"/>
        <w:widowControl w:val="0"/>
        <w:shd w:val="clear" w:color="auto" w:fill="auto"/>
        <w:tabs>
          <w:tab w:pos="956" w:val="left"/>
        </w:tabs>
        <w:bidi w:val="0"/>
        <w:spacing w:before="0" w:line="480" w:lineRule="exact"/>
        <w:ind w:left="0" w:right="0" w:firstLine="440"/>
        <w:jc w:val="left"/>
      </w:pPr>
      <w:bookmarkStart w:id="225" w:name="bookmark225"/>
      <w:r>
        <w:rPr>
          <w:color w:val="000000"/>
          <w:spacing w:val="0"/>
          <w:w w:val="100"/>
          <w:position w:val="0"/>
        </w:rPr>
        <w:t>（</w:t>
      </w:r>
      <w:bookmarkEnd w:id="225"/>
      <w:r>
        <w:rPr>
          <w:rFonts w:ascii="Times New Roman" w:eastAsia="Times New Roman" w:hAnsi="Times New Roman" w:cs="Times New Roman"/>
          <w:color w:val="000000"/>
          <w:spacing w:val="0"/>
          <w:w w:val="100"/>
          <w:position w:val="0"/>
        </w:rPr>
        <w:t>3</w:t>
      </w:r>
      <w:r>
        <w:rPr>
          <w:color w:val="000000"/>
          <w:spacing w:val="0"/>
          <w:w w:val="100"/>
          <w:position w:val="0"/>
        </w:rPr>
        <w:t>）</w:t>
        <w:tab/>
        <w:t>进一步优化资产结构，充分运用资本市场平台优势，不断创新和加大研发投入，对公司传统业 务进行转型升级，创建有社会责任的企业集团。</w:t>
      </w:r>
    </w:p>
    <w:p>
      <w:pPr>
        <w:pStyle w:val="Style10"/>
        <w:keepNext w:val="0"/>
        <w:keepLines w:val="0"/>
        <w:widowControl w:val="0"/>
        <w:shd w:val="clear" w:color="auto" w:fill="auto"/>
        <w:tabs>
          <w:tab w:pos="974" w:val="left"/>
        </w:tabs>
        <w:bidi w:val="0"/>
        <w:spacing w:before="0" w:line="469" w:lineRule="exact"/>
        <w:ind w:left="0" w:right="0" w:firstLine="440"/>
        <w:jc w:val="both"/>
      </w:pPr>
      <w:bookmarkStart w:id="226" w:name="bookmark226"/>
      <w:r>
        <w:rPr>
          <w:color w:val="000000"/>
          <w:spacing w:val="0"/>
          <w:w w:val="100"/>
          <w:position w:val="0"/>
        </w:rPr>
        <w:t>（</w:t>
      </w:r>
      <w:bookmarkEnd w:id="226"/>
      <w:r>
        <w:rPr>
          <w:color w:val="000000"/>
          <w:spacing w:val="0"/>
          <w:w w:val="100"/>
          <w:position w:val="0"/>
        </w:rPr>
        <w:t>三）</w:t>
        <w:tab/>
        <w:t>经营计划</w:t>
      </w:r>
    </w:p>
    <w:p>
      <w:pPr>
        <w:pStyle w:val="Style10"/>
        <w:keepNext w:val="0"/>
        <w:keepLines w:val="0"/>
        <w:widowControl w:val="0"/>
        <w:shd w:val="clear" w:color="auto" w:fill="auto"/>
        <w:bidi w:val="0"/>
        <w:spacing w:before="0" w:after="0" w:line="480" w:lineRule="exact"/>
        <w:ind w:left="0" w:right="0" w:firstLine="440"/>
        <w:jc w:val="both"/>
      </w:pPr>
      <w:bookmarkStart w:id="227" w:name="bookmark227"/>
      <w:r>
        <w:rPr>
          <w:rFonts w:ascii="Times New Roman" w:eastAsia="Times New Roman" w:hAnsi="Times New Roman" w:cs="Times New Roman"/>
          <w:color w:val="000000"/>
          <w:spacing w:val="0"/>
          <w:w w:val="100"/>
          <w:position w:val="0"/>
        </w:rPr>
        <w:t>1</w:t>
      </w:r>
      <w:bookmarkEnd w:id="227"/>
      <w:r>
        <w:rPr>
          <w:color w:val="000000"/>
          <w:spacing w:val="0"/>
          <w:w w:val="100"/>
          <w:position w:val="0"/>
        </w:rPr>
        <w:t>、进一步加强票证业务整合力度。</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年，继续对已经整合的销售团队和生产基地产能，着力推进 市场开拓，优化公司业务和产品结构，提高集中采购比例，提升营销效率和内部管理效率，做好产能整合 </w:t>
      </w:r>
      <w:r>
        <w:rPr>
          <w:color w:val="000000"/>
          <w:spacing w:val="0"/>
          <w:w w:val="100"/>
          <w:position w:val="0"/>
        </w:rPr>
        <w:t>和集团管控，通过管理提升主业经营效益。</w:t>
      </w:r>
    </w:p>
    <w:p>
      <w:pPr>
        <w:pStyle w:val="Style10"/>
        <w:keepNext w:val="0"/>
        <w:keepLines w:val="0"/>
        <w:widowControl w:val="0"/>
        <w:shd w:val="clear" w:color="auto" w:fill="auto"/>
        <w:tabs>
          <w:tab w:pos="829" w:val="left"/>
        </w:tabs>
        <w:bidi w:val="0"/>
        <w:spacing w:before="0" w:after="0" w:line="466" w:lineRule="exact"/>
        <w:ind w:left="0" w:right="0" w:firstLine="440"/>
        <w:jc w:val="both"/>
      </w:pPr>
      <w:bookmarkStart w:id="228" w:name="bookmark228"/>
      <w:r>
        <w:rPr>
          <w:rFonts w:ascii="Times New Roman" w:eastAsia="Times New Roman" w:hAnsi="Times New Roman" w:cs="Times New Roman"/>
          <w:color w:val="000000"/>
          <w:spacing w:val="0"/>
          <w:w w:val="100"/>
          <w:position w:val="0"/>
        </w:rPr>
        <w:t>2</w:t>
      </w:r>
      <w:bookmarkEnd w:id="228"/>
      <w:r>
        <w:rPr>
          <w:color w:val="000000"/>
          <w:spacing w:val="0"/>
          <w:w w:val="100"/>
          <w:position w:val="0"/>
        </w:rPr>
        <w:t>、</w:t>
        <w:tab/>
        <w:t>继续加强新兴产业支持力度。彩票新业务方面重点推进区块链即开票供应链、彩票社会化运营等， 在产业链中挖掘利润；同时，在原有业务基础上，寻找匹配的新业务、新市场，做大包装印刷业务。</w:t>
      </w:r>
    </w:p>
    <w:p>
      <w:pPr>
        <w:pStyle w:val="Style10"/>
        <w:keepNext w:val="0"/>
        <w:keepLines w:val="0"/>
        <w:widowControl w:val="0"/>
        <w:shd w:val="clear" w:color="auto" w:fill="auto"/>
        <w:tabs>
          <w:tab w:pos="829" w:val="left"/>
        </w:tabs>
        <w:bidi w:val="0"/>
        <w:spacing w:before="0" w:after="0" w:line="475" w:lineRule="exact"/>
        <w:ind w:left="0" w:right="0" w:firstLine="440"/>
        <w:jc w:val="both"/>
      </w:pPr>
      <w:bookmarkStart w:id="229" w:name="bookmark229"/>
      <w:r>
        <w:rPr>
          <w:rFonts w:ascii="Times New Roman" w:eastAsia="Times New Roman" w:hAnsi="Times New Roman" w:cs="Times New Roman"/>
          <w:color w:val="000000"/>
          <w:spacing w:val="0"/>
          <w:w w:val="100"/>
          <w:position w:val="0"/>
        </w:rPr>
        <w:t>3</w:t>
      </w:r>
      <w:bookmarkEnd w:id="229"/>
      <w:r>
        <w:rPr>
          <w:color w:val="000000"/>
          <w:spacing w:val="0"/>
          <w:w w:val="100"/>
          <w:position w:val="0"/>
        </w:rPr>
        <w:t>、</w:t>
        <w:tab/>
        <w:t>提升资产运营效率。对公司资产通过对外出租、资产合作运营等方式，提高资产运营效率，重点 推动本部资产和鸿博昊天资产盘活。</w:t>
      </w:r>
    </w:p>
    <w:p>
      <w:pPr>
        <w:pStyle w:val="Style10"/>
        <w:keepNext w:val="0"/>
        <w:keepLines w:val="0"/>
        <w:widowControl w:val="0"/>
        <w:shd w:val="clear" w:color="auto" w:fill="auto"/>
        <w:tabs>
          <w:tab w:pos="1034" w:val="left"/>
        </w:tabs>
        <w:bidi w:val="0"/>
        <w:spacing w:before="0" w:after="0" w:line="475" w:lineRule="exact"/>
        <w:ind w:left="0" w:right="0" w:firstLine="440"/>
        <w:jc w:val="left"/>
      </w:pPr>
      <w:bookmarkStart w:id="230" w:name="bookmark230"/>
      <w:r>
        <w:rPr>
          <w:color w:val="000000"/>
          <w:spacing w:val="0"/>
          <w:w w:val="100"/>
          <w:position w:val="0"/>
        </w:rPr>
        <w:t>（</w:t>
      </w:r>
      <w:bookmarkEnd w:id="230"/>
      <w:r>
        <w:rPr>
          <w:color w:val="000000"/>
          <w:spacing w:val="0"/>
          <w:w w:val="100"/>
          <w:position w:val="0"/>
        </w:rPr>
        <w:t>四）</w:t>
        <w:tab/>
        <w:t>资金安排</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公司自有资金充裕，资产负债率低，金融机构授信充足，公司将充分利用自有资金和募集资金，落实 年度经营计划。</w:t>
      </w:r>
    </w:p>
    <w:p>
      <w:pPr>
        <w:pStyle w:val="Style10"/>
        <w:keepNext w:val="0"/>
        <w:keepLines w:val="0"/>
        <w:widowControl w:val="0"/>
        <w:shd w:val="clear" w:color="auto" w:fill="auto"/>
        <w:tabs>
          <w:tab w:pos="1034" w:val="left"/>
        </w:tabs>
        <w:bidi w:val="0"/>
        <w:spacing w:before="0" w:after="280" w:line="475" w:lineRule="exact"/>
        <w:ind w:left="0" w:right="0" w:firstLine="440"/>
        <w:jc w:val="left"/>
      </w:pPr>
      <w:bookmarkStart w:id="231" w:name="bookmark231"/>
      <w:r>
        <w:rPr>
          <w:color w:val="000000"/>
          <w:spacing w:val="0"/>
          <w:w w:val="100"/>
          <w:position w:val="0"/>
        </w:rPr>
        <w:t>（</w:t>
      </w:r>
      <w:bookmarkEnd w:id="231"/>
      <w:r>
        <w:rPr>
          <w:color w:val="000000"/>
          <w:spacing w:val="0"/>
          <w:w w:val="100"/>
          <w:position w:val="0"/>
        </w:rPr>
        <w:t>五）</w:t>
        <w:tab/>
        <w:t>公司可能面临的风险和应对措施</w:t>
      </w:r>
    </w:p>
    <w:p>
      <w:pPr>
        <w:pStyle w:val="Style10"/>
        <w:keepNext w:val="0"/>
        <w:keepLines w:val="0"/>
        <w:widowControl w:val="0"/>
        <w:shd w:val="clear" w:color="auto" w:fill="auto"/>
        <w:tabs>
          <w:tab w:pos="829" w:val="left"/>
        </w:tabs>
        <w:bidi w:val="0"/>
        <w:spacing w:before="0" w:after="0" w:line="497" w:lineRule="auto"/>
        <w:ind w:left="0" w:right="0" w:firstLine="440"/>
        <w:jc w:val="both"/>
      </w:pPr>
      <w:bookmarkStart w:id="232" w:name="bookmark232"/>
      <w:r>
        <w:rPr>
          <w:rFonts w:ascii="Times New Roman" w:eastAsia="Times New Roman" w:hAnsi="Times New Roman" w:cs="Times New Roman"/>
          <w:color w:val="000000"/>
          <w:spacing w:val="0"/>
          <w:w w:val="100"/>
          <w:position w:val="0"/>
        </w:rPr>
        <w:t>1</w:t>
      </w:r>
      <w:bookmarkEnd w:id="232"/>
      <w:r>
        <w:rPr>
          <w:color w:val="000000"/>
          <w:spacing w:val="0"/>
          <w:w w:val="100"/>
          <w:position w:val="0"/>
        </w:rPr>
        <w:t>、</w:t>
        <w:tab/>
        <w:t>可能面对的风险</w:t>
      </w:r>
    </w:p>
    <w:p>
      <w:pPr>
        <w:pStyle w:val="Style10"/>
        <w:keepNext w:val="0"/>
        <w:keepLines w:val="0"/>
        <w:widowControl w:val="0"/>
        <w:shd w:val="clear" w:color="auto" w:fill="auto"/>
        <w:tabs>
          <w:tab w:pos="1016" w:val="left"/>
        </w:tabs>
        <w:bidi w:val="0"/>
        <w:spacing w:before="0" w:after="0" w:line="478" w:lineRule="exact"/>
        <w:ind w:left="0" w:right="0" w:firstLine="440"/>
        <w:jc w:val="both"/>
      </w:pPr>
      <w:bookmarkStart w:id="233" w:name="bookmark233"/>
      <w:r>
        <w:rPr>
          <w:color w:val="000000"/>
          <w:spacing w:val="0"/>
          <w:w w:val="100"/>
          <w:position w:val="0"/>
        </w:rPr>
        <w:t>（</w:t>
      </w:r>
      <w:bookmarkEnd w:id="233"/>
      <w:r>
        <w:rPr>
          <w:rFonts w:ascii="Times New Roman" w:eastAsia="Times New Roman" w:hAnsi="Times New Roman" w:cs="Times New Roman"/>
          <w:color w:val="000000"/>
          <w:spacing w:val="0"/>
          <w:w w:val="100"/>
          <w:position w:val="0"/>
        </w:rPr>
        <w:t>1</w:t>
      </w:r>
      <w:r>
        <w:rPr>
          <w:color w:val="000000"/>
          <w:spacing w:val="0"/>
          <w:w w:val="100"/>
          <w:position w:val="0"/>
        </w:rPr>
        <w:t>）</w:t>
        <w:tab/>
        <w:t>产能结构性过剩。普通出版物印刷在电子化和网络化冲击下，面临结构性产能过剩、增速放缓、 价格竞争激烈等市场环境，对公司经营管理层的市场开拓能力有新的挑战。</w:t>
      </w:r>
    </w:p>
    <w:p>
      <w:pPr>
        <w:pStyle w:val="Style10"/>
        <w:keepNext w:val="0"/>
        <w:keepLines w:val="0"/>
        <w:widowControl w:val="0"/>
        <w:shd w:val="clear" w:color="auto" w:fill="auto"/>
        <w:tabs>
          <w:tab w:pos="1006" w:val="left"/>
        </w:tabs>
        <w:bidi w:val="0"/>
        <w:spacing w:before="0" w:after="0" w:line="478" w:lineRule="exact"/>
        <w:ind w:left="0" w:right="0" w:firstLine="440"/>
        <w:jc w:val="both"/>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rPr>
        <w:t>2</w:t>
      </w:r>
      <w:r>
        <w:rPr>
          <w:color w:val="000000"/>
          <w:spacing w:val="0"/>
          <w:w w:val="100"/>
          <w:position w:val="0"/>
        </w:rPr>
        <w:t>）</w:t>
        <w:tab/>
        <w:t>经营成本上升。随着环保压力的增大，纸张、油墨等原材料价格和人力成本的上升，市场竞争 的加剧，企业毛利率逐步下降。</w:t>
      </w:r>
    </w:p>
    <w:p>
      <w:pPr>
        <w:pStyle w:val="Style10"/>
        <w:keepNext w:val="0"/>
        <w:keepLines w:val="0"/>
        <w:widowControl w:val="0"/>
        <w:shd w:val="clear" w:color="auto" w:fill="auto"/>
        <w:bidi w:val="0"/>
        <w:spacing w:before="0" w:after="280" w:line="475" w:lineRule="exact"/>
        <w:ind w:left="0" w:right="0" w:firstLine="440"/>
        <w:jc w:val="both"/>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rPr>
        <w:t>3</w:t>
      </w:r>
      <w:r>
        <w:rPr>
          <w:color w:val="000000"/>
          <w:spacing w:val="0"/>
          <w:w w:val="100"/>
          <w:position w:val="0"/>
        </w:rPr>
        <w:t>） 彩票业务的政策性风险。目前，国家对彩票的互联网代购代销政策仍然不明朗，电话售彩也处 于暂停审批阶段。</w:t>
      </w:r>
    </w:p>
    <w:p>
      <w:pPr>
        <w:pStyle w:val="Style10"/>
        <w:keepNext w:val="0"/>
        <w:keepLines w:val="0"/>
        <w:widowControl w:val="0"/>
        <w:shd w:val="clear" w:color="auto" w:fill="auto"/>
        <w:tabs>
          <w:tab w:pos="829" w:val="left"/>
        </w:tabs>
        <w:bidi w:val="0"/>
        <w:spacing w:before="0" w:after="0" w:line="497" w:lineRule="auto"/>
        <w:ind w:left="0" w:right="0" w:firstLine="440"/>
        <w:jc w:val="both"/>
      </w:pPr>
      <w:bookmarkStart w:id="236" w:name="bookmark236"/>
      <w:r>
        <w:rPr>
          <w:rFonts w:ascii="Times New Roman" w:eastAsia="Times New Roman" w:hAnsi="Times New Roman" w:cs="Times New Roman"/>
          <w:color w:val="000000"/>
          <w:spacing w:val="0"/>
          <w:w w:val="100"/>
          <w:position w:val="0"/>
        </w:rPr>
        <w:t>2</w:t>
      </w:r>
      <w:bookmarkEnd w:id="236"/>
      <w:r>
        <w:rPr>
          <w:color w:val="000000"/>
          <w:spacing w:val="0"/>
          <w:w w:val="100"/>
          <w:position w:val="0"/>
        </w:rPr>
        <w:t>、</w:t>
        <w:tab/>
        <w:t>应对措施</w:t>
      </w:r>
    </w:p>
    <w:p>
      <w:pPr>
        <w:pStyle w:val="Style10"/>
        <w:keepNext w:val="0"/>
        <w:keepLines w:val="0"/>
        <w:widowControl w:val="0"/>
        <w:shd w:val="clear" w:color="auto" w:fill="auto"/>
        <w:bidi w:val="0"/>
        <w:spacing w:before="0" w:after="0" w:line="466" w:lineRule="exact"/>
        <w:ind w:left="0" w:right="0" w:firstLine="440"/>
        <w:jc w:val="both"/>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rPr>
        <w:t>1</w:t>
      </w:r>
      <w:r>
        <w:rPr>
          <w:color w:val="000000"/>
          <w:spacing w:val="0"/>
          <w:w w:val="100"/>
          <w:position w:val="0"/>
        </w:rPr>
        <w:t>） 面对产能结构性过剩，公司通过调整产品结构和业务结构，运用新产品新技术引导客户需求， 实现业务的转型升级。同时，重新整合营销队伍，加强销售人员培训，提升管理销售能力。</w:t>
      </w:r>
    </w:p>
    <w:p>
      <w:pPr>
        <w:pStyle w:val="Style10"/>
        <w:keepNext w:val="0"/>
        <w:keepLines w:val="0"/>
        <w:widowControl w:val="0"/>
        <w:shd w:val="clear" w:color="auto" w:fill="auto"/>
        <w:tabs>
          <w:tab w:pos="1021" w:val="left"/>
        </w:tabs>
        <w:bidi w:val="0"/>
        <w:spacing w:before="0" w:after="0" w:line="480" w:lineRule="exact"/>
        <w:ind w:left="0" w:right="0" w:firstLine="440"/>
        <w:jc w:val="both"/>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rPr>
        <w:t>2</w:t>
      </w:r>
      <w:r>
        <w:rPr>
          <w:color w:val="000000"/>
          <w:spacing w:val="0"/>
          <w:w w:val="100"/>
          <w:position w:val="0"/>
        </w:rPr>
        <w:t>）</w:t>
        <w:tab/>
        <w:t>面对经营成本上升，公司将进一步降本增效，强化集中采购管理，改造工艺流程，提高生产自 动化程度，同时优化人员结构，加强员工培训，提升员工专业技能，提升生产效率。</w:t>
      </w:r>
    </w:p>
    <w:p>
      <w:pPr>
        <w:pStyle w:val="Style10"/>
        <w:keepNext w:val="0"/>
        <w:keepLines w:val="0"/>
        <w:widowControl w:val="0"/>
        <w:shd w:val="clear" w:color="auto" w:fill="auto"/>
        <w:tabs>
          <w:tab w:pos="1021" w:val="left"/>
        </w:tabs>
        <w:bidi w:val="0"/>
        <w:spacing w:before="0" w:after="420" w:line="475" w:lineRule="exact"/>
        <w:ind w:left="0" w:right="0" w:firstLine="44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3</w:t>
      </w:r>
      <w:r>
        <w:rPr>
          <w:color w:val="000000"/>
          <w:spacing w:val="0"/>
          <w:w w:val="100"/>
          <w:position w:val="0"/>
        </w:rPr>
        <w:t>）</w:t>
        <w:tab/>
        <w:t>通过企业信息化建设，进一步推动公司总部、各事业部及分子公司职能及业务的优化整合，实 现信息共享、资源整合、业务协同，进一步降低公司运营成本和管理成本。</w:t>
      </w:r>
    </w:p>
    <w:p>
      <w:pPr>
        <w:pStyle w:val="Style21"/>
        <w:keepNext/>
        <w:keepLines/>
        <w:widowControl w:val="0"/>
        <w:shd w:val="clear" w:color="auto" w:fill="auto"/>
        <w:bidi w:val="0"/>
        <w:spacing w:before="0" w:after="380" w:line="240" w:lineRule="auto"/>
        <w:ind w:left="0" w:right="0" w:firstLine="0"/>
        <w:jc w:val="left"/>
      </w:pPr>
      <w:bookmarkStart w:id="240" w:name="bookmark240"/>
      <w:bookmarkStart w:id="241" w:name="bookmark241"/>
      <w:bookmarkStart w:id="242" w:name="bookmark242"/>
      <w:r>
        <w:rPr>
          <w:color w:val="000000"/>
          <w:spacing w:val="0"/>
          <w:w w:val="100"/>
          <w:position w:val="0"/>
        </w:rPr>
        <w:t>十二、报告期内接待调研、沟通、采访等活动</w:t>
      </w:r>
      <w:bookmarkEnd w:id="240"/>
      <w:bookmarkEnd w:id="241"/>
      <w:bookmarkEnd w:id="242"/>
    </w:p>
    <w:p>
      <w:pPr>
        <w:pStyle w:val="Style23"/>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4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谈论的主要内 容及提供的资 料</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光大保德信资</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产管理有限公 司、华金证券股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公司经营情况</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及广州科语项</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目的进展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华泰柏瑞基金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公司经营情况</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及广州科语项</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目的进展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德邦证券股份 有限公司、泰信 基金管理有限 公司、华福证券 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公司经营情况</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及广州科语项</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目的进展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28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华福证券有限 责任公司、天风 证券股份有限 公司、光大证券 股份有限公司、 太平养老保险 股份有限公司、 交银康联资产 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公司经营情况</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及广州科语项</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目的进展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46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泓德基金管理 有限公司研究 部、建信基金管 理有限责任公 司研究部、海保 人寿保险股份 有限公司投资 管理中心投资 一部、光大信托</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有限公司证券 市场权益投资 部、国金基金管 理有限公司主 动权益投资部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公司经营情况</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及广州科语项</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目的进展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sectPr>
          <w:footnotePr>
            <w:pos w:val="pageBottom"/>
            <w:numFmt w:val="decimal"/>
            <w:numRestart w:val="continuous"/>
          </w:footnotePr>
          <w:pgSz w:w="11900" w:h="16840"/>
          <w:pgMar w:top="1234" w:right="1071" w:bottom="1474" w:left="1043" w:header="0" w:footer="3" w:gutter="0"/>
          <w:cols w:space="720"/>
          <w:noEndnote/>
          <w:rtlGutter w:val="0"/>
          <w:docGrid w:linePitch="360"/>
        </w:sectPr>
      </w:pPr>
    </w:p>
    <w:p>
      <w:pPr>
        <w:pStyle w:val="Style8"/>
        <w:keepNext w:val="0"/>
        <w:keepLines w:val="0"/>
        <w:widowControl w:val="0"/>
        <w:shd w:val="clear" w:color="auto" w:fill="auto"/>
        <w:bidi w:val="0"/>
        <w:spacing w:before="600" w:after="500" w:line="240" w:lineRule="auto"/>
        <w:ind w:left="0" w:right="0" w:firstLine="0"/>
        <w:jc w:val="center"/>
      </w:pPr>
      <w:r>
        <w:rPr>
          <w:color w:val="000000"/>
          <w:spacing w:val="0"/>
          <w:w w:val="100"/>
          <w:position w:val="0"/>
        </w:rPr>
        <w:t>第四节公司治理</w:t>
      </w:r>
    </w:p>
    <w:p>
      <w:pPr>
        <w:pStyle w:val="Style21"/>
        <w:keepNext/>
        <w:keepLines/>
        <w:widowControl w:val="0"/>
        <w:shd w:val="clear" w:color="auto" w:fill="auto"/>
        <w:tabs>
          <w:tab w:pos="517" w:val="left"/>
        </w:tabs>
        <w:bidi w:val="0"/>
        <w:spacing w:before="0" w:after="200" w:line="312" w:lineRule="exact"/>
        <w:ind w:left="0" w:right="0" w:firstLine="0"/>
        <w:jc w:val="left"/>
      </w:pPr>
      <w:bookmarkStart w:id="243" w:name="bookmark243"/>
      <w:bookmarkStart w:id="244" w:name="bookmark244"/>
      <w:bookmarkStart w:id="245" w:name="bookmark245"/>
      <w:bookmarkStart w:id="246" w:name="bookmark246"/>
      <w:bookmarkStart w:id="247" w:name="bookmark247"/>
      <w:r>
        <w:rPr>
          <w:color w:val="000000"/>
          <w:spacing w:val="0"/>
          <w:w w:val="100"/>
          <w:position w:val="0"/>
        </w:rPr>
        <w:t>一</w:t>
      </w:r>
      <w:bookmarkEnd w:id="246"/>
      <w:r>
        <w:rPr>
          <w:color w:val="000000"/>
          <w:spacing w:val="0"/>
          <w:w w:val="100"/>
          <w:position w:val="0"/>
        </w:rPr>
        <w:t>、</w:t>
        <w:tab/>
        <w:t>公司治理的基本状况</w:t>
      </w:r>
      <w:bookmarkEnd w:id="244"/>
      <w:bookmarkEnd w:id="245"/>
      <w:bookmarkEnd w:id="247"/>
      <w:bookmarkEnd w:id="243"/>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报告期内，公司严格按照《公司法》、《证券法》、《上市公司治理准则》和《深圳证券交易所股票 上市规则》等有关法律、法规的规定，不断完善公司法人治理结构，健全内部控制体系，进一步规范公司 运作。公司建立了以股东大会为权力机构、董事会为决策机构、监事会为监督机构、高级管理层为经营管 理机构的独立法人治理结构，不断修订完善公司治理规章制度，形成了健全的三会运作、完善的内控管理 和严格的监督体系，实现了各机构之间的相互协调及有效运作。</w:t>
      </w:r>
    </w:p>
    <w:p>
      <w:pPr>
        <w:pStyle w:val="Style10"/>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公司治理的实际状况与法律、行政法规和中国证监会发布的关于上市公司治理的规定是否存在重大差 异</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tabs>
          <w:tab w:pos="522" w:val="left"/>
        </w:tabs>
        <w:bidi w:val="0"/>
        <w:spacing w:before="0" w:after="200" w:line="312" w:lineRule="exact"/>
        <w:ind w:left="0" w:right="0" w:firstLine="0"/>
        <w:jc w:val="both"/>
      </w:pPr>
      <w:bookmarkStart w:id="248" w:name="bookmark248"/>
      <w:bookmarkStart w:id="249" w:name="bookmark249"/>
      <w:bookmarkStart w:id="250" w:name="bookmark250"/>
      <w:bookmarkStart w:id="251" w:name="bookmark251"/>
      <w:r>
        <w:rPr>
          <w:color w:val="000000"/>
          <w:spacing w:val="0"/>
          <w:w w:val="100"/>
          <w:position w:val="0"/>
        </w:rPr>
        <w:t>二</w:t>
      </w:r>
      <w:bookmarkEnd w:id="250"/>
      <w:r>
        <w:rPr>
          <w:color w:val="000000"/>
          <w:spacing w:val="0"/>
          <w:w w:val="100"/>
          <w:position w:val="0"/>
        </w:rPr>
        <w:t>、</w:t>
        <w:tab/>
        <w:t>公司相对于控股股东、实际控制人在保证公司资产、人员、财务、机构、业务等方面的 独立情况</w:t>
      </w:r>
      <w:bookmarkEnd w:id="248"/>
      <w:bookmarkEnd w:id="249"/>
      <w:bookmarkEnd w:id="251"/>
    </w:p>
    <w:p>
      <w:pPr>
        <w:pStyle w:val="Style10"/>
        <w:keepNext w:val="0"/>
        <w:keepLines w:val="0"/>
        <w:widowControl w:val="0"/>
        <w:shd w:val="clear" w:color="auto" w:fill="auto"/>
        <w:bidi w:val="0"/>
        <w:spacing w:before="0" w:after="380" w:line="469" w:lineRule="exact"/>
        <w:ind w:left="0" w:right="0" w:firstLine="440"/>
        <w:jc w:val="both"/>
      </w:pPr>
      <w:r>
        <w:rPr>
          <w:color w:val="000000"/>
          <w:spacing w:val="0"/>
          <w:w w:val="100"/>
          <w:position w:val="0"/>
        </w:rPr>
        <w:t>公司在业务、资产、人员、机构、财务等方面均独立于股东。公司具有独立完整的业务体系及面向市 场独立经营的能力，不依赖于股东及其他任何关联方，与控股股东不存在同业竞争的情况。公司拥有生产 经营所需的完整的资产，所需的技术也为公司合法独立拥有，产权清晰。公司设立有独立的财务部门，配 备了专职的财务会计人员，并建立了独立的会计核算体系和财务管理制度，独立纳税，独立做出财务决策， 公司财务人员与控股股东财务人员分开，各司其职。公司董事、监事、高级管理人员及核心技术人员不存 在法律禁止的交叉任职的情形。公司生产经营、采购销售、人事管理也完全独立。</w:t>
      </w:r>
    </w:p>
    <w:p>
      <w:pPr>
        <w:pStyle w:val="Style21"/>
        <w:keepNext/>
        <w:keepLines/>
        <w:widowControl w:val="0"/>
        <w:shd w:val="clear" w:color="auto" w:fill="auto"/>
        <w:tabs>
          <w:tab w:pos="522" w:val="left"/>
        </w:tabs>
        <w:bidi w:val="0"/>
        <w:spacing w:before="0" w:after="380" w:line="312" w:lineRule="exact"/>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三</w:t>
      </w:r>
      <w:bookmarkEnd w:id="254"/>
      <w:r>
        <w:rPr>
          <w:color w:val="000000"/>
          <w:spacing w:val="0"/>
          <w:w w:val="100"/>
          <w:position w:val="0"/>
        </w:rPr>
        <w:t>、</w:t>
        <w:tab/>
        <w:t>同业竞争情况</w:t>
      </w:r>
      <w:bookmarkEnd w:id="252"/>
      <w:bookmarkEnd w:id="253"/>
      <w:bookmarkEnd w:id="255"/>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四</w:t>
      </w:r>
      <w:bookmarkEnd w:id="258"/>
      <w:r>
        <w:rPr>
          <w:color w:val="000000"/>
          <w:spacing w:val="0"/>
          <w:w w:val="100"/>
          <w:position w:val="0"/>
        </w:rPr>
        <w:t>、报告期内召开的年度股东大会和临时股东大会的有关情况</w:t>
      </w:r>
      <w:bookmarkEnd w:id="256"/>
      <w:bookmarkEnd w:id="257"/>
      <w:bookmarkEnd w:id="259"/>
    </w:p>
    <w:p>
      <w:pPr>
        <w:pStyle w:val="Style29"/>
        <w:keepNext/>
        <w:keepLines/>
        <w:widowControl w:val="0"/>
        <w:shd w:val="clear" w:color="auto" w:fill="auto"/>
        <w:bidi w:val="0"/>
        <w:spacing w:before="0" w:after="320" w:line="240" w:lineRule="auto"/>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1</w:t>
      </w:r>
      <w:bookmarkEnd w:id="262"/>
      <w:r>
        <w:rPr>
          <w:color w:val="000000"/>
          <w:spacing w:val="0"/>
          <w:w w:val="100"/>
          <w:position w:val="0"/>
        </w:rPr>
        <w:t>、本报告期股东大会情况</w:t>
      </w:r>
      <w:bookmarkEnd w:id="260"/>
      <w:bookmarkEnd w:id="261"/>
      <w:bookmarkEnd w:id="263"/>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会议决议</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年度董事会工作报</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监事会工作报告》、 《关于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 xml:space="preserve">度报告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全文及其 摘要的议案》、《关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财务决算报告〉及</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年度财务预 算方案〉的议案》、</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 配的预案》、《关于 向银行申请综合授 信的议案》、《公司 未来三年</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2021-2023 </w:t>
            </w:r>
            <w:r>
              <w:rPr>
                <w:color w:val="000000"/>
                <w:spacing w:val="0"/>
                <w:w w:val="100"/>
                <w:position w:val="0"/>
              </w:rPr>
              <w:t>年）股 东回报规划（草案）》 等议案。</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审议通过了《关于 选举钟鸿钧先生任 独立董事的议案》、</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《关于补选非职工 代表监事的议案》等 议案。</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审议通过了《关于修 改公司章程的议 案》。</w:t>
            </w:r>
          </w:p>
        </w:tc>
      </w:tr>
      <w:tr>
        <w:trPr>
          <w:trHeight w:val="10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审议通过了《关于拟 向商业银行申请综 合授信的议案》。</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2</w:t>
      </w:r>
      <w:bookmarkEnd w:id="266"/>
      <w:r>
        <w:rPr>
          <w:color w:val="000000"/>
          <w:spacing w:val="0"/>
          <w:w w:val="100"/>
          <w:position w:val="0"/>
        </w:rPr>
        <w:t>、表决权恢复的优先股股东请求召开临时股东大会</w:t>
      </w:r>
      <w:bookmarkEnd w:id="264"/>
      <w:bookmarkEnd w:id="265"/>
      <w:bookmarkEnd w:id="267"/>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五</w:t>
      </w:r>
      <w:bookmarkEnd w:id="270"/>
      <w:r>
        <w:rPr>
          <w:color w:val="000000"/>
          <w:spacing w:val="0"/>
          <w:w w:val="100"/>
          <w:position w:val="0"/>
        </w:rPr>
        <w:t>、董事、监事和高级管理人员情况</w:t>
      </w:r>
      <w:bookmarkEnd w:id="268"/>
      <w:bookmarkEnd w:id="269"/>
      <w:bookmarkEnd w:id="271"/>
    </w:p>
    <w:p>
      <w:pPr>
        <w:pStyle w:val="Style29"/>
        <w:keepNext/>
        <w:keepLines/>
        <w:widowControl w:val="0"/>
        <w:shd w:val="clear" w:color="auto" w:fill="auto"/>
        <w:bidi w:val="0"/>
        <w:spacing w:before="0" w:after="32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、基本情况</w:t>
      </w:r>
      <w:bookmarkEnd w:id="272"/>
      <w:bookmarkEnd w:id="273"/>
      <w:bookmarkEnd w:id="275"/>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任职状 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任期起</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期初持</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股数</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本期增</w:t>
            </w:r>
          </w:p>
          <w:p>
            <w:pPr>
              <w:pStyle w:val="Style18"/>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持股份 数量</w:t>
            </w:r>
          </w:p>
          <w:p>
            <w:pPr>
              <w:pStyle w:val="Style18"/>
              <w:keepNext w:val="0"/>
              <w:keepLines w:val="0"/>
              <w:widowControl w:val="0"/>
              <w:shd w:val="clear" w:color="auto" w:fill="auto"/>
              <w:bidi w:val="0"/>
              <w:spacing w:before="0" w:after="60" w:line="307"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本期减</w:t>
            </w:r>
          </w:p>
          <w:p>
            <w:pPr>
              <w:pStyle w:val="Style18"/>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持股份 数量</w:t>
            </w:r>
          </w:p>
          <w:p>
            <w:pPr>
              <w:pStyle w:val="Style18"/>
              <w:keepNext w:val="0"/>
              <w:keepLines w:val="0"/>
              <w:widowControl w:val="0"/>
              <w:shd w:val="clear" w:color="auto" w:fill="auto"/>
              <w:bidi w:val="0"/>
              <w:spacing w:before="0" w:after="60" w:line="307"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其他增</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减变动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期末持</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股数</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的原因</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王彬彬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陶瑞宇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钟鸿钧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吴松成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黎红雷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陈显章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32,550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李泽文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财务总 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胡穗华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董延安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陈芙蓉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32,550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0"/>
        <w:keepNext w:val="0"/>
        <w:keepLines w:val="0"/>
        <w:widowControl w:val="0"/>
        <w:shd w:val="clear" w:color="auto" w:fill="auto"/>
        <w:tabs>
          <w:tab w:pos="740" w:val="left"/>
        </w:tabs>
        <w:bidi w:val="0"/>
        <w:spacing w:before="0" w:after="0" w:line="470" w:lineRule="exact"/>
        <w:ind w:left="0" w:right="0" w:firstLine="440"/>
        <w:jc w:val="left"/>
      </w:pPr>
      <w:bookmarkStart w:id="276" w:name="bookmark276"/>
      <w:r>
        <w:rPr>
          <w:rFonts w:ascii="Times New Roman" w:eastAsia="Times New Roman" w:hAnsi="Times New Roman" w:cs="Times New Roman"/>
          <w:color w:val="000000"/>
          <w:spacing w:val="0"/>
          <w:w w:val="100"/>
          <w:position w:val="0"/>
        </w:rPr>
        <w:t>1</w:t>
      </w:r>
      <w:bookmarkEnd w:id="276"/>
      <w:r>
        <w:rPr>
          <w:color w:val="000000"/>
          <w:spacing w:val="0"/>
          <w:w w:val="100"/>
          <w:position w:val="0"/>
        </w:rPr>
        <w:t>、</w:t>
        <w:tab/>
        <w:t>公司第五届董事会于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日收到公司副总经理李云强先生、田志文先生、尹路路先生、 何爱平女士的辞职报告。李云强先生、田志文先生、尹路路先生、何爱平女士因个人原因及工作调整原因， 申请辞去公司副总经理职务，辞职后，李云强先生、田志文先生不在公司担任任何职务；尹路路先生、何 爱平女士仍在公司担任其他职务。</w:t>
      </w:r>
    </w:p>
    <w:p>
      <w:pPr>
        <w:pStyle w:val="Style10"/>
        <w:keepNext w:val="0"/>
        <w:keepLines w:val="0"/>
        <w:widowControl w:val="0"/>
        <w:shd w:val="clear" w:color="auto" w:fill="auto"/>
        <w:tabs>
          <w:tab w:pos="740" w:val="left"/>
        </w:tabs>
        <w:bidi w:val="0"/>
        <w:spacing w:before="0" w:after="0" w:line="473" w:lineRule="exact"/>
        <w:ind w:left="0" w:right="0" w:firstLine="440"/>
        <w:jc w:val="left"/>
      </w:pPr>
      <w:bookmarkStart w:id="277" w:name="bookmark277"/>
      <w:r>
        <w:rPr>
          <w:rFonts w:ascii="Times New Roman" w:eastAsia="Times New Roman" w:hAnsi="Times New Roman" w:cs="Times New Roman"/>
          <w:color w:val="000000"/>
          <w:spacing w:val="0"/>
          <w:w w:val="100"/>
          <w:position w:val="0"/>
        </w:rPr>
        <w:t>2</w:t>
      </w:r>
      <w:bookmarkEnd w:id="277"/>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日接到监事会非职工代表监事丁艳女士、陈芙蓉女士的书面辞职申请。丁艳 女士、陈芙蓉女士因工作原因辞去公司第五届监事会非职工代表监事职务，辞职后，丁艳女士、陈芙蓉女 士不在公司担任任何职务。</w:t>
      </w:r>
    </w:p>
    <w:p>
      <w:pPr>
        <w:pStyle w:val="Style10"/>
        <w:keepNext w:val="0"/>
        <w:keepLines w:val="0"/>
        <w:widowControl w:val="0"/>
        <w:shd w:val="clear" w:color="auto" w:fill="auto"/>
        <w:tabs>
          <w:tab w:pos="740" w:val="left"/>
        </w:tabs>
        <w:bidi w:val="0"/>
        <w:spacing w:before="0" w:after="0" w:line="473" w:lineRule="exact"/>
        <w:ind w:left="0" w:right="0" w:firstLine="440"/>
        <w:jc w:val="left"/>
      </w:pPr>
      <w:bookmarkStart w:id="278" w:name="bookmark278"/>
      <w:r>
        <w:rPr>
          <w:rFonts w:ascii="Times New Roman" w:eastAsia="Times New Roman" w:hAnsi="Times New Roman" w:cs="Times New Roman"/>
          <w:color w:val="000000"/>
          <w:spacing w:val="0"/>
          <w:w w:val="100"/>
          <w:position w:val="0"/>
        </w:rPr>
        <w:t>3</w:t>
      </w:r>
      <w:bookmarkEnd w:id="278"/>
      <w:r>
        <w:rPr>
          <w:color w:val="000000"/>
          <w:spacing w:val="0"/>
          <w:w w:val="100"/>
          <w:position w:val="0"/>
        </w:rPr>
        <w:t>、</w:t>
        <w:tab/>
        <w:t>公司第五届董事会于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日收到公司董事会成员何菁女士递交的书面辞职报告。何菁 女士因个人原因申请辞去公司独立董事职务，同时辞去第五届董事会薪酬与考核委员会主任委员等董事会 各专业委员会的相关职务。辞职后，何菁女士不在公司担任何职务。</w:t>
      </w:r>
    </w:p>
    <w:p>
      <w:pPr>
        <w:pStyle w:val="Style10"/>
        <w:keepNext w:val="0"/>
        <w:keepLines w:val="0"/>
        <w:widowControl w:val="0"/>
        <w:shd w:val="clear" w:color="auto" w:fill="auto"/>
        <w:tabs>
          <w:tab w:pos="740" w:val="left"/>
        </w:tabs>
        <w:bidi w:val="0"/>
        <w:spacing w:before="0" w:after="180" w:line="475" w:lineRule="exact"/>
        <w:ind w:left="0" w:right="0" w:firstLine="440"/>
        <w:jc w:val="left"/>
      </w:pPr>
      <w:bookmarkStart w:id="279" w:name="bookmark279"/>
      <w:r>
        <w:rPr>
          <w:rFonts w:ascii="Times New Roman" w:eastAsia="Times New Roman" w:hAnsi="Times New Roman" w:cs="Times New Roman"/>
          <w:color w:val="000000"/>
          <w:spacing w:val="0"/>
          <w:w w:val="100"/>
          <w:position w:val="0"/>
        </w:rPr>
        <w:t>4</w:t>
      </w:r>
      <w:bookmarkEnd w:id="279"/>
      <w:r>
        <w:rPr>
          <w:color w:val="000000"/>
          <w:spacing w:val="0"/>
          <w:w w:val="100"/>
          <w:position w:val="0"/>
        </w:rPr>
        <w:t>、</w:t>
        <w:tab/>
        <w:t>公司第五届董事会于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日收到公司董事会成员董延安先生递交的书面辞职报告。董 延安先生因个人原因申请辞去公司独立董事职务，同时辞去第五届董事会审计委员会主任委员等董事会各 专业委员会的相关职务。辞职后，董延安先生不在公司担任何职务。</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因个人原因辞去公司副总经理职务</w:t>
            </w:r>
          </w:p>
        </w:tc>
      </w:tr>
    </w:tbl>
    <w:p>
      <w:pPr>
        <w:spacing w:lineRule="exact" w:line="1"/>
        <w:rPr>
          <w:sz w:val="2"/>
          <w:szCs w:val="2"/>
        </w:rPr>
      </w:pPr>
      <w:r>
        <w:br w:type="page"/>
      </w:r>
    </w:p>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田志文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因个人原因辞去公司副总经理职务</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尹路路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因工作调整原因辞去公司副总经理职务</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何爱平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因工作调整原因辞去公司副总经理职务</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因工作原因辞去公司第五届监事会非职工代表监事职 务</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陈芙蓉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因工作原因辞去公司第五届监事会非职工代表监事职 务</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胡穗华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因个人原因申请辞去公司独立董事职务</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董延安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因个人原因申请辞去公司独立董事职务</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钟鸿钧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年第一次临时股东大会被选举为公司独立董事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吴松成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年第二次临时股东大会被选举为公司独立董事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年第三次临时股东大会被选举为公司独立董事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年第一次临时股东大会被选举为公司监事</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年第一次临时股东大会被选举为公司监事</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2</w:t>
      </w:r>
      <w:bookmarkEnd w:id="282"/>
      <w:r>
        <w:rPr>
          <w:color w:val="000000"/>
          <w:spacing w:val="0"/>
          <w:w w:val="100"/>
          <w:position w:val="0"/>
        </w:rPr>
        <w:t>、任职情况</w:t>
      </w:r>
      <w:bookmarkEnd w:id="280"/>
      <w:bookmarkEnd w:id="281"/>
      <w:bookmarkEnd w:id="283"/>
    </w:p>
    <w:p>
      <w:pPr>
        <w:pStyle w:val="Style2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10"/>
        <w:keepNext w:val="0"/>
        <w:keepLines w:val="0"/>
        <w:widowControl w:val="0"/>
        <w:numPr>
          <w:ilvl w:val="0"/>
          <w:numId w:val="9"/>
        </w:numPr>
        <w:shd w:val="clear" w:color="auto" w:fill="auto"/>
        <w:bidi w:val="0"/>
        <w:spacing w:before="0" w:after="0"/>
        <w:ind w:left="0" w:right="0" w:firstLine="540"/>
        <w:jc w:val="left"/>
      </w:pPr>
      <w:bookmarkStart w:id="284" w:name="bookmark284"/>
      <w:bookmarkEnd w:id="284"/>
      <w:r>
        <w:rPr>
          <w:color w:val="000000"/>
          <w:spacing w:val="0"/>
          <w:w w:val="100"/>
          <w:position w:val="0"/>
        </w:rPr>
        <w:t>董事主要工作经历：</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毛伟先生，中国国籍，本科学历。曾任开封市新伟电子器材有限公司执行董事、总经理，开封市寓 泰世纪置业有限公司执行董事、总经理，河南寓泰兴业智能安防集团有限公司董事长，开封市寓泰酒店管 理有限公司执行董事、总经理。现任河南寓泰控股有限公司法人、执行董事兼总经理，河南辉熠贸易有限 公司法人、执行董事兼总经理，开封市方迪汽车商贸园区开发有限公司监事，开封市新伟电子科技股份有 限公司董事长，河南禄捷电子科技中心（有限合伙）执行事务合伙人，鸿博股份有限公司董事长。</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王彬彬先生，中国国籍，硕士学历，曾任南华期货股份有限公司金融事业部产品总监，上海营堰企 </w:t>
      </w:r>
      <w:r>
        <w:rPr>
          <w:color w:val="000000"/>
          <w:spacing w:val="0"/>
          <w:w w:val="100"/>
          <w:position w:val="0"/>
        </w:rPr>
        <w:t>业管理咨询有限公司法人、执行董事，鸿博股份有限公司董事。</w:t>
      </w:r>
    </w:p>
    <w:p>
      <w:pPr>
        <w:pStyle w:val="Style1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陶瑞宇先生，中国国籍，无境外居留权，大专学历，高级工程师、高级经济师。陶瑞宇先生为中国 印刷行业专家库成员、</w:t>
      </w:r>
      <w:r>
        <w:rPr>
          <w:rFonts w:ascii="Times New Roman" w:eastAsia="Times New Roman" w:hAnsi="Times New Roman" w:cs="Times New Roman"/>
          <w:color w:val="000000"/>
          <w:spacing w:val="0"/>
          <w:w w:val="100"/>
          <w:position w:val="0"/>
        </w:rPr>
        <w:t>“</w:t>
      </w:r>
      <w:r>
        <w:rPr>
          <w:color w:val="000000"/>
          <w:spacing w:val="0"/>
          <w:w w:val="100"/>
          <w:position w:val="0"/>
        </w:rPr>
        <w:t>中印协</w:t>
      </w:r>
      <w:r>
        <w:rPr>
          <w:rFonts w:ascii="Times New Roman" w:eastAsia="Times New Roman" w:hAnsi="Times New Roman" w:cs="Times New Roman"/>
          <w:color w:val="000000"/>
          <w:spacing w:val="0"/>
          <w:w w:val="100"/>
          <w:position w:val="0"/>
        </w:rPr>
        <w:t>''</w:t>
      </w:r>
      <w:r>
        <w:rPr>
          <w:color w:val="000000"/>
          <w:spacing w:val="0"/>
          <w:w w:val="100"/>
          <w:position w:val="0"/>
        </w:rPr>
        <w:t>中级专业技术职务任职资格评审委员会委员、国家职业技能标准（印后制 作员）标准审核组组长、全国新闻出版职业教育教学指导委员会委员、中国防伪行业协会防伪专家委员会 专家、北京师范大学智慧学习研究院地平线项目专家委员、中国票据印刷技术分会副理事长、副秘书长、 中国防伪行业协会理事、江苏省印刷行业协会理事，曾任外贸无锡印刷有限公司常务副总经理、无锡双龙 信息纸有限公司常务副总经理等职，现任无锡双龙信息纸有限公司总经理。</w:t>
      </w:r>
    </w:p>
    <w:p>
      <w:pPr>
        <w:pStyle w:val="Style1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吴松成先生，中国国籍，无境外永久居留权，硕士学位。</w:t>
      </w:r>
      <w:r>
        <w:rPr>
          <w:rFonts w:ascii="Times New Roman" w:eastAsia="Times New Roman" w:hAnsi="Times New Roman" w:cs="Times New Roman"/>
          <w:color w:val="000000"/>
          <w:spacing w:val="0"/>
          <w:w w:val="100"/>
          <w:position w:val="0"/>
        </w:rPr>
        <w:t>1999</w:t>
      </w:r>
      <w:r>
        <w:rPr>
          <w:color w:val="000000"/>
          <w:spacing w:val="0"/>
          <w:w w:val="100"/>
          <w:position w:val="0"/>
        </w:rPr>
        <w:t>年毕业于郑州大学物理工程学院；</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年毕业于复旦大学经济学院获经济学硕士学位。曾任中准会计师事务所（特殊普通合伙）上海分所审计部 高级项目经理；上海数融资产管理有限公司副总经理；上海睿银盛嘉资产管理有限公司投资投行部总经理。 现任中审众环会计师事务所（特殊普通合伙）浙江分所审计部高级项目经理、湖北江瀚新材料股份有限公 司（拟上市）独立董事。</w:t>
      </w:r>
    </w:p>
    <w:p>
      <w:pPr>
        <w:pStyle w:val="Style1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钟鸿钧先生，中国国籍，</w:t>
      </w:r>
      <w:r>
        <w:rPr>
          <w:rFonts w:ascii="Times New Roman" w:eastAsia="Times New Roman" w:hAnsi="Times New Roman" w:cs="Times New Roman"/>
          <w:color w:val="000000"/>
          <w:spacing w:val="0"/>
          <w:w w:val="100"/>
          <w:position w:val="0"/>
        </w:rPr>
        <w:t>2005</w:t>
      </w:r>
      <w:r>
        <w:rPr>
          <w:color w:val="000000"/>
          <w:spacing w:val="0"/>
          <w:w w:val="100"/>
          <w:position w:val="0"/>
        </w:rPr>
        <w:t>年毕业于英国牛津大学，获经济学博士学位，同年获得英国经济与社 会研究委员会（</w:t>
      </w:r>
      <w:r>
        <w:rPr>
          <w:rFonts w:ascii="Times New Roman" w:eastAsia="Times New Roman" w:hAnsi="Times New Roman" w:cs="Times New Roman"/>
          <w:color w:val="000000"/>
          <w:spacing w:val="0"/>
          <w:w w:val="100"/>
          <w:position w:val="0"/>
        </w:rPr>
        <w:t>ESRC</w:t>
      </w:r>
      <w:r>
        <w:rPr>
          <w:color w:val="000000"/>
          <w:spacing w:val="0"/>
          <w:w w:val="100"/>
          <w:position w:val="0"/>
        </w:rPr>
        <w:t>）</w:t>
      </w:r>
      <w:r>
        <w:rPr>
          <w:color w:val="000000"/>
          <w:spacing w:val="0"/>
          <w:w w:val="100"/>
          <w:position w:val="0"/>
        </w:rPr>
        <w:t xml:space="preserve">资助，在牛津大学继续博士后研究。曾任北京大学光华管理学院张维迎教授研究 助理，现任上海财经大学商学院数字经济研究中心主任、万向信托独立董事、腾讯研究院和经济咨询公司 </w:t>
      </w:r>
      <w:r>
        <w:rPr>
          <w:rFonts w:ascii="Times New Roman" w:eastAsia="Times New Roman" w:hAnsi="Times New Roman" w:cs="Times New Roman"/>
          <w:color w:val="000000"/>
          <w:spacing w:val="0"/>
          <w:w w:val="100"/>
          <w:position w:val="0"/>
        </w:rPr>
        <w:t>Brattle Group</w:t>
      </w:r>
      <w:r>
        <w:rPr>
          <w:color w:val="000000"/>
          <w:spacing w:val="0"/>
          <w:w w:val="100"/>
          <w:position w:val="0"/>
        </w:rPr>
        <w:t>的特聘专家。</w:t>
      </w:r>
    </w:p>
    <w:p>
      <w:pPr>
        <w:pStyle w:val="Style10"/>
        <w:keepNext w:val="0"/>
        <w:keepLines w:val="0"/>
        <w:widowControl w:val="0"/>
        <w:shd w:val="clear" w:color="auto" w:fill="auto"/>
        <w:bidi w:val="0"/>
        <w:spacing w:before="0" w:after="260" w:line="468" w:lineRule="exact"/>
        <w:ind w:left="0" w:right="0" w:firstLine="440"/>
        <w:jc w:val="left"/>
      </w:pPr>
      <w:r>
        <w:rPr>
          <w:color w:val="000000"/>
          <w:spacing w:val="0"/>
          <w:w w:val="100"/>
          <w:position w:val="0"/>
        </w:rPr>
        <w:t>张晨先生，中国国籍，无境外永久居留权。上海社会科学院法学研究所国际经济法专业中国法学硕 士，芝加哥肯特法学院国际比较法和国际法专业美国法学硕士。现担任盈科全国国际投资与贸易部主任、 盈科上海国际资本市场部主任、盈科上海管委会副主任等职。</w:t>
      </w:r>
    </w:p>
    <w:p>
      <w:pPr>
        <w:pStyle w:val="Style10"/>
        <w:keepNext w:val="0"/>
        <w:keepLines w:val="0"/>
        <w:widowControl w:val="0"/>
        <w:numPr>
          <w:ilvl w:val="0"/>
          <w:numId w:val="9"/>
        </w:numPr>
        <w:shd w:val="clear" w:color="auto" w:fill="auto"/>
        <w:bidi w:val="0"/>
        <w:spacing w:before="0" w:after="0"/>
        <w:ind w:left="0" w:right="0" w:firstLine="440"/>
        <w:jc w:val="both"/>
      </w:pPr>
      <w:bookmarkStart w:id="285" w:name="bookmark285"/>
      <w:bookmarkEnd w:id="285"/>
      <w:r>
        <w:rPr>
          <w:color w:val="000000"/>
          <w:spacing w:val="0"/>
          <w:w w:val="100"/>
          <w:position w:val="0"/>
        </w:rPr>
        <w:t>监事主要工作经历：</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胡伟先生，中国国籍，无境外居留权，毕业于河南农业职业学院财务管理专业。曾任开封市宏海置 业有限公司杞县分公司监事，河南国龙矿业建设有限公司永城龙宇国贸项目部监事，现任公司资金部经理， 监事会主席。</w:t>
      </w:r>
    </w:p>
    <w:p>
      <w:pPr>
        <w:pStyle w:val="Style1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许松先生，中国国籍，无境外居留权，毕业于杭州电子科技大学自动化专业，本科学历，曾任企业 银行（中国）有限公司烟台分行经理；青岛银行股份有限公司烟台分行风险管理部总经理助理、公司业务 二部总经理；现任鸿博股份有限公司审计监察部副总经理。</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 xml:space="preserve">张莹女士，中国国籍，无境外居留权，毕业于郑州大学英语（口译）专业，曾任一嗨租车中国区运 </w:t>
      </w:r>
      <w:r>
        <w:rPr>
          <w:color w:val="000000"/>
          <w:spacing w:val="0"/>
          <w:w w:val="100"/>
          <w:position w:val="0"/>
        </w:rPr>
        <w:t>营经理；曾任</w:t>
      </w:r>
      <w:r>
        <w:rPr>
          <w:rFonts w:ascii="Times New Roman" w:eastAsia="Times New Roman" w:hAnsi="Times New Roman" w:cs="Times New Roman"/>
          <w:color w:val="000000"/>
          <w:spacing w:val="0"/>
          <w:w w:val="100"/>
          <w:position w:val="0"/>
        </w:rPr>
        <w:t>ABACARE</w:t>
      </w:r>
      <w:r>
        <w:rPr>
          <w:color w:val="000000"/>
          <w:spacing w:val="0"/>
          <w:w w:val="100"/>
          <w:position w:val="0"/>
        </w:rPr>
        <w:t>安柏</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经济咨询有限公司中国区运营经理；现任鸿博股份有限公司经营管 理中心采购总监。</w:t>
      </w:r>
    </w:p>
    <w:p>
      <w:pPr>
        <w:pStyle w:val="Style10"/>
        <w:keepNext w:val="0"/>
        <w:keepLines w:val="0"/>
        <w:widowControl w:val="0"/>
        <w:numPr>
          <w:ilvl w:val="0"/>
          <w:numId w:val="9"/>
        </w:numPr>
        <w:shd w:val="clear" w:color="auto" w:fill="auto"/>
        <w:bidi w:val="0"/>
        <w:spacing w:before="0" w:after="0" w:line="470" w:lineRule="exact"/>
        <w:ind w:left="0" w:right="0" w:firstLine="440"/>
        <w:jc w:val="both"/>
      </w:pPr>
      <w:bookmarkStart w:id="286" w:name="bookmark286"/>
      <w:bookmarkEnd w:id="286"/>
      <w:r>
        <w:rPr>
          <w:color w:val="000000"/>
          <w:spacing w:val="0"/>
          <w:w w:val="100"/>
          <w:position w:val="0"/>
        </w:rPr>
        <w:t>高级管理人员工作经历：</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黎红雷先生，中国国籍，毕业于江南大学工商企业管理专业，大专学历。曾任重庆市鸿海印务有限 公司生产技术部经理、技术部技术总监、营销中心营销总监，无锡双龙信息纸有限公司副总经理、鸿博股 份有限公司票证事业部总经理、营销中心总经理，四川鸿海印务有限公司总经理，现任公司总经理。</w:t>
      </w:r>
    </w:p>
    <w:p>
      <w:pPr>
        <w:pStyle w:val="Style10"/>
        <w:keepNext w:val="0"/>
        <w:keepLines w:val="0"/>
        <w:widowControl w:val="0"/>
        <w:shd w:val="clear" w:color="auto" w:fill="auto"/>
        <w:bidi w:val="0"/>
        <w:spacing w:before="0" w:after="0" w:line="480" w:lineRule="exact"/>
        <w:ind w:left="0" w:right="0" w:firstLine="440"/>
        <w:jc w:val="both"/>
      </w:pPr>
      <w:r>
        <w:rPr>
          <w:color w:val="000000"/>
          <w:spacing w:val="0"/>
          <w:w w:val="100"/>
          <w:position w:val="0"/>
        </w:rPr>
        <w:t>陈显章先生，中国国籍，毕业于武汉大学，本科学历。历任本公司投资专员、总经理秘书、副总经 理、董事会秘书等职，现任公司副总经理。</w:t>
      </w:r>
    </w:p>
    <w:p>
      <w:pPr>
        <w:pStyle w:val="Style1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李泽文先生，中国国籍，香港浸会大学，工商管理硕士学位。曾任深圳中青宝互动网络股份有限公 司副总经理、董事会秘书，深圳市鼎泰智能装备股份有限公司副总经理、董事会秘书；现任公司副总经理 兼董事会秘书。</w:t>
      </w:r>
    </w:p>
    <w:p>
      <w:pPr>
        <w:pStyle w:val="Style1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浦威先生，中国国籍，无永久境外居留权，毕业于上海财经大学，本科学历，注册会计师，注册税 务师。曾任常州顺风尚德光电系统集成有限公司财务总监；顺风光电投资（中国）有限公司财务副总；无 锡安瑞税务师事务有限公司副所长，现任公司财务总监。</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在其他单位任职情况</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在其他单位</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在其他单位是否 领取报酬津贴</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河南寓泰控股有限公司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法定代表人、 执行董事、总 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河南辉熠贸易有限公司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法定代表人、 执行董事、总 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开封市方迪汽车商贸园区开发有限公司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开封市新伟电子科技股份有限公司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河南禄捷电子科技中心（有限合伙）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执行事务合 伙人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王彬彬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西藏绿水青山建设投资有限公司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王彬彬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上海营堰企业管理咨询有限公司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法定代表人、</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钟鸿钧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上海财经大学商学院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钟鸿钧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儒艺投资有限公司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钟鸿钧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浙江万向信托有限公司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吴松成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湖北江瀚新材料股份有限公司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吴松成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中审众环会计师事务所（特殊普通合伙） 浙江分所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高级项目经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北京市盈科（上海）律师事务所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6"/>
        <w:keepNext w:val="0"/>
        <w:keepLines w:val="0"/>
        <w:widowControl w:val="0"/>
        <w:shd w:val="clear" w:color="auto" w:fill="auto"/>
        <w:bidi w:val="0"/>
        <w:spacing w:before="0" w:line="346"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6"/>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40" w:line="492"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3</w:t>
      </w:r>
      <w:bookmarkEnd w:id="289"/>
      <w:r>
        <w:rPr>
          <w:color w:val="000000"/>
          <w:spacing w:val="0"/>
          <w:w w:val="100"/>
          <w:position w:val="0"/>
        </w:rPr>
        <w:t>、董事、监事、高级管理人员报酬情况</w:t>
      </w:r>
      <w:bookmarkEnd w:id="287"/>
      <w:bookmarkEnd w:id="288"/>
      <w:bookmarkEnd w:id="290"/>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董事、监事、高级管理人员报酬的决策程序、确定依据、实际支付情况</w:t>
      </w:r>
    </w:p>
    <w:p>
      <w:pPr>
        <w:pStyle w:val="Style10"/>
        <w:keepNext w:val="0"/>
        <w:keepLines w:val="0"/>
        <w:widowControl w:val="0"/>
        <w:numPr>
          <w:ilvl w:val="0"/>
          <w:numId w:val="11"/>
        </w:numPr>
        <w:shd w:val="clear" w:color="auto" w:fill="auto"/>
        <w:tabs>
          <w:tab w:pos="719" w:val="left"/>
        </w:tabs>
        <w:bidi w:val="0"/>
        <w:spacing w:before="0" w:line="469" w:lineRule="exact"/>
        <w:ind w:left="0" w:right="0" w:firstLine="440"/>
        <w:jc w:val="left"/>
      </w:pPr>
      <w:bookmarkStart w:id="291" w:name="bookmark291"/>
      <w:bookmarkEnd w:id="291"/>
      <w:r>
        <w:rPr>
          <w:color w:val="000000"/>
          <w:spacing w:val="0"/>
          <w:w w:val="100"/>
          <w:position w:val="0"/>
        </w:rPr>
        <w:t>董事、监事、高级管理人员报酬的决策程序：公司建立了完善的高级管理人员绩效考评体系和薪酬 考核制度，高级管理人员的工作绩效与其收入挂钩。董事会薪酬与考核委员会负责对高级管理人员的工作 能力、履职情况、责任目标完成情况等进行年终考评，制定薪酬方案并审议。公司董事、监事薪酬由公司 股东大会审议批准。</w:t>
      </w:r>
    </w:p>
    <w:p>
      <w:pPr>
        <w:pStyle w:val="Style10"/>
        <w:keepNext w:val="0"/>
        <w:keepLines w:val="0"/>
        <w:widowControl w:val="0"/>
        <w:numPr>
          <w:ilvl w:val="0"/>
          <w:numId w:val="11"/>
        </w:numPr>
        <w:shd w:val="clear" w:color="auto" w:fill="auto"/>
        <w:bidi w:val="0"/>
        <w:spacing w:before="0" w:line="470" w:lineRule="exact"/>
        <w:ind w:left="0" w:right="0" w:firstLine="440"/>
        <w:jc w:val="left"/>
      </w:pPr>
      <w:bookmarkStart w:id="292" w:name="bookmark292"/>
      <w:bookmarkEnd w:id="292"/>
      <w:r>
        <w:rPr>
          <w:rFonts w:ascii="Times New Roman" w:eastAsia="Times New Roman" w:hAnsi="Times New Roman" w:cs="Times New Roman"/>
          <w:color w:val="000000"/>
          <w:spacing w:val="0"/>
          <w:w w:val="100"/>
          <w:position w:val="0"/>
        </w:rPr>
        <w:t xml:space="preserve"> </w:t>
      </w:r>
      <w:r>
        <w:rPr>
          <w:color w:val="000000"/>
          <w:spacing w:val="0"/>
          <w:w w:val="100"/>
          <w:position w:val="0"/>
        </w:rPr>
        <w:t>董事、监事、高级管理人员报酬的确定依据：公司董事（不含独立董事）、高级管理人员报酬依据 公司现行的薪酬制度并参考公司经营业绩和个人绩效考核指标来确定，独立董事报酬参照行业平均水平由 股东大会审议批准。公司监事多兼任公司其他职务，故公司采用监事津贴的方式支付担任监事职务的报酬， 监事津贴金额由监事会审议通过后报股东大会审议批准。</w:t>
      </w:r>
    </w:p>
    <w:p>
      <w:pPr>
        <w:pStyle w:val="Style10"/>
        <w:keepNext w:val="0"/>
        <w:keepLines w:val="0"/>
        <w:widowControl w:val="0"/>
        <w:numPr>
          <w:ilvl w:val="0"/>
          <w:numId w:val="11"/>
        </w:numPr>
        <w:shd w:val="clear" w:color="auto" w:fill="auto"/>
        <w:tabs>
          <w:tab w:pos="719" w:val="left"/>
        </w:tabs>
        <w:bidi w:val="0"/>
        <w:spacing w:before="0" w:after="100" w:line="470" w:lineRule="exact"/>
        <w:ind w:left="0" w:right="0" w:firstLine="440"/>
        <w:jc w:val="left"/>
      </w:pPr>
      <w:bookmarkStart w:id="293" w:name="bookmark293"/>
      <w:bookmarkEnd w:id="293"/>
      <w:r>
        <w:rPr>
          <w:color w:val="000000"/>
          <w:spacing w:val="0"/>
          <w:w w:val="100"/>
          <w:position w:val="0"/>
        </w:rPr>
        <w:t>董事、监事、高级管理人员报酬的支付情况：公司董事（不含独立董事）、高级管理人员薪酬总额 为基本薪酬加上绩效薪酬，基本薪酬按月支付，绩效薪酬在年度结束后由薪酬与考核委员会考核、确认后 支付。监事津贴、独立董事薪酬均按月支付。</w:t>
      </w:r>
    </w:p>
    <w:p>
      <w:pPr>
        <w:pStyle w:val="Style26"/>
        <w:keepNext w:val="0"/>
        <w:keepLines w:val="0"/>
        <w:widowControl w:val="0"/>
        <w:shd w:val="clear" w:color="auto" w:fill="auto"/>
        <w:bidi w:val="0"/>
        <w:spacing w:before="0" w:after="100" w:line="346" w:lineRule="exact"/>
        <w:ind w:left="0" w:right="0" w:firstLine="0"/>
        <w:jc w:val="left"/>
      </w:pPr>
      <w:r>
        <w:rPr>
          <w:color w:val="000000"/>
          <w:spacing w:val="0"/>
          <w:w w:val="100"/>
          <w:position w:val="0"/>
        </w:rPr>
        <w:t>公司报告期内董事、监事和高级管理人员报酬情况 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王彬彬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陶瑞宇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胡穗华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董延安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钟鸿钧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李泽文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黎红雷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陈显章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陈芙蓉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442.56</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1"/>
        <w:keepNext/>
        <w:keepLines/>
        <w:widowControl w:val="0"/>
        <w:shd w:val="clear" w:color="auto" w:fill="auto"/>
        <w:bidi w:val="0"/>
        <w:spacing w:before="0" w:after="36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六</w:t>
      </w:r>
      <w:bookmarkEnd w:id="296"/>
      <w:r>
        <w:rPr>
          <w:color w:val="000000"/>
          <w:spacing w:val="0"/>
          <w:w w:val="100"/>
          <w:position w:val="0"/>
        </w:rPr>
        <w:t>、报告期内董事履行职责的情况</w:t>
      </w:r>
      <w:bookmarkEnd w:id="294"/>
      <w:bookmarkEnd w:id="295"/>
      <w:bookmarkEnd w:id="297"/>
    </w:p>
    <w:p>
      <w:pPr>
        <w:pStyle w:val="Style29"/>
        <w:keepNext/>
        <w:keepLines/>
        <w:widowControl w:val="0"/>
        <w:shd w:val="clear" w:color="auto" w:fill="auto"/>
        <w:bidi w:val="0"/>
        <w:spacing w:before="0" w:after="32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1</w:t>
      </w:r>
      <w:bookmarkEnd w:id="300"/>
      <w:r>
        <w:rPr>
          <w:color w:val="000000"/>
          <w:spacing w:val="0"/>
          <w:w w:val="100"/>
          <w:position w:val="0"/>
        </w:rPr>
        <w:t>、本报告期董事会情况</w:t>
      </w:r>
      <w:bookmarkEnd w:id="298"/>
      <w:bookmarkEnd w:id="299"/>
      <w:bookmarkEnd w:id="301"/>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会议决议</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第五届董事会第十八次会议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审议通过了《关于会计政策变 更的议案》、《关于终止智能 卡项目的议案》、《关于计提 资产减值准备及信用减值准 备的议案》等议案</w:t>
            </w:r>
          </w:p>
        </w:tc>
      </w:tr>
      <w:tr>
        <w:trPr>
          <w:trHeight w:val="411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第五届董事会第十九次会议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年度总经理 工作报告》、《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 会工作报告》、《关于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年年度报告</w:t>
            </w:r>
            <w:r>
              <w:rPr>
                <w:color w:val="000000"/>
                <w:spacing w:val="0"/>
                <w:w w:val="100"/>
                <w:position w:val="0"/>
                <w:sz w:val="18"/>
                <w:szCs w:val="18"/>
              </w:rPr>
              <w:t>〉</w:t>
            </w:r>
            <w:r>
              <w:rPr>
                <w:color w:val="000000"/>
                <w:spacing w:val="0"/>
                <w:w w:val="100"/>
                <w:position w:val="0"/>
              </w:rPr>
              <w:t>全文及其摘要的 议案》、《公司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 部控制自我评价报告》、《内 部控制规则落实自查表》、</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年度社会责任报告》、</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 算报告〉及〈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年度财务预 算方案〉的议案》、《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度利润分配预案》、《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度募集资金存放与使用情况</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的专项报告》、《关于向银行 申请综合授信的议案》、《关 于使用闲置自有资金进行现 金管理的议案》、《公司未来 三年（</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年）股东回 报规划（草案）》、《关于召 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年年度股东大会的议 案》等议案</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审议通过了《关于拟向广州科 语机器人有限公司增资的议 案》、《关于拟签订股权转让 意向协议的议案》等议案</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第五届董事会第二十一次会 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年第一季度报告全文及其正 文</w:t>
            </w:r>
            <w:r>
              <w:rPr>
                <w:color w:val="000000"/>
                <w:spacing w:val="0"/>
                <w:w w:val="100"/>
                <w:position w:val="0"/>
                <w:sz w:val="18"/>
                <w:szCs w:val="18"/>
              </w:rPr>
              <w:t>〉</w:t>
            </w:r>
            <w:r>
              <w:rPr>
                <w:color w:val="000000"/>
                <w:spacing w:val="0"/>
                <w:w w:val="100"/>
                <w:position w:val="0"/>
              </w:rPr>
              <w:t>的议案》</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第五届董事会第二十二次会 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审议通过了《关于提名钟鸿钧 先生为公司第五届董事会独 立董事候选人的议案》、《关 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 东大会的议案》等议案</w:t>
            </w:r>
          </w:p>
        </w:tc>
      </w:tr>
      <w:tr>
        <w:trPr>
          <w:trHeight w:val="32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第五届董事会第二十三次会 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 年度报告</w:t>
            </w:r>
            <w:r>
              <w:rPr>
                <w:color w:val="000000"/>
                <w:spacing w:val="0"/>
                <w:w w:val="100"/>
                <w:position w:val="0"/>
                <w:sz w:val="18"/>
                <w:szCs w:val="18"/>
              </w:rPr>
              <w:t>〉</w:t>
            </w:r>
            <w:r>
              <w:rPr>
                <w:color w:val="000000"/>
                <w:spacing w:val="0"/>
                <w:w w:val="100"/>
                <w:position w:val="0"/>
              </w:rPr>
              <w:t>全文及其摘要的议 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年半年度募集资 金存放与实际使用情况的专 项报告》、《关于补选公司第 五届董事会专门委员会委员 的议案》、《关于修改公司章 程的议案》、《关于召开</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年第二次临时股东大会的议 案》等议案</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第五届董事会第二十四次会 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审议通过了《关于拟向商业银 行申请综合授信的议案》</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第五届董事会第二十五次会 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审议通过了《关于公司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年第三季度报告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第五届董事会第二十六次会 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审议通过了《关于公司参与投 资设立河南濮郡金勤产业投 资基金一期合伙企业（有限合 伙）的议案》</w:t>
            </w:r>
          </w:p>
        </w:tc>
      </w:tr>
      <w:tr>
        <w:trPr>
          <w:trHeight w:val="131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第五届董事会第二十七次会 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审议通过了《关于聘任公司</w:t>
            </w:r>
          </w:p>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年度审计机构的议案》、 《关于拟向商业银行申请综</w:t>
            </w:r>
          </w:p>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合授信的议案》、《关于召开</w:t>
            </w:r>
          </w:p>
        </w:tc>
      </w:tr>
    </w:tbl>
    <w:tbl>
      <w:tblPr>
        <w:tblOverlap w:val="never"/>
        <w:jc w:val="center"/>
        <w:tblLayout w:type="fixed"/>
      </w:tblPr>
      <w:tblGrid>
        <w:gridCol w:w="2400"/>
        <w:gridCol w:w="2390"/>
        <w:gridCol w:w="2395"/>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 的议案》等议案</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第五届董事会第二十八次会 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审议通过了《关于取消</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年第三次临时股东大会部分 议案的议案》</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w:t>
      </w:r>
      <w:bookmarkEnd w:id="304"/>
      <w:r>
        <w:rPr>
          <w:color w:val="000000"/>
          <w:spacing w:val="0"/>
          <w:w w:val="100"/>
          <w:position w:val="0"/>
        </w:rPr>
        <w:t>、董事出席董事会及股东大会的情况</w:t>
      </w:r>
      <w:bookmarkEnd w:id="302"/>
      <w:bookmarkEnd w:id="303"/>
      <w:bookmarkEnd w:id="305"/>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现场出席董事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以通讯方式参</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委托出席董事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缺席董事会次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是否连续两次</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未亲自参加董 事会会议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董延安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胡穗华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钟鸿钧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29"/>
        <w:keepNext/>
        <w:keepLines/>
        <w:widowControl w:val="0"/>
        <w:shd w:val="clear" w:color="auto" w:fill="auto"/>
        <w:tabs>
          <w:tab w:pos="368" w:val="left"/>
        </w:tabs>
        <w:bidi w:val="0"/>
        <w:spacing w:before="0" w:after="400" w:line="469" w:lineRule="exact"/>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3</w:t>
      </w:r>
      <w:bookmarkEnd w:id="308"/>
      <w:r>
        <w:rPr>
          <w:color w:val="000000"/>
          <w:spacing w:val="0"/>
          <w:w w:val="100"/>
          <w:position w:val="0"/>
        </w:rPr>
        <w:t>、</w:t>
        <w:tab/>
        <w:t>董事对公司有关事项提出异议的情况</w:t>
      </w:r>
      <w:bookmarkEnd w:id="306"/>
      <w:bookmarkEnd w:id="307"/>
      <w:bookmarkEnd w:id="309"/>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报告期内董事对公司有关事项未提出异议。</w:t>
      </w:r>
    </w:p>
    <w:p>
      <w:pPr>
        <w:pStyle w:val="Style29"/>
        <w:keepNext/>
        <w:keepLines/>
        <w:widowControl w:val="0"/>
        <w:shd w:val="clear" w:color="auto" w:fill="auto"/>
        <w:tabs>
          <w:tab w:pos="368" w:val="left"/>
        </w:tabs>
        <w:bidi w:val="0"/>
        <w:spacing w:before="0" w:after="140" w:line="48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4</w:t>
      </w:r>
      <w:bookmarkEnd w:id="312"/>
      <w:r>
        <w:rPr>
          <w:color w:val="000000"/>
          <w:spacing w:val="0"/>
          <w:w w:val="100"/>
          <w:position w:val="0"/>
        </w:rPr>
        <w:t>、</w:t>
        <w:tab/>
        <w:t>董事履行职责的其他说明</w:t>
      </w:r>
      <w:bookmarkEnd w:id="310"/>
      <w:bookmarkEnd w:id="311"/>
      <w:bookmarkEnd w:id="31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董事对公司有关建议被采纳或未被采纳的说明</w:t>
      </w:r>
    </w:p>
    <w:p>
      <w:pPr>
        <w:pStyle w:val="Style10"/>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报告期内，公司非独立董事、独立董事严格按照《公司法》《证券法》《上市公司治理准则》《上市 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主板上市公司规范运作》以及《公司章程》《董事会议事规则》开展工作， 勤勉尽责，根据公司的实际情况，对公司的重大治理和经营决策提出了相关的意见，经过充分沟通讨论， 形成一致意见，并坚决监督和推动董事会决议的执行，确保决策科学、及时、高效，维护公司和全体股东 的合法权益。</w:t>
      </w:r>
    </w:p>
    <w:p>
      <w:pPr>
        <w:pStyle w:val="Style21"/>
        <w:keepNext/>
        <w:keepLines/>
        <w:widowControl w:val="0"/>
        <w:shd w:val="clear" w:color="auto" w:fill="auto"/>
        <w:bidi w:val="0"/>
        <w:spacing w:before="0" w:after="32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七</w:t>
      </w:r>
      <w:bookmarkEnd w:id="316"/>
      <w:r>
        <w:rPr>
          <w:color w:val="000000"/>
          <w:spacing w:val="0"/>
          <w:w w:val="100"/>
          <w:position w:val="0"/>
        </w:rPr>
        <w:t>、董事会下设专门委员会在报告期内的情况</w:t>
      </w:r>
      <w:bookmarkEnd w:id="314"/>
      <w:bookmarkEnd w:id="315"/>
      <w:bookmarkEnd w:id="317"/>
    </w:p>
    <w:tbl>
      <w:tblPr>
        <w:tblOverlap w:val="never"/>
        <w:jc w:val="center"/>
        <w:tblLayout w:type="fixed"/>
      </w:tblPr>
      <w:tblGrid>
        <w:gridCol w:w="1205"/>
        <w:gridCol w:w="1195"/>
        <w:gridCol w:w="1195"/>
        <w:gridCol w:w="1195"/>
        <w:gridCol w:w="1200"/>
        <w:gridCol w:w="1195"/>
        <w:gridCol w:w="1195"/>
        <w:gridCol w:w="120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召开会议次数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提出的重要意 见和建议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其他履行职责 的情况</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bl>
    <w:p>
      <w:pPr>
        <w:sectPr>
          <w:footnotePr>
            <w:pos w:val="pageBottom"/>
            <w:numFmt w:val="decimal"/>
            <w:numRestart w:val="continuous"/>
          </w:footnotePr>
          <w:pgSz w:w="11900" w:h="16840"/>
          <w:pgMar w:top="1316" w:right="1049" w:bottom="1470" w:left="1059"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9" w:header="0" w:footer="3" w:gutter="0"/>
          <w:cols w:space="720"/>
          <w:noEndnote/>
          <w:rtlGutter w:val="0"/>
          <w:docGrid w:linePitch="360"/>
        </w:sectPr>
      </w:pPr>
    </w:p>
    <w:tbl>
      <w:tblPr>
        <w:tblOverlap w:val="never"/>
        <w:jc w:val="left"/>
        <w:tblLayout w:type="fixed"/>
      </w:tblPr>
      <w:tblGrid>
        <w:gridCol w:w="1205"/>
        <w:gridCol w:w="1195"/>
        <w:gridCol w:w="1195"/>
        <w:gridCol w:w="1205"/>
      </w:tblGrid>
      <w:tr>
        <w:trPr>
          <w:trHeight w:val="8827" w:hRule="exact"/>
        </w:trPr>
        <w:tc>
          <w:tcPr>
            <w:vMerge w:val="restart"/>
            <w:tcBorders>
              <w:top w:val="single" w:sz="4"/>
              <w:left w:val="single" w:sz="4"/>
            </w:tcBorders>
            <w:shd w:val="clear" w:color="auto" w:fill="FFFFFF"/>
            <w:vAlign w:val="center"/>
          </w:tcPr>
          <w:p>
            <w:pPr>
              <w:pStyle w:val="Style18"/>
              <w:keepNext w:val="0"/>
              <w:keepLines w:val="0"/>
              <w:framePr w:w="4800" w:h="1388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18"/>
              <w:keepNext w:val="0"/>
              <w:keepLines w:val="0"/>
              <w:framePr w:w="4800" w:h="13882" w:wrap="none" w:vAnchor="text" w:hAnchor="page" w:x="1120" w:y="21"/>
              <w:widowControl w:val="0"/>
              <w:shd w:val="clear" w:color="auto" w:fill="auto"/>
              <w:bidi w:val="0"/>
              <w:spacing w:before="0" w:after="0" w:line="307" w:lineRule="exact"/>
              <w:ind w:left="0" w:right="0" w:firstLine="0"/>
              <w:jc w:val="left"/>
            </w:pPr>
            <w:r>
              <w:rPr>
                <w:color w:val="000000"/>
                <w:spacing w:val="0"/>
                <w:w w:val="100"/>
                <w:position w:val="0"/>
              </w:rPr>
              <w:t>何菁、董延安、 毛伟</w:t>
            </w:r>
          </w:p>
        </w:tc>
        <w:tc>
          <w:tcPr>
            <w:vMerge w:val="restart"/>
            <w:tcBorders>
              <w:top w:val="single" w:sz="4"/>
              <w:left w:val="single" w:sz="4"/>
            </w:tcBorders>
            <w:shd w:val="clear" w:color="auto" w:fill="FFFFFF"/>
            <w:vAlign w:val="center"/>
          </w:tcPr>
          <w:p>
            <w:pPr>
              <w:pStyle w:val="Style18"/>
              <w:keepNext w:val="0"/>
              <w:keepLines w:val="0"/>
              <w:framePr w:w="4800" w:h="13882" w:wrap="none" w:vAnchor="text" w:hAnchor="page" w:x="1120" w:y="2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8"/>
              <w:keepNext w:val="0"/>
              <w:keepLines w:val="0"/>
              <w:framePr w:w="4800" w:h="13882" w:wrap="none" w:vAnchor="text" w:hAnchor="page" w:x="1120"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8"/>
              <w:keepNext w:val="0"/>
              <w:keepLines w:val="0"/>
              <w:framePr w:w="4800" w:h="13882"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5054" w:hRule="exact"/>
        </w:trPr>
        <w:tc>
          <w:tcPr>
            <w:vMerge/>
            <w:tcBorders>
              <w:left w:val="single" w:sz="4"/>
              <w:bottom w:val="single" w:sz="4"/>
            </w:tcBorders>
            <w:shd w:val="clear" w:color="auto" w:fill="FFFFFF"/>
            <w:vAlign w:val="center"/>
          </w:tcPr>
          <w:p>
            <w:pPr>
              <w:framePr w:w="4800" w:h="13882" w:wrap="none" w:vAnchor="text" w:hAnchor="page" w:x="1120" w:y="21"/>
            </w:pPr>
          </w:p>
        </w:tc>
        <w:tc>
          <w:tcPr>
            <w:vMerge/>
            <w:tcBorders>
              <w:left w:val="single" w:sz="4"/>
              <w:bottom w:val="single" w:sz="4"/>
            </w:tcBorders>
            <w:shd w:val="clear" w:color="auto" w:fill="FFFFFF"/>
            <w:vAlign w:val="center"/>
          </w:tcPr>
          <w:p>
            <w:pPr>
              <w:framePr w:w="4800" w:h="13882" w:wrap="none" w:vAnchor="text" w:hAnchor="page" w:x="1120" w:y="21"/>
            </w:pPr>
          </w:p>
        </w:tc>
        <w:tc>
          <w:tcPr>
            <w:vMerge/>
            <w:tcBorders>
              <w:left w:val="single" w:sz="4"/>
              <w:bottom w:val="single" w:sz="4"/>
            </w:tcBorders>
            <w:shd w:val="clear" w:color="auto" w:fill="FFFFFF"/>
            <w:vAlign w:val="center"/>
          </w:tcPr>
          <w:p>
            <w:pPr>
              <w:framePr w:w="4800" w:h="13882" w:wrap="none" w:vAnchor="text" w:hAnchor="page" w:x="1120" w:y="21"/>
            </w:pPr>
          </w:p>
        </w:tc>
        <w:tc>
          <w:tcPr>
            <w:tcBorders>
              <w:top w:val="single" w:sz="4"/>
              <w:left w:val="single" w:sz="4"/>
              <w:bottom w:val="single" w:sz="4"/>
              <w:right w:val="single" w:sz="4"/>
            </w:tcBorders>
            <w:shd w:val="clear" w:color="auto" w:fill="FFFFFF"/>
            <w:vAlign w:val="center"/>
          </w:tcPr>
          <w:p>
            <w:pPr>
              <w:pStyle w:val="Style18"/>
              <w:keepNext w:val="0"/>
              <w:keepLines w:val="0"/>
              <w:framePr w:w="4800" w:h="13882" w:wrap="none" w:vAnchor="text" w:hAnchor="page" w:x="1120"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bl>
    <w:p>
      <w:pPr>
        <w:framePr w:w="4800" w:h="13882" w:wrap="none" w:vAnchor="text" w:hAnchor="page" w:x="1120" w:y="21"/>
        <w:widowControl w:val="0"/>
        <w:spacing w:line="1" w:lineRule="exact"/>
      </w:pPr>
    </w:p>
    <w:tbl>
      <w:tblPr>
        <w:tblOverlap w:val="never"/>
        <w:jc w:val="left"/>
        <w:tblLayout w:type="fixed"/>
      </w:tblPr>
      <w:tblGrid>
        <w:gridCol w:w="1210"/>
        <w:gridCol w:w="1195"/>
        <w:gridCol w:w="1195"/>
        <w:gridCol w:w="1205"/>
      </w:tblGrid>
      <w:tr>
        <w:trPr>
          <w:trHeight w:val="8827" w:hRule="exact"/>
        </w:trPr>
        <w:tc>
          <w:tcPr>
            <w:tcBorders>
              <w:top w:val="single" w:sz="4"/>
              <w:left w:val="single" w:sz="4"/>
            </w:tcBorders>
            <w:shd w:val="clear" w:color="auto" w:fill="FFFFFF"/>
            <w:vAlign w:val="center"/>
          </w:tcPr>
          <w:p>
            <w:pPr>
              <w:pStyle w:val="Style18"/>
              <w:keepNext w:val="0"/>
              <w:keepLines w:val="0"/>
              <w:framePr w:w="4805" w:h="13882" w:wrap="none" w:vAnchor="text" w:hAnchor="page" w:x="5901" w:y="21"/>
              <w:widowControl w:val="0"/>
              <w:shd w:val="clear" w:color="auto" w:fill="auto"/>
              <w:bidi w:val="0"/>
              <w:spacing w:before="0" w:after="100" w:line="240" w:lineRule="auto"/>
              <w:ind w:left="0" w:right="0" w:firstLine="0"/>
              <w:jc w:val="left"/>
            </w:pPr>
            <w:r>
              <w:rPr>
                <w:color w:val="000000"/>
                <w:spacing w:val="0"/>
                <w:w w:val="100"/>
                <w:position w:val="0"/>
              </w:rPr>
              <w:t>《关于变更会</w:t>
            </w:r>
          </w:p>
          <w:p>
            <w:pPr>
              <w:pStyle w:val="Style18"/>
              <w:keepNext w:val="0"/>
              <w:keepLines w:val="0"/>
              <w:framePr w:w="4805" w:h="13882" w:wrap="none" w:vAnchor="text" w:hAnchor="page" w:x="5901" w:y="21"/>
              <w:widowControl w:val="0"/>
              <w:shd w:val="clear" w:color="auto" w:fill="auto"/>
              <w:bidi w:val="0"/>
              <w:spacing w:before="0" w:after="100" w:line="240" w:lineRule="auto"/>
              <w:ind w:left="0" w:right="0" w:firstLine="0"/>
              <w:jc w:val="left"/>
            </w:pPr>
            <w:r>
              <w:rPr>
                <w:color w:val="000000"/>
                <w:spacing w:val="0"/>
                <w:w w:val="100"/>
                <w:position w:val="0"/>
              </w:rPr>
              <w:t>计政策的议</w:t>
            </w:r>
          </w:p>
          <w:p>
            <w:pPr>
              <w:pStyle w:val="Style18"/>
              <w:keepNext w:val="0"/>
              <w:keepLines w:val="0"/>
              <w:framePr w:w="4805" w:h="13882" w:wrap="none" w:vAnchor="text" w:hAnchor="page" w:x="5901" w:y="21"/>
              <w:widowControl w:val="0"/>
              <w:shd w:val="clear" w:color="auto" w:fill="auto"/>
              <w:bidi w:val="0"/>
              <w:spacing w:before="0" w:after="10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center"/>
          </w:tcPr>
          <w:p>
            <w:pPr>
              <w:pStyle w:val="Style18"/>
              <w:keepNext w:val="0"/>
              <w:keepLines w:val="0"/>
              <w:framePr w:w="4805" w:h="13882" w:wrap="none" w:vAnchor="text" w:hAnchor="page" w:x="5901" w:y="21"/>
              <w:widowControl w:val="0"/>
              <w:shd w:val="clear" w:color="auto" w:fill="auto"/>
              <w:bidi w:val="0"/>
              <w:spacing w:before="0" w:after="0" w:line="312" w:lineRule="exact"/>
              <w:ind w:left="0" w:right="0" w:firstLine="0"/>
              <w:jc w:val="left"/>
            </w:pPr>
            <w:r>
              <w:rPr>
                <w:color w:val="000000"/>
                <w:spacing w:val="0"/>
                <w:w w:val="100"/>
                <w:position w:val="0"/>
              </w:rPr>
              <w:t>公司本次会计 政策变更是根 据财政部发布 了修订后的 《关于修订印 发</w:t>
            </w:r>
            <w:r>
              <w:rPr>
                <w:color w:val="000000"/>
                <w:spacing w:val="0"/>
                <w:w w:val="100"/>
                <w:position w:val="0"/>
                <w:sz w:val="18"/>
                <w:szCs w:val="18"/>
              </w:rPr>
              <w:t>〈</w:t>
            </w:r>
            <w:r>
              <w:rPr>
                <w:color w:val="000000"/>
                <w:spacing w:val="0"/>
                <w:w w:val="100"/>
                <w:position w:val="0"/>
              </w:rPr>
              <w:t>企业会计 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 —租赁</w:t>
            </w:r>
            <w:r>
              <w:rPr>
                <w:color w:val="000000"/>
                <w:spacing w:val="0"/>
                <w:w w:val="100"/>
                <w:position w:val="0"/>
                <w:sz w:val="18"/>
                <w:szCs w:val="18"/>
              </w:rPr>
              <w:t>〉</w:t>
            </w:r>
            <w:r>
              <w:rPr>
                <w:color w:val="000000"/>
                <w:spacing w:val="0"/>
                <w:w w:val="100"/>
                <w:position w:val="0"/>
              </w:rPr>
              <w:t>的 通知》（财会</w:t>
            </w:r>
          </w:p>
          <w:p>
            <w:pPr>
              <w:pStyle w:val="Style18"/>
              <w:keepNext w:val="0"/>
              <w:keepLines w:val="0"/>
              <w:framePr w:w="4805" w:h="13882" w:wrap="none" w:vAnchor="text" w:hAnchor="page" w:x="5901" w:y="21"/>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rPr>
              <w:t>号） 的相关规定进 行的合理变更 及调整，本次 会计政策变更 不会对当期及 会计政策变更 之前公司财务 状况、经营成 果产生影响， 对公司财务状 况、经营成果 和现金流量不 产生影响</w:t>
            </w:r>
            <w:r>
              <w:rPr>
                <w:color w:val="000000"/>
                <w:spacing w:val="0"/>
                <w:w w:val="100"/>
                <w:position w:val="0"/>
                <w:sz w:val="18"/>
                <w:szCs w:val="18"/>
              </w:rPr>
              <w:t>，</w:t>
            </w:r>
            <w:r>
              <w:rPr>
                <w:color w:val="000000"/>
                <w:spacing w:val="0"/>
                <w:w w:val="100"/>
                <w:position w:val="0"/>
              </w:rPr>
              <w:t>不存 在利用会计政 策变更调节利 润的情况。同 意公司本次变 更会计政策。</w:t>
            </w:r>
          </w:p>
        </w:tc>
        <w:tc>
          <w:tcPr>
            <w:tcBorders>
              <w:top w:val="single" w:sz="4"/>
              <w:left w:val="single" w:sz="4"/>
            </w:tcBorders>
            <w:shd w:val="clear" w:color="auto" w:fill="FFFFFF"/>
            <w:vAlign w:val="top"/>
          </w:tcPr>
          <w:p>
            <w:pPr>
              <w:framePr w:w="4805" w:h="13882" w:wrap="none" w:vAnchor="text" w:hAnchor="page" w:x="5901" w:y="21"/>
              <w:widowControl w:val="0"/>
              <w:rPr>
                <w:sz w:val="10"/>
                <w:szCs w:val="10"/>
              </w:rPr>
            </w:pPr>
          </w:p>
        </w:tc>
        <w:tc>
          <w:tcPr>
            <w:tcBorders>
              <w:top w:val="single" w:sz="4"/>
              <w:left w:val="single" w:sz="4"/>
              <w:right w:val="single" w:sz="4"/>
            </w:tcBorders>
            <w:shd w:val="clear" w:color="auto" w:fill="FFFFFF"/>
            <w:vAlign w:val="top"/>
          </w:tcPr>
          <w:p>
            <w:pPr>
              <w:framePr w:w="4805" w:h="13882" w:wrap="none" w:vAnchor="text" w:hAnchor="page" w:x="5901" w:y="21"/>
              <w:widowControl w:val="0"/>
              <w:rPr>
                <w:sz w:val="10"/>
                <w:szCs w:val="10"/>
              </w:rPr>
            </w:pPr>
          </w:p>
        </w:tc>
      </w:tr>
      <w:tr>
        <w:trPr>
          <w:trHeight w:val="5054" w:hRule="exact"/>
        </w:trPr>
        <w:tc>
          <w:tcPr>
            <w:tcBorders>
              <w:top w:val="single" w:sz="4"/>
              <w:left w:val="single" w:sz="4"/>
              <w:bottom w:val="single" w:sz="4"/>
            </w:tcBorders>
            <w:shd w:val="clear" w:color="auto" w:fill="FFFFFF"/>
            <w:vAlign w:val="center"/>
          </w:tcPr>
          <w:p>
            <w:pPr>
              <w:pStyle w:val="Style18"/>
              <w:keepNext w:val="0"/>
              <w:keepLines w:val="0"/>
              <w:framePr w:w="4805" w:h="13882" w:wrap="none" w:vAnchor="text" w:hAnchor="page" w:x="5901" w:y="21"/>
              <w:widowControl w:val="0"/>
              <w:shd w:val="clear" w:color="auto" w:fill="auto"/>
              <w:bidi w:val="0"/>
              <w:spacing w:before="0" w:after="0" w:line="317"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全文及其摘要 的议案》；《内 部控制自我评 价报告》；</w:t>
            </w:r>
          </w:p>
          <w:p>
            <w:pPr>
              <w:pStyle w:val="Style18"/>
              <w:keepNext w:val="0"/>
              <w:keepLines w:val="0"/>
              <w:framePr w:w="4805" w:h="13882" w:wrap="none" w:vAnchor="text" w:hAnchor="page" w:x="5901" w:y="21"/>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年度财 务决算报告及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 预算方案》；</w:t>
            </w:r>
          </w:p>
          <w:p>
            <w:pPr>
              <w:pStyle w:val="Style18"/>
              <w:keepNext w:val="0"/>
              <w:keepLines w:val="0"/>
              <w:framePr w:w="4805" w:h="13882" w:wrap="none" w:vAnchor="text" w:hAnchor="page" w:x="5901" w:y="21"/>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 润分配预案》；</w:t>
            </w:r>
          </w:p>
          <w:p>
            <w:pPr>
              <w:pStyle w:val="Style18"/>
              <w:keepNext w:val="0"/>
              <w:keepLines w:val="0"/>
              <w:framePr w:w="4805" w:h="13882" w:wrap="none" w:vAnchor="text" w:hAnchor="page" w:x="5901" w:y="21"/>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 集资金存放与 使用情况的专 项报告》；《关</w:t>
            </w:r>
          </w:p>
        </w:tc>
        <w:tc>
          <w:tcPr>
            <w:tcBorders>
              <w:top w:val="single" w:sz="4"/>
              <w:left w:val="single" w:sz="4"/>
              <w:bottom w:val="single" w:sz="4"/>
            </w:tcBorders>
            <w:shd w:val="clear" w:color="auto" w:fill="FFFFFF"/>
            <w:vAlign w:val="center"/>
          </w:tcPr>
          <w:p>
            <w:pPr>
              <w:pStyle w:val="Style18"/>
              <w:keepNext w:val="0"/>
              <w:keepLines w:val="0"/>
              <w:framePr w:w="4805" w:h="13882" w:wrap="none" w:vAnchor="text" w:hAnchor="page" w:x="5901" w:y="21"/>
              <w:widowControl w:val="0"/>
              <w:shd w:val="clear" w:color="auto" w:fill="auto"/>
              <w:bidi w:val="0"/>
              <w:spacing w:before="0" w:after="0" w:line="311" w:lineRule="exact"/>
              <w:ind w:left="0" w:right="0" w:firstLine="0"/>
              <w:jc w:val="left"/>
            </w:pPr>
            <w:r>
              <w:rPr>
                <w:color w:val="000000"/>
                <w:spacing w:val="0"/>
                <w:w w:val="100"/>
                <w:position w:val="0"/>
              </w:rPr>
              <w:t>审计委员会认 为：报告内容 真实、准确、 完整地反映了 上市公司的实 际情况，不存 在任何虚假记 载、误导性陈 述或者重大遗 漏。</w:t>
            </w:r>
          </w:p>
        </w:tc>
        <w:tc>
          <w:tcPr>
            <w:tcBorders>
              <w:top w:val="single" w:sz="4"/>
              <w:left w:val="single" w:sz="4"/>
              <w:bottom w:val="single" w:sz="4"/>
            </w:tcBorders>
            <w:shd w:val="clear" w:color="auto" w:fill="FFFFFF"/>
            <w:vAlign w:val="top"/>
          </w:tcPr>
          <w:p>
            <w:pPr>
              <w:framePr w:w="4805" w:h="13882" w:wrap="none" w:vAnchor="text" w:hAnchor="page" w:x="5901" w:y="21"/>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framePr w:w="4805" w:h="13882"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bl>
    <w:p>
      <w:pPr>
        <w:framePr w:w="4805" w:h="13882" w:wrap="none" w:vAnchor="text" w:hAnchor="page" w:x="5901"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1" w:line="1" w:lineRule="exact"/>
      </w:pPr>
    </w:p>
    <w:p>
      <w:pPr>
        <w:widowControl w:val="0"/>
        <w:spacing w:line="1" w:lineRule="exact"/>
        <w:sectPr>
          <w:footnotePr>
            <w:pos w:val="pageBottom"/>
            <w:numFmt w:val="decimal"/>
            <w:numRestart w:val="continuous"/>
          </w:footnotePr>
          <w:type w:val="continuous"/>
          <w:pgSz w:w="11900" w:h="16840"/>
          <w:pgMar w:top="1152" w:right="1138" w:bottom="1162" w:left="1119"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9" w:header="0" w:footer="3" w:gutter="0"/>
          <w:cols w:space="720"/>
          <w:noEndnote/>
          <w:rtlGutter w:val="0"/>
          <w:docGrid w:linePitch="360"/>
        </w:sectPr>
      </w:pPr>
    </w:p>
    <w:tbl>
      <w:tblPr>
        <w:tblOverlap w:val="never"/>
        <w:jc w:val="left"/>
        <w:tblLayout w:type="fixed"/>
      </w:tblPr>
      <w:tblGrid>
        <w:gridCol w:w="1205"/>
        <w:gridCol w:w="1195"/>
        <w:gridCol w:w="1195"/>
        <w:gridCol w:w="1205"/>
      </w:tblGrid>
      <w:tr>
        <w:trPr>
          <w:trHeight w:val="3173" w:hRule="exact"/>
        </w:trPr>
        <w:tc>
          <w:tcPr>
            <w:vMerge w:val="restart"/>
            <w:tcBorders>
              <w:top w:val="single" w:sz="4"/>
              <w:left w:val="single" w:sz="4"/>
            </w:tcBorders>
            <w:shd w:val="clear" w:color="auto" w:fill="FFFFFF"/>
            <w:vAlign w:val="top"/>
          </w:tcPr>
          <w:p>
            <w:pPr>
              <w:framePr w:w="4800" w:h="13800"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800"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800"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800" w:h="13800" w:wrap="none" w:vAnchor="text" w:hAnchor="page" w:x="1120" w:y="21"/>
              <w:widowControl w:val="0"/>
              <w:rPr>
                <w:sz w:val="10"/>
                <w:szCs w:val="10"/>
              </w:rPr>
            </w:pPr>
          </w:p>
        </w:tc>
      </w:tr>
      <w:tr>
        <w:trPr>
          <w:trHeight w:val="3211" w:hRule="exact"/>
        </w:trPr>
        <w:tc>
          <w:tcPr>
            <w:vMerge/>
            <w:tcBorders>
              <w:left w:val="single" w:sz="4"/>
            </w:tcBorders>
            <w:shd w:val="clear" w:color="auto" w:fill="FFFFFF"/>
            <w:vAlign w:val="top"/>
          </w:tcPr>
          <w:p>
            <w:pPr>
              <w:framePr w:w="4800" w:h="13800" w:wrap="none" w:vAnchor="text" w:hAnchor="page" w:x="1120" w:y="21"/>
            </w:pPr>
          </w:p>
        </w:tc>
        <w:tc>
          <w:tcPr>
            <w:vMerge/>
            <w:tcBorders>
              <w:left w:val="single" w:sz="4"/>
            </w:tcBorders>
            <w:shd w:val="clear" w:color="auto" w:fill="FFFFFF"/>
            <w:vAlign w:val="top"/>
          </w:tcPr>
          <w:p>
            <w:pPr>
              <w:framePr w:w="4800" w:h="13800" w:wrap="none" w:vAnchor="text" w:hAnchor="page" w:x="1120" w:y="21"/>
            </w:pPr>
          </w:p>
        </w:tc>
        <w:tc>
          <w:tcPr>
            <w:vMerge/>
            <w:tcBorders>
              <w:left w:val="single" w:sz="4"/>
            </w:tcBorders>
            <w:shd w:val="clear" w:color="auto" w:fill="FFFFFF"/>
            <w:vAlign w:val="top"/>
          </w:tcPr>
          <w:p>
            <w:pPr>
              <w:framePr w:w="4800" w:h="13800" w:wrap="none" w:vAnchor="text" w:hAnchor="page" w:x="1120" w:y="21"/>
            </w:pPr>
          </w:p>
        </w:tc>
        <w:tc>
          <w:tcPr>
            <w:tcBorders>
              <w:top w:val="single" w:sz="4"/>
              <w:left w:val="single" w:sz="4"/>
              <w:right w:val="single" w:sz="4"/>
            </w:tcBorders>
            <w:shd w:val="clear" w:color="auto" w:fill="FFFFFF"/>
            <w:vAlign w:val="center"/>
          </w:tcPr>
          <w:p>
            <w:pPr>
              <w:pStyle w:val="Style18"/>
              <w:keepNext w:val="0"/>
              <w:keepLines w:val="0"/>
              <w:framePr w:w="4800" w:h="13800" w:wrap="none" w:vAnchor="text" w:hAnchor="page" w:x="1120"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i/>
                <w:iCs/>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8"/>
              <w:keepNext w:val="0"/>
              <w:keepLines w:val="0"/>
              <w:framePr w:w="4800" w:h="13800"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211" w:hRule="exact"/>
        </w:trPr>
        <w:tc>
          <w:tcPr>
            <w:vMerge/>
            <w:tcBorders>
              <w:left w:val="single" w:sz="4"/>
            </w:tcBorders>
            <w:shd w:val="clear" w:color="auto" w:fill="FFFFFF"/>
            <w:vAlign w:val="top"/>
          </w:tcPr>
          <w:p>
            <w:pPr>
              <w:framePr w:w="4800" w:h="13800" w:wrap="none" w:vAnchor="text" w:hAnchor="page" w:x="1120" w:y="21"/>
            </w:pPr>
          </w:p>
        </w:tc>
        <w:tc>
          <w:tcPr>
            <w:vMerge/>
            <w:tcBorders>
              <w:left w:val="single" w:sz="4"/>
            </w:tcBorders>
            <w:shd w:val="clear" w:color="auto" w:fill="FFFFFF"/>
            <w:vAlign w:val="top"/>
          </w:tcPr>
          <w:p>
            <w:pPr>
              <w:framePr w:w="4800" w:h="13800" w:wrap="none" w:vAnchor="text" w:hAnchor="page" w:x="1120" w:y="21"/>
            </w:pPr>
          </w:p>
        </w:tc>
        <w:tc>
          <w:tcPr>
            <w:vMerge/>
            <w:tcBorders>
              <w:left w:val="single" w:sz="4"/>
            </w:tcBorders>
            <w:shd w:val="clear" w:color="auto" w:fill="FFFFFF"/>
            <w:vAlign w:val="top"/>
          </w:tcPr>
          <w:p>
            <w:pPr>
              <w:framePr w:w="4800" w:h="13800" w:wrap="none" w:vAnchor="text" w:hAnchor="page" w:x="1120" w:y="21"/>
            </w:pPr>
          </w:p>
        </w:tc>
        <w:tc>
          <w:tcPr>
            <w:tcBorders>
              <w:top w:val="single" w:sz="4"/>
              <w:left w:val="single" w:sz="4"/>
              <w:right w:val="single" w:sz="4"/>
            </w:tcBorders>
            <w:shd w:val="clear" w:color="auto" w:fill="FFFFFF"/>
            <w:vAlign w:val="center"/>
          </w:tcPr>
          <w:p>
            <w:pPr>
              <w:pStyle w:val="Style18"/>
              <w:keepNext w:val="0"/>
              <w:keepLines w:val="0"/>
              <w:framePr w:w="4800" w:h="13800" w:wrap="none" w:vAnchor="text" w:hAnchor="page" w:x="1120"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206" w:hRule="exact"/>
        </w:trPr>
        <w:tc>
          <w:tcPr>
            <w:vMerge/>
            <w:tcBorders>
              <w:left w:val="single" w:sz="4"/>
            </w:tcBorders>
            <w:shd w:val="clear" w:color="auto" w:fill="FFFFFF"/>
            <w:vAlign w:val="top"/>
          </w:tcPr>
          <w:p>
            <w:pPr>
              <w:framePr w:w="4800" w:h="13800" w:wrap="none" w:vAnchor="text" w:hAnchor="page" w:x="1120" w:y="21"/>
            </w:pPr>
          </w:p>
        </w:tc>
        <w:tc>
          <w:tcPr>
            <w:vMerge/>
            <w:tcBorders>
              <w:left w:val="single" w:sz="4"/>
            </w:tcBorders>
            <w:shd w:val="clear" w:color="auto" w:fill="FFFFFF"/>
            <w:vAlign w:val="top"/>
          </w:tcPr>
          <w:p>
            <w:pPr>
              <w:framePr w:w="4800" w:h="13800" w:wrap="none" w:vAnchor="text" w:hAnchor="page" w:x="1120" w:y="21"/>
            </w:pPr>
          </w:p>
        </w:tc>
        <w:tc>
          <w:tcPr>
            <w:vMerge/>
            <w:tcBorders>
              <w:left w:val="single" w:sz="4"/>
            </w:tcBorders>
            <w:shd w:val="clear" w:color="auto" w:fill="FFFFFF"/>
            <w:vAlign w:val="top"/>
          </w:tcPr>
          <w:p>
            <w:pPr>
              <w:framePr w:w="4800" w:h="13800" w:wrap="none" w:vAnchor="text" w:hAnchor="page" w:x="1120" w:y="21"/>
            </w:pPr>
          </w:p>
        </w:tc>
        <w:tc>
          <w:tcPr>
            <w:tcBorders>
              <w:top w:val="single" w:sz="4"/>
              <w:left w:val="single" w:sz="4"/>
              <w:right w:val="single" w:sz="4"/>
            </w:tcBorders>
            <w:shd w:val="clear" w:color="auto" w:fill="FFFFFF"/>
            <w:vAlign w:val="center"/>
          </w:tcPr>
          <w:p>
            <w:pPr>
              <w:pStyle w:val="Style18"/>
              <w:keepNext w:val="0"/>
              <w:keepLines w:val="0"/>
              <w:framePr w:w="4800" w:h="13800" w:wrap="none" w:vAnchor="text" w:hAnchor="page" w:x="1120"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18"/>
              <w:keepNext w:val="0"/>
              <w:keepLines w:val="0"/>
              <w:framePr w:w="4800" w:h="13800"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998" w:hRule="exact"/>
        </w:trPr>
        <w:tc>
          <w:tcPr>
            <w:vMerge/>
            <w:tcBorders>
              <w:left w:val="single" w:sz="4"/>
              <w:bottom w:val="single" w:sz="4"/>
            </w:tcBorders>
            <w:shd w:val="clear" w:color="auto" w:fill="FFFFFF"/>
            <w:vAlign w:val="top"/>
          </w:tcPr>
          <w:p>
            <w:pPr>
              <w:framePr w:w="4800" w:h="13800" w:wrap="none" w:vAnchor="text" w:hAnchor="page" w:x="1120" w:y="21"/>
            </w:pPr>
          </w:p>
        </w:tc>
        <w:tc>
          <w:tcPr>
            <w:vMerge/>
            <w:tcBorders>
              <w:left w:val="single" w:sz="4"/>
              <w:bottom w:val="single" w:sz="4"/>
            </w:tcBorders>
            <w:shd w:val="clear" w:color="auto" w:fill="FFFFFF"/>
            <w:vAlign w:val="top"/>
          </w:tcPr>
          <w:p>
            <w:pPr>
              <w:framePr w:w="4800" w:h="13800" w:wrap="none" w:vAnchor="text" w:hAnchor="page" w:x="1120" w:y="21"/>
            </w:pPr>
          </w:p>
        </w:tc>
        <w:tc>
          <w:tcPr>
            <w:vMerge/>
            <w:tcBorders>
              <w:left w:val="single" w:sz="4"/>
              <w:bottom w:val="single" w:sz="4"/>
            </w:tcBorders>
            <w:shd w:val="clear" w:color="auto" w:fill="FFFFFF"/>
            <w:vAlign w:val="top"/>
          </w:tcPr>
          <w:p>
            <w:pPr>
              <w:framePr w:w="4800" w:h="13800" w:wrap="none" w:vAnchor="text" w:hAnchor="page" w:x="1120" w:y="21"/>
            </w:pPr>
          </w:p>
        </w:tc>
        <w:tc>
          <w:tcPr>
            <w:tcBorders>
              <w:top w:val="single" w:sz="4"/>
              <w:left w:val="single" w:sz="4"/>
              <w:bottom w:val="single" w:sz="4"/>
              <w:right w:val="single" w:sz="4"/>
            </w:tcBorders>
            <w:shd w:val="clear" w:color="auto" w:fill="FFFFFF"/>
            <w:vAlign w:val="center"/>
          </w:tcPr>
          <w:p>
            <w:pPr>
              <w:pStyle w:val="Style18"/>
              <w:keepNext w:val="0"/>
              <w:keepLines w:val="0"/>
              <w:framePr w:w="4800" w:h="13800" w:wrap="none" w:vAnchor="text" w:hAnchor="page" w:x="1120"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bl>
    <w:p>
      <w:pPr>
        <w:framePr w:w="4800" w:h="13800" w:wrap="none" w:vAnchor="text" w:hAnchor="page" w:x="1120" w:y="21"/>
        <w:widowControl w:val="0"/>
        <w:spacing w:line="1" w:lineRule="exact"/>
      </w:pPr>
    </w:p>
    <w:tbl>
      <w:tblPr>
        <w:tblOverlap w:val="never"/>
        <w:jc w:val="left"/>
        <w:tblLayout w:type="fixed"/>
      </w:tblPr>
      <w:tblGrid>
        <w:gridCol w:w="1210"/>
        <w:gridCol w:w="1195"/>
        <w:gridCol w:w="1195"/>
        <w:gridCol w:w="1205"/>
      </w:tblGrid>
      <w:tr>
        <w:trPr>
          <w:trHeight w:val="3173" w:hRule="exact"/>
        </w:trPr>
        <w:tc>
          <w:tcPr>
            <w:tcBorders>
              <w:top w:val="single" w:sz="4"/>
              <w:left w:val="single" w:sz="4"/>
            </w:tcBorders>
            <w:shd w:val="clear" w:color="auto" w:fill="FFFFFF"/>
            <w:vAlign w:val="center"/>
          </w:tcPr>
          <w:p>
            <w:pPr>
              <w:pStyle w:val="Style18"/>
              <w:keepNext w:val="0"/>
              <w:keepLines w:val="0"/>
              <w:framePr w:w="4805" w:h="13800" w:wrap="none" w:vAnchor="text" w:hAnchor="page" w:x="5901" w:y="21"/>
              <w:widowControl w:val="0"/>
              <w:shd w:val="clear" w:color="auto" w:fill="auto"/>
              <w:bidi w:val="0"/>
              <w:spacing w:before="0" w:after="0" w:line="313" w:lineRule="exact"/>
              <w:ind w:left="0" w:right="0" w:firstLine="0"/>
              <w:jc w:val="both"/>
            </w:pPr>
            <w:r>
              <w:rPr>
                <w:color w:val="000000"/>
                <w:spacing w:val="0"/>
                <w:w w:val="100"/>
                <w:position w:val="0"/>
              </w:rPr>
              <w:t>于向银行申请 综合授信的议 案》；《关于 使用闲置自有 资金进行现金 管理的议案》； 《公司未来三</w:t>
            </w:r>
          </w:p>
          <w:p>
            <w:pPr>
              <w:pStyle w:val="Style18"/>
              <w:keepNext w:val="0"/>
              <w:keepLines w:val="0"/>
              <w:framePr w:w="4805" w:h="13800" w:wrap="none" w:vAnchor="text" w:hAnchor="page" w:x="5901" w:y="21"/>
              <w:widowControl w:val="0"/>
              <w:shd w:val="clear" w:color="auto" w:fill="auto"/>
              <w:bidi w:val="0"/>
              <w:spacing w:before="0" w:after="0" w:line="313"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2021-2023 </w:t>
            </w:r>
            <w:r>
              <w:rPr>
                <w:color w:val="000000"/>
                <w:spacing w:val="0"/>
                <w:w w:val="100"/>
                <w:position w:val="0"/>
              </w:rPr>
              <w:t>年）股东回报 规划（草案）》</w:t>
            </w:r>
          </w:p>
        </w:tc>
        <w:tc>
          <w:tcPr>
            <w:tcBorders>
              <w:top w:val="single" w:sz="4"/>
              <w:left w:val="single" w:sz="4"/>
            </w:tcBorders>
            <w:shd w:val="clear" w:color="auto" w:fill="FFFFFF"/>
            <w:vAlign w:val="top"/>
          </w:tcPr>
          <w:p>
            <w:pPr>
              <w:framePr w:w="4805" w:h="13800" w:wrap="none" w:vAnchor="text" w:hAnchor="page" w:x="5901" w:y="21"/>
              <w:widowControl w:val="0"/>
              <w:rPr>
                <w:sz w:val="10"/>
                <w:szCs w:val="10"/>
              </w:rPr>
            </w:pPr>
          </w:p>
        </w:tc>
        <w:tc>
          <w:tcPr>
            <w:tcBorders>
              <w:top w:val="single" w:sz="4"/>
              <w:left w:val="single" w:sz="4"/>
            </w:tcBorders>
            <w:shd w:val="clear" w:color="auto" w:fill="FFFFFF"/>
            <w:vAlign w:val="top"/>
          </w:tcPr>
          <w:p>
            <w:pPr>
              <w:framePr w:w="4805" w:h="13800" w:wrap="none" w:vAnchor="text" w:hAnchor="page" w:x="5901" w:y="21"/>
              <w:widowControl w:val="0"/>
              <w:rPr>
                <w:sz w:val="10"/>
                <w:szCs w:val="10"/>
              </w:rPr>
            </w:pPr>
          </w:p>
        </w:tc>
        <w:tc>
          <w:tcPr>
            <w:tcBorders>
              <w:top w:val="single" w:sz="4"/>
              <w:left w:val="single" w:sz="4"/>
              <w:right w:val="single" w:sz="4"/>
            </w:tcBorders>
            <w:shd w:val="clear" w:color="auto" w:fill="FFFFFF"/>
            <w:vAlign w:val="top"/>
          </w:tcPr>
          <w:p>
            <w:pPr>
              <w:framePr w:w="4805" w:h="13800" w:wrap="none" w:vAnchor="text" w:hAnchor="page" w:x="5901" w:y="21"/>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18"/>
              <w:keepNext w:val="0"/>
              <w:keepLines w:val="0"/>
              <w:framePr w:w="4805" w:h="13800" w:wrap="none" w:vAnchor="text" w:hAnchor="page" w:x="5901" w:y="21"/>
              <w:widowControl w:val="0"/>
              <w:shd w:val="clear" w:color="auto" w:fill="auto"/>
              <w:bidi w:val="0"/>
              <w:spacing w:before="0" w:after="0" w:line="313" w:lineRule="exact"/>
              <w:ind w:left="0" w:right="0" w:firstLine="0"/>
              <w:jc w:val="both"/>
            </w:pPr>
            <w:r>
              <w:rPr>
                <w:color w:val="000000"/>
                <w:spacing w:val="0"/>
                <w:w w:val="100"/>
                <w:position w:val="0"/>
              </w:rPr>
              <w:t>《关于</w:t>
            </w:r>
            <w:r>
              <w:rPr>
                <w:color w:val="000000"/>
                <w:spacing w:val="0"/>
                <w:w w:val="100"/>
                <w:position w:val="0"/>
                <w:sz w:val="18"/>
                <w:szCs w:val="18"/>
              </w:rPr>
              <w:t>〈</w:t>
            </w:r>
            <w:r>
              <w:rPr>
                <w:color w:val="000000"/>
                <w:spacing w:val="0"/>
                <w:w w:val="100"/>
                <w:position w:val="0"/>
              </w:rPr>
              <w:t xml:space="preserve">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 度报告</w:t>
            </w:r>
            <w:r>
              <w:rPr>
                <w:color w:val="000000"/>
                <w:spacing w:val="0"/>
                <w:w w:val="100"/>
                <w:position w:val="0"/>
                <w:sz w:val="18"/>
                <w:szCs w:val="18"/>
              </w:rPr>
              <w:t>〉</w:t>
            </w:r>
            <w:r>
              <w:rPr>
                <w:color w:val="000000"/>
                <w:spacing w:val="0"/>
                <w:w w:val="100"/>
                <w:position w:val="0"/>
              </w:rPr>
              <w:t>全文 及其正文的议 案》</w:t>
            </w:r>
          </w:p>
        </w:tc>
        <w:tc>
          <w:tcPr>
            <w:tcBorders>
              <w:top w:val="single" w:sz="4"/>
              <w:left w:val="single" w:sz="4"/>
            </w:tcBorders>
            <w:shd w:val="clear" w:color="auto" w:fill="FFFFFF"/>
            <w:vAlign w:val="center"/>
          </w:tcPr>
          <w:p>
            <w:pPr>
              <w:pStyle w:val="Style18"/>
              <w:keepNext w:val="0"/>
              <w:keepLines w:val="0"/>
              <w:framePr w:w="4805" w:h="13800" w:wrap="none" w:vAnchor="text" w:hAnchor="page" w:x="5901" w:y="21"/>
              <w:widowControl w:val="0"/>
              <w:shd w:val="clear" w:color="auto" w:fill="auto"/>
              <w:bidi w:val="0"/>
              <w:spacing w:before="0" w:after="0" w:line="311" w:lineRule="exact"/>
              <w:ind w:left="0" w:right="0" w:firstLine="0"/>
              <w:jc w:val="both"/>
            </w:pPr>
            <w:r>
              <w:rPr>
                <w:color w:val="000000"/>
                <w:spacing w:val="0"/>
                <w:w w:val="100"/>
                <w:position w:val="0"/>
              </w:rPr>
              <w:t>审计委员会认 为：报告内容 真实、准确、 完整地反映了 上市公司的实 际情况，不存 在任何虚假记 载、误导性陈 述或者重大遗 漏。</w:t>
            </w:r>
          </w:p>
        </w:tc>
        <w:tc>
          <w:tcPr>
            <w:tcBorders>
              <w:top w:val="single" w:sz="4"/>
              <w:left w:val="single" w:sz="4"/>
            </w:tcBorders>
            <w:shd w:val="clear" w:color="auto" w:fill="FFFFFF"/>
            <w:vAlign w:val="top"/>
          </w:tcPr>
          <w:p>
            <w:pPr>
              <w:framePr w:w="4805" w:h="13800" w:wrap="none" w:vAnchor="text" w:hAnchor="page" w:x="5901" w:y="21"/>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framePr w:w="4805" w:h="13800"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11" w:hRule="exact"/>
        </w:trPr>
        <w:tc>
          <w:tcPr>
            <w:tcBorders>
              <w:top w:val="single" w:sz="4"/>
              <w:left w:val="single" w:sz="4"/>
            </w:tcBorders>
            <w:shd w:val="clear" w:color="auto" w:fill="FFFFFF"/>
            <w:vAlign w:val="center"/>
          </w:tcPr>
          <w:p>
            <w:pPr>
              <w:pStyle w:val="Style18"/>
              <w:keepNext w:val="0"/>
              <w:keepLines w:val="0"/>
              <w:framePr w:w="4805" w:h="13800" w:wrap="none" w:vAnchor="text" w:hAnchor="page" w:x="5901" w:y="21"/>
              <w:widowControl w:val="0"/>
              <w:shd w:val="clear" w:color="auto" w:fill="auto"/>
              <w:bidi w:val="0"/>
              <w:spacing w:before="0" w:after="0" w:line="317"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&lt;2021 </w:t>
            </w:r>
            <w:r>
              <w:rPr>
                <w:color w:val="000000"/>
                <w:spacing w:val="0"/>
                <w:w w:val="100"/>
                <w:position w:val="0"/>
              </w:rPr>
              <w:t>年半年度报 告</w:t>
            </w:r>
            <w:r>
              <w:rPr>
                <w:color w:val="000000"/>
                <w:spacing w:val="0"/>
                <w:w w:val="100"/>
                <w:position w:val="0"/>
                <w:sz w:val="18"/>
                <w:szCs w:val="18"/>
              </w:rPr>
              <w:t>〉</w:t>
            </w:r>
            <w:r>
              <w:rPr>
                <w:color w:val="000000"/>
                <w:spacing w:val="0"/>
                <w:w w:val="100"/>
                <w:position w:val="0"/>
              </w:rPr>
              <w:t>全文及其 摘要的议案》；</w:t>
            </w:r>
          </w:p>
          <w:p>
            <w:pPr>
              <w:pStyle w:val="Style18"/>
              <w:keepNext w:val="0"/>
              <w:keepLines w:val="0"/>
              <w:framePr w:w="4805" w:h="13800" w:wrap="none" w:vAnchor="text" w:hAnchor="page" w:x="5901" w:y="21"/>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度募集资金存 放与实际使用 情况的专项报</w:t>
            </w:r>
          </w:p>
          <w:p>
            <w:pPr>
              <w:pStyle w:val="Style18"/>
              <w:keepNext w:val="0"/>
              <w:keepLines w:val="0"/>
              <w:framePr w:w="4805" w:h="13800" w:wrap="none" w:vAnchor="text" w:hAnchor="page" w:x="5901" w:y="21"/>
              <w:widowControl w:val="0"/>
              <w:shd w:val="clear" w:color="auto" w:fill="auto"/>
              <w:bidi w:val="0"/>
              <w:spacing w:before="0" w:after="0" w:line="317" w:lineRule="exact"/>
              <w:ind w:left="0" w:right="0" w:firstLine="0"/>
              <w:jc w:val="both"/>
            </w:pPr>
            <w:r>
              <w:rPr>
                <w:color w:val="000000"/>
                <w:spacing w:val="0"/>
                <w:w w:val="100"/>
                <w:position w:val="0"/>
              </w:rPr>
              <w:t>告》</w:t>
            </w:r>
          </w:p>
        </w:tc>
        <w:tc>
          <w:tcPr>
            <w:tcBorders>
              <w:top w:val="single" w:sz="4"/>
              <w:left w:val="single" w:sz="4"/>
            </w:tcBorders>
            <w:shd w:val="clear" w:color="auto" w:fill="FFFFFF"/>
            <w:vAlign w:val="center"/>
          </w:tcPr>
          <w:p>
            <w:pPr>
              <w:pStyle w:val="Style18"/>
              <w:keepNext w:val="0"/>
              <w:keepLines w:val="0"/>
              <w:framePr w:w="4805" w:h="13800" w:wrap="none" w:vAnchor="text" w:hAnchor="page" w:x="5901" w:y="21"/>
              <w:widowControl w:val="0"/>
              <w:shd w:val="clear" w:color="auto" w:fill="auto"/>
              <w:bidi w:val="0"/>
              <w:spacing w:before="0" w:after="0" w:line="311" w:lineRule="exact"/>
              <w:ind w:left="0" w:right="0" w:firstLine="0"/>
              <w:jc w:val="both"/>
            </w:pPr>
            <w:r>
              <w:rPr>
                <w:color w:val="000000"/>
                <w:spacing w:val="0"/>
                <w:w w:val="100"/>
                <w:position w:val="0"/>
              </w:rPr>
              <w:t>审计委员会认 为：报告内容 真实、准确、 完整地反映了 上市公司的实 际情况，不存 在任何虚假记 载、误导性陈 述或者重大遗 漏。</w:t>
            </w:r>
          </w:p>
        </w:tc>
        <w:tc>
          <w:tcPr>
            <w:tcBorders>
              <w:top w:val="single" w:sz="4"/>
              <w:left w:val="single" w:sz="4"/>
            </w:tcBorders>
            <w:shd w:val="clear" w:color="auto" w:fill="FFFFFF"/>
            <w:vAlign w:val="top"/>
          </w:tcPr>
          <w:p>
            <w:pPr>
              <w:framePr w:w="4805" w:h="13800" w:wrap="none" w:vAnchor="text" w:hAnchor="page" w:x="5901" w:y="21"/>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framePr w:w="4805" w:h="13800"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06" w:hRule="exact"/>
        </w:trPr>
        <w:tc>
          <w:tcPr>
            <w:tcBorders>
              <w:top w:val="single" w:sz="4"/>
              <w:left w:val="single" w:sz="4"/>
            </w:tcBorders>
            <w:shd w:val="clear" w:color="auto" w:fill="FFFFFF"/>
            <w:vAlign w:val="center"/>
          </w:tcPr>
          <w:p>
            <w:pPr>
              <w:pStyle w:val="Style18"/>
              <w:keepNext w:val="0"/>
              <w:keepLines w:val="0"/>
              <w:framePr w:w="4805" w:h="13800" w:wrap="none" w:vAnchor="text" w:hAnchor="page" w:x="5901" w:y="21"/>
              <w:widowControl w:val="0"/>
              <w:shd w:val="clear" w:color="auto" w:fill="auto"/>
              <w:bidi w:val="0"/>
              <w:spacing w:before="0" w:after="0" w:line="317" w:lineRule="exact"/>
              <w:ind w:left="0" w:right="0" w:firstLine="0"/>
              <w:jc w:val="both"/>
            </w:pPr>
            <w:r>
              <w:rPr>
                <w:color w:val="000000"/>
                <w:spacing w:val="0"/>
                <w:w w:val="100"/>
                <w:position w:val="0"/>
              </w:rPr>
              <w:t>《关于公司</w:t>
            </w:r>
          </w:p>
          <w:p>
            <w:pPr>
              <w:pStyle w:val="Style18"/>
              <w:keepNext w:val="0"/>
              <w:keepLines w:val="0"/>
              <w:framePr w:w="4805" w:h="13800" w:wrap="none" w:vAnchor="text" w:hAnchor="page" w:x="5901" w:y="21"/>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&lt;2021</w:t>
            </w:r>
            <w:r>
              <w:rPr>
                <w:color w:val="000000"/>
                <w:spacing w:val="0"/>
                <w:w w:val="100"/>
                <w:position w:val="0"/>
              </w:rPr>
              <w:t>年第三 季度报告</w:t>
            </w:r>
            <w:r>
              <w:rPr>
                <w:color w:val="000000"/>
                <w:spacing w:val="0"/>
                <w:w w:val="100"/>
                <w:position w:val="0"/>
                <w:sz w:val="18"/>
                <w:szCs w:val="18"/>
              </w:rPr>
              <w:t>〉</w:t>
            </w:r>
            <w:r>
              <w:rPr>
                <w:color w:val="000000"/>
                <w:spacing w:val="0"/>
                <w:w w:val="100"/>
                <w:position w:val="0"/>
              </w:rPr>
              <w:t>全 文及正文的议 案》</w:t>
            </w:r>
          </w:p>
        </w:tc>
        <w:tc>
          <w:tcPr>
            <w:tcBorders>
              <w:top w:val="single" w:sz="4"/>
              <w:left w:val="single" w:sz="4"/>
            </w:tcBorders>
            <w:shd w:val="clear" w:color="auto" w:fill="FFFFFF"/>
            <w:vAlign w:val="center"/>
          </w:tcPr>
          <w:p>
            <w:pPr>
              <w:pStyle w:val="Style18"/>
              <w:keepNext w:val="0"/>
              <w:keepLines w:val="0"/>
              <w:framePr w:w="4805" w:h="13800" w:wrap="none" w:vAnchor="text" w:hAnchor="page" w:x="5901" w:y="21"/>
              <w:widowControl w:val="0"/>
              <w:shd w:val="clear" w:color="auto" w:fill="auto"/>
              <w:bidi w:val="0"/>
              <w:spacing w:before="0" w:after="0" w:line="311" w:lineRule="exact"/>
              <w:ind w:left="0" w:right="0" w:firstLine="0"/>
              <w:jc w:val="both"/>
            </w:pPr>
            <w:r>
              <w:rPr>
                <w:color w:val="000000"/>
                <w:spacing w:val="0"/>
                <w:w w:val="100"/>
                <w:position w:val="0"/>
              </w:rPr>
              <w:t>审计委员会认 为：报告内容 真实、准确、 完整地反映了 上市公司的实 际情况，不存 在任何虚假记 载、误导性陈 述或者重大遗 漏。</w:t>
            </w:r>
          </w:p>
        </w:tc>
        <w:tc>
          <w:tcPr>
            <w:tcBorders>
              <w:top w:val="single" w:sz="4"/>
              <w:left w:val="single" w:sz="4"/>
            </w:tcBorders>
            <w:shd w:val="clear" w:color="auto" w:fill="FFFFFF"/>
            <w:vAlign w:val="top"/>
          </w:tcPr>
          <w:p>
            <w:pPr>
              <w:framePr w:w="4805" w:h="13800" w:wrap="none" w:vAnchor="text" w:hAnchor="page" w:x="5901" w:y="21"/>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framePr w:w="4805" w:h="13800"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98" w:hRule="exact"/>
        </w:trPr>
        <w:tc>
          <w:tcPr>
            <w:tcBorders>
              <w:top w:val="single" w:sz="4"/>
              <w:left w:val="single" w:sz="4"/>
              <w:bottom w:val="single" w:sz="4"/>
            </w:tcBorders>
            <w:shd w:val="clear" w:color="auto" w:fill="FFFFFF"/>
            <w:vAlign w:val="center"/>
          </w:tcPr>
          <w:p>
            <w:pPr>
              <w:pStyle w:val="Style18"/>
              <w:keepNext w:val="0"/>
              <w:keepLines w:val="0"/>
              <w:framePr w:w="4805" w:h="13800"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《关于聘任公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 计机构的议</w:t>
            </w:r>
          </w:p>
        </w:tc>
        <w:tc>
          <w:tcPr>
            <w:tcBorders>
              <w:top w:val="single" w:sz="4"/>
              <w:left w:val="single" w:sz="4"/>
              <w:bottom w:val="single" w:sz="4"/>
            </w:tcBorders>
            <w:shd w:val="clear" w:color="auto" w:fill="FFFFFF"/>
            <w:vAlign w:val="center"/>
          </w:tcPr>
          <w:p>
            <w:pPr>
              <w:pStyle w:val="Style18"/>
              <w:keepNext w:val="0"/>
              <w:keepLines w:val="0"/>
              <w:framePr w:w="4805" w:h="13800" w:wrap="none" w:vAnchor="text" w:hAnchor="page" w:x="5901" w:y="21"/>
              <w:widowControl w:val="0"/>
              <w:shd w:val="clear" w:color="auto" w:fill="auto"/>
              <w:bidi w:val="0"/>
              <w:spacing w:before="0" w:after="0" w:line="310" w:lineRule="exact"/>
              <w:ind w:left="0" w:right="0" w:firstLine="0"/>
              <w:jc w:val="both"/>
            </w:pPr>
            <w:r>
              <w:rPr>
                <w:color w:val="000000"/>
                <w:spacing w:val="0"/>
                <w:w w:val="100"/>
                <w:position w:val="0"/>
              </w:rPr>
              <w:t>审计委员会认 为：大信会计 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w:t>
            </w:r>
          </w:p>
        </w:tc>
        <w:tc>
          <w:tcPr>
            <w:tcBorders>
              <w:top w:val="single" w:sz="4"/>
              <w:left w:val="single" w:sz="4"/>
              <w:bottom w:val="single" w:sz="4"/>
            </w:tcBorders>
            <w:shd w:val="clear" w:color="auto" w:fill="FFFFFF"/>
            <w:vAlign w:val="top"/>
          </w:tcPr>
          <w:p>
            <w:pPr>
              <w:framePr w:w="4805" w:h="13800" w:wrap="none" w:vAnchor="text" w:hAnchor="page" w:x="5901" w:y="21"/>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framePr w:w="4805" w:h="13800"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bl>
    <w:p>
      <w:pPr>
        <w:framePr w:w="4805" w:h="13800" w:wrap="none" w:vAnchor="text" w:hAnchor="page" w:x="5901"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Restart w:val="continuous"/>
          </w:footnotePr>
          <w:type w:val="continuous"/>
          <w:pgSz w:w="11900" w:h="16840"/>
          <w:pgMar w:top="1152" w:right="1138" w:bottom="1162" w:left="1119"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1205"/>
        <w:gridCol w:w="1195"/>
        <w:gridCol w:w="1195"/>
        <w:gridCol w:w="1195"/>
        <w:gridCol w:w="1200"/>
        <w:gridCol w:w="1195"/>
        <w:gridCol w:w="1195"/>
        <w:gridCol w:w="1205"/>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具有 从事证券业务 资格及从事上 市公司审计工 作的丰富经验 和职业素养， 具有多年为上 市公司审计服 务的经验和能 力，能够满足 公司财务审计 和相关专项审 计工作的要 求，能够独立 对公司财务情 况进行审计。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钟鸿钧、董延 安、毛伟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《关于提名钟 鸿钧先生为公 司第五届董事 会独立董事候 选人的议案》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提名委员会已 充分了解独立 董事候选人的 职业、学历、 职称、工作经 历及兼职情 况，认为其符 合现行法律法 规对董事任职 资格的规定， 以及公司发展 的实际需要。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毛伟、何菁、 王彬彬、钟鸿 钧、董延安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年度经 营目标和计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4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薪酬与考核委 员会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毛伟、何菁、 董延安、钟鸿 钧、陶瑞宇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《关于董事、 高管人员</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年度绩效考核 结果的议案》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八</w:t>
      </w:r>
      <w:bookmarkEnd w:id="320"/>
      <w:r>
        <w:rPr>
          <w:color w:val="000000"/>
          <w:spacing w:val="0"/>
          <w:w w:val="100"/>
          <w:position w:val="0"/>
        </w:rPr>
        <w:t>、监事会工作情况</w:t>
      </w:r>
      <w:bookmarkEnd w:id="318"/>
      <w:bookmarkEnd w:id="319"/>
      <w:bookmarkEnd w:id="32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监事会对报告期内的监督事项无异议。</w:t>
      </w:r>
      <w:r>
        <w:br w:type="page"/>
      </w:r>
    </w:p>
    <w:p>
      <w:pPr>
        <w:pStyle w:val="Style21"/>
        <w:keepNext/>
        <w:keepLines/>
        <w:widowControl w:val="0"/>
        <w:shd w:val="clear" w:color="auto" w:fill="auto"/>
        <w:bidi w:val="0"/>
        <w:spacing w:before="0" w:after="360" w:line="240" w:lineRule="auto"/>
        <w:ind w:left="0" w:right="0" w:firstLine="0"/>
        <w:jc w:val="both"/>
      </w:pPr>
      <w:bookmarkStart w:id="322" w:name="bookmark322"/>
      <w:bookmarkStart w:id="323" w:name="bookmark323"/>
      <w:bookmarkStart w:id="324" w:name="bookmark324"/>
      <w:bookmarkStart w:id="325" w:name="bookmark325"/>
      <w:r>
        <w:rPr>
          <w:color w:val="000000"/>
          <w:spacing w:val="0"/>
          <w:w w:val="100"/>
          <w:position w:val="0"/>
        </w:rPr>
        <w:t>九</w:t>
      </w:r>
      <w:bookmarkEnd w:id="324"/>
      <w:r>
        <w:rPr>
          <w:color w:val="000000"/>
          <w:spacing w:val="0"/>
          <w:w w:val="100"/>
          <w:position w:val="0"/>
        </w:rPr>
        <w:t>、公司员工情况</w:t>
      </w:r>
      <w:bookmarkEnd w:id="322"/>
      <w:bookmarkEnd w:id="323"/>
      <w:bookmarkEnd w:id="325"/>
    </w:p>
    <w:p>
      <w:pPr>
        <w:pStyle w:val="Style29"/>
        <w:keepNext/>
        <w:keepLines/>
        <w:widowControl w:val="0"/>
        <w:shd w:val="clear" w:color="auto" w:fill="auto"/>
        <w:bidi w:val="0"/>
        <w:spacing w:before="0" w:after="320" w:line="240" w:lineRule="auto"/>
        <w:ind w:left="0" w:right="0" w:firstLine="0"/>
        <w:jc w:val="both"/>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、员工数量、专业构成及教育程度</w:t>
      </w:r>
      <w:bookmarkEnd w:id="326"/>
      <w:bookmarkEnd w:id="327"/>
      <w:bookmarkEnd w:id="32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w:t>
            </w:r>
          </w:p>
        </w:tc>
      </w:tr>
    </w:tbl>
    <w:p>
      <w:pPr>
        <w:widowControl w:val="0"/>
        <w:spacing w:after="99" w:line="1" w:lineRule="exact"/>
      </w:pPr>
    </w:p>
    <w:p>
      <w:pPr>
        <w:pStyle w:val="Style29"/>
        <w:keepNext/>
        <w:keepLines/>
        <w:widowControl w:val="0"/>
        <w:shd w:val="clear" w:color="auto" w:fill="auto"/>
        <w:bidi w:val="0"/>
        <w:spacing w:before="0" w:after="220" w:line="469" w:lineRule="exact"/>
        <w:ind w:left="0" w:right="0" w:firstLine="0"/>
        <w:jc w:val="both"/>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2</w:t>
      </w:r>
      <w:bookmarkEnd w:id="332"/>
      <w:r>
        <w:rPr>
          <w:color w:val="000000"/>
          <w:spacing w:val="0"/>
          <w:w w:val="100"/>
          <w:position w:val="0"/>
        </w:rPr>
        <w:t>、薪酬政策</w:t>
      </w:r>
      <w:bookmarkEnd w:id="330"/>
      <w:bookmarkEnd w:id="331"/>
      <w:bookmarkEnd w:id="333"/>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为体现同类岗位不同任职人个性的差异，同类岗位工资分为若干档，公司可根据任职人任职资格、绩 效、特殊能力等差异支付不同的岗位工资标准。新员工的入职定薪依据面试及考核结果，对照相应岗位的 工资标准核定。相同岗位薪档较多的，人力资源部门和用人部门应该制定详细的任职资格，根据任职资格 等级规定相对应的入职薪级，使定薪有客观标准和依据。</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与公司签有正式聘用合同的员工，其工资按月发放。未与公司签订正式聘用合同的临时员工，其工资 按双方约定发放。</w:t>
      </w:r>
    </w:p>
    <w:p>
      <w:pPr>
        <w:pStyle w:val="Style10"/>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 xml:space="preserve">公司每年度年终根据同行业平均薪酬水平、公司综合绩效、公司人力资源规划目标、公司财务实际支 付能力等因素，对员工薪酬水平进行必要调整。人力资源部门定期监测市场薪资行情（以中位值为基准） </w:t>
      </w:r>
      <w:r>
        <w:rPr>
          <w:color w:val="000000"/>
          <w:spacing w:val="0"/>
          <w:w w:val="100"/>
          <w:position w:val="0"/>
        </w:rPr>
        <w:t>的变化，并结合每年通货膨胀率水平以及公司整体效益，提出局部或整体薪酬体系调整意见（原则上每年 整体提升</w:t>
      </w:r>
      <w:r>
        <w:rPr>
          <w:rFonts w:ascii="Times New Roman" w:eastAsia="Times New Roman" w:hAnsi="Times New Roman" w:cs="Times New Roman"/>
          <w:color w:val="000000"/>
          <w:spacing w:val="0"/>
          <w:w w:val="100"/>
          <w:position w:val="0"/>
        </w:rPr>
        <w:t>3-5%</w:t>
      </w:r>
      <w:r>
        <w:rPr>
          <w:color w:val="000000"/>
          <w:spacing w:val="0"/>
          <w:w w:val="100"/>
          <w:position w:val="0"/>
        </w:rPr>
        <w:t>），呈总经理审核。</w:t>
      </w:r>
    </w:p>
    <w:p>
      <w:pPr>
        <w:pStyle w:val="Style29"/>
        <w:keepNext/>
        <w:keepLines/>
        <w:widowControl w:val="0"/>
        <w:shd w:val="clear" w:color="auto" w:fill="auto"/>
        <w:tabs>
          <w:tab w:pos="364" w:val="left"/>
        </w:tabs>
        <w:bidi w:val="0"/>
        <w:spacing w:before="0" w:after="0" w:line="480" w:lineRule="auto"/>
        <w:ind w:left="0" w:right="0" w:firstLine="0"/>
        <w:jc w:val="both"/>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3</w:t>
      </w:r>
      <w:bookmarkEnd w:id="336"/>
      <w:r>
        <w:rPr>
          <w:color w:val="000000"/>
          <w:spacing w:val="0"/>
          <w:w w:val="100"/>
          <w:position w:val="0"/>
        </w:rPr>
        <w:t>、</w:t>
        <w:tab/>
        <w:t>培训计划</w:t>
      </w:r>
      <w:bookmarkEnd w:id="334"/>
      <w:bookmarkEnd w:id="335"/>
      <w:bookmarkEnd w:id="337"/>
    </w:p>
    <w:p>
      <w:pPr>
        <w:pStyle w:val="Style10"/>
        <w:keepNext w:val="0"/>
        <w:keepLines w:val="0"/>
        <w:widowControl w:val="0"/>
        <w:numPr>
          <w:ilvl w:val="0"/>
          <w:numId w:val="13"/>
        </w:numPr>
        <w:shd w:val="clear" w:color="auto" w:fill="auto"/>
        <w:tabs>
          <w:tab w:pos="748" w:val="left"/>
        </w:tabs>
        <w:bidi w:val="0"/>
        <w:spacing w:before="0" w:after="0" w:line="467" w:lineRule="exact"/>
        <w:ind w:left="0" w:right="0" w:firstLine="440"/>
        <w:jc w:val="both"/>
      </w:pPr>
      <w:bookmarkStart w:id="338" w:name="bookmark338"/>
      <w:bookmarkEnd w:id="338"/>
      <w:r>
        <w:rPr>
          <w:color w:val="000000"/>
          <w:spacing w:val="0"/>
          <w:w w:val="100"/>
          <w:position w:val="0"/>
        </w:rPr>
        <w:t>建立培训资源网络，进一步丰富企业培训资源。公司业务的广泛性也决定了公司各部门培训需求的 多元化。为了较好的满足广大干部职工的培训需求，选择合适的培训课程，培训讲师，配置合适的培训资 源，需要取得大量及时、准确的培训信息，扩大培训业务联系，建立起有效的培训资源网络。积极与比较 强势的专业机构保持好战略性的合作伙伴关系，及时掌握前沿的动态信息，并横向了解到业界相关的热门 需求，调整思路，并就某些具体项目达成合作协议。</w:t>
      </w:r>
    </w:p>
    <w:p>
      <w:pPr>
        <w:pStyle w:val="Style10"/>
        <w:keepNext w:val="0"/>
        <w:keepLines w:val="0"/>
        <w:widowControl w:val="0"/>
        <w:numPr>
          <w:ilvl w:val="0"/>
          <w:numId w:val="13"/>
        </w:numPr>
        <w:shd w:val="clear" w:color="auto" w:fill="auto"/>
        <w:tabs>
          <w:tab w:pos="748" w:val="left"/>
        </w:tabs>
        <w:bidi w:val="0"/>
        <w:spacing w:before="0" w:after="460" w:line="470" w:lineRule="exact"/>
        <w:ind w:left="0" w:right="0" w:firstLine="440"/>
        <w:jc w:val="both"/>
      </w:pPr>
      <w:bookmarkStart w:id="339" w:name="bookmark339"/>
      <w:bookmarkEnd w:id="339"/>
      <w:r>
        <w:rPr>
          <w:color w:val="000000"/>
          <w:spacing w:val="0"/>
          <w:w w:val="100"/>
          <w:position w:val="0"/>
        </w:rPr>
        <w:t>建立一支富有实践经验，熟悉现实情形的内部讲师团队。培训需求的多元性和企业内培训资源的有 限性的矛盾，已经越来越突出。建立一支富有实践经验，熟悉现实情形的内部讲师团队就变的越发重要。 培养起自己的内部讲师团队，首先大大节约了公司有限的培训经费，其次，为公司培养了一批各个领域内 的专家，再次，也可以在广大职工中树立起学习的榜样，培养广大员工的自主学习意思。以往的实践表明， 企业高级主管对企业经营认识之深刻、解释之透彻更容易让大家接受和理解，应该积极倡导高级主管都为 集团培训工作做出良好的表率。在具体措施上，重点加强对管理人员各项培训的同时，也从制度上明确、 选拔优秀管理人员作为企业内部讲师。</w:t>
      </w:r>
    </w:p>
    <w:p>
      <w:pPr>
        <w:pStyle w:val="Style29"/>
        <w:keepNext/>
        <w:keepLines/>
        <w:widowControl w:val="0"/>
        <w:shd w:val="clear" w:color="auto" w:fill="auto"/>
        <w:tabs>
          <w:tab w:pos="364" w:val="left"/>
        </w:tabs>
        <w:bidi w:val="0"/>
        <w:spacing w:before="0" w:after="140" w:line="480" w:lineRule="auto"/>
        <w:ind w:left="0" w:right="0" w:firstLine="0"/>
        <w:jc w:val="both"/>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4</w:t>
      </w:r>
      <w:bookmarkEnd w:id="342"/>
      <w:r>
        <w:rPr>
          <w:color w:val="000000"/>
          <w:spacing w:val="0"/>
          <w:w w:val="100"/>
          <w:position w:val="0"/>
        </w:rPr>
        <w:t>、</w:t>
        <w:tab/>
        <w:t>劳务外包情况</w:t>
      </w:r>
      <w:bookmarkEnd w:id="340"/>
      <w:bookmarkEnd w:id="341"/>
      <w:bookmarkEnd w:id="343"/>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both"/>
      </w:pPr>
      <w:bookmarkStart w:id="344" w:name="bookmark344"/>
      <w:bookmarkStart w:id="345" w:name="bookmark345"/>
      <w:bookmarkStart w:id="346" w:name="bookmark346"/>
      <w:r>
        <w:rPr>
          <w:color w:val="000000"/>
          <w:spacing w:val="0"/>
          <w:w w:val="100"/>
          <w:position w:val="0"/>
        </w:rPr>
        <w:t>十、公司利润分配及资本公积金转增股本情况</w:t>
      </w:r>
      <w:bookmarkEnd w:id="344"/>
      <w:bookmarkEnd w:id="345"/>
      <w:bookmarkEnd w:id="346"/>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报告期内利润分配政策，特别是现金分红政策的制定、执行或调整情况</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本报告期利润分配及资本公积金转增股本情况</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以未来实施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年度利润分配方案的股权登记日的总股本（截至披露日 的总股本为</w:t>
            </w:r>
            <w:r>
              <w:rPr>
                <w:rFonts w:ascii="Times New Roman" w:eastAsia="Times New Roman" w:hAnsi="Times New Roman" w:cs="Times New Roman"/>
                <w:color w:val="000000"/>
                <w:spacing w:val="0"/>
                <w:w w:val="100"/>
                <w:position w:val="0"/>
                <w:sz w:val="18"/>
                <w:szCs w:val="18"/>
              </w:rPr>
              <w:t>498,344,263</w:t>
            </w:r>
            <w:r>
              <w:rPr>
                <w:color w:val="000000"/>
                <w:spacing w:val="0"/>
                <w:w w:val="100"/>
                <w:position w:val="0"/>
              </w:rPr>
              <w:t xml:space="preserve">股）减去公司回购专户股数（截至披露日为 </w:t>
            </w:r>
            <w:r>
              <w:rPr>
                <w:rFonts w:ascii="Times New Roman" w:eastAsia="Times New Roman" w:hAnsi="Times New Roman" w:cs="Times New Roman"/>
                <w:color w:val="000000"/>
                <w:spacing w:val="0"/>
                <w:w w:val="100"/>
                <w:position w:val="0"/>
                <w:sz w:val="18"/>
                <w:szCs w:val="18"/>
              </w:rPr>
              <w:t xml:space="preserve">5,155,550 </w:t>
            </w:r>
            <w:r>
              <w:rPr>
                <w:color w:val="000000"/>
                <w:spacing w:val="0"/>
                <w:w w:val="100"/>
                <w:position w:val="0"/>
              </w:rPr>
              <w:t>股）</w:t>
            </w:r>
          </w:p>
        </w:tc>
      </w:tr>
    </w:tbl>
    <w:p>
      <w:pPr>
        <w:widowControl w:val="0"/>
        <w:spacing w:line="1" w:lineRule="exact"/>
      </w:pPr>
    </w:p>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287,358,148.58</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公司发展阶段属成熟期且有重大资金支出安排的，进行利润分配时，现金分红在本次利润分配中所占比例最低应达到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利润分配或资本公积金转增预案的详细情况说明</w:t>
            </w:r>
          </w:p>
        </w:tc>
      </w:tr>
      <w:tr>
        <w:trPr>
          <w:trHeight w:val="2323" w:hRule="exact"/>
        </w:trPr>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年已实施的利润分配（现金分红及现金回购公司股票方式）总额为</w:t>
            </w:r>
            <w:r>
              <w:rPr>
                <w:rFonts w:ascii="Times New Roman" w:eastAsia="Times New Roman" w:hAnsi="Times New Roman" w:cs="Times New Roman"/>
                <w:color w:val="000000"/>
                <w:spacing w:val="0"/>
                <w:w w:val="100"/>
                <w:position w:val="0"/>
                <w:sz w:val="18"/>
                <w:szCs w:val="18"/>
              </w:rPr>
              <w:t>40,518,032.85</w:t>
            </w:r>
            <w:r>
              <w:rPr>
                <w:color w:val="000000"/>
                <w:spacing w:val="0"/>
                <w:w w:val="100"/>
                <w:position w:val="0"/>
              </w:rPr>
              <w:t>元，达最近三年实现的 年均可分配利润的</w:t>
            </w:r>
            <w:r>
              <w:rPr>
                <w:rFonts w:ascii="Times New Roman" w:eastAsia="Times New Roman" w:hAnsi="Times New Roman" w:cs="Times New Roman"/>
                <w:color w:val="000000"/>
                <w:spacing w:val="0"/>
                <w:w w:val="100"/>
                <w:position w:val="0"/>
                <w:sz w:val="18"/>
                <w:szCs w:val="18"/>
              </w:rPr>
              <w:t>176.42%</w:t>
            </w:r>
            <w:r>
              <w:rPr>
                <w:color w:val="000000"/>
                <w:spacing w:val="0"/>
                <w:w w:val="100"/>
                <w:position w:val="0"/>
              </w:rPr>
              <w:t>，已满足《公司未来三年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年）股东回报规划》所制定的要求，公司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 分配预案如下：</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以未来实施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年度利润分配方案的股权登记日的总股本（截至披露日的总股本为</w:t>
            </w:r>
            <w:r>
              <w:rPr>
                <w:rFonts w:ascii="Times New Roman" w:eastAsia="Times New Roman" w:hAnsi="Times New Roman" w:cs="Times New Roman"/>
                <w:color w:val="000000"/>
                <w:spacing w:val="0"/>
                <w:w w:val="100"/>
                <w:position w:val="0"/>
                <w:sz w:val="18"/>
                <w:szCs w:val="18"/>
              </w:rPr>
              <w:t>498,344,263</w:t>
            </w:r>
            <w:r>
              <w:rPr>
                <w:color w:val="000000"/>
                <w:spacing w:val="0"/>
                <w:w w:val="100"/>
                <w:position w:val="0"/>
              </w:rPr>
              <w:t>股）减去公司回购专户股 数（截至披露日为</w:t>
            </w:r>
            <w:r>
              <w:rPr>
                <w:rFonts w:ascii="Times New Roman" w:eastAsia="Times New Roman" w:hAnsi="Times New Roman" w:cs="Times New Roman"/>
                <w:color w:val="000000"/>
                <w:spacing w:val="0"/>
                <w:w w:val="100"/>
                <w:position w:val="0"/>
                <w:sz w:val="18"/>
                <w:szCs w:val="18"/>
              </w:rPr>
              <w:t>5,155,550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元（含税）， 不以资本公积金转增股本，不以未分配利润送股。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年度利润分配拟不进行现金分配，留存全部收益用于公司日常生产 经营。</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347" w:name="bookmark347"/>
      <w:bookmarkStart w:id="348" w:name="bookmark348"/>
      <w:bookmarkStart w:id="349" w:name="bookmark349"/>
      <w:r>
        <w:rPr>
          <w:color w:val="000000"/>
          <w:spacing w:val="0"/>
          <w:w w:val="100"/>
          <w:position w:val="0"/>
        </w:rPr>
        <w:t>十一、公司股权激励计划、员工持股计划或其他员工激励措施的实施情况</w:t>
      </w:r>
      <w:bookmarkEnd w:id="347"/>
      <w:bookmarkEnd w:id="348"/>
      <w:bookmarkEnd w:id="349"/>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1"/>
        <w:keepNext/>
        <w:keepLines/>
        <w:widowControl w:val="0"/>
        <w:shd w:val="clear" w:color="auto" w:fill="auto"/>
        <w:bidi w:val="0"/>
        <w:spacing w:before="0" w:after="380" w:line="240" w:lineRule="auto"/>
        <w:ind w:left="0" w:right="0" w:firstLine="0"/>
        <w:jc w:val="both"/>
      </w:pPr>
      <w:bookmarkStart w:id="350" w:name="bookmark350"/>
      <w:bookmarkStart w:id="351" w:name="bookmark351"/>
      <w:bookmarkStart w:id="352" w:name="bookmark352"/>
      <w:r>
        <w:rPr>
          <w:color w:val="000000"/>
          <w:spacing w:val="0"/>
          <w:w w:val="100"/>
          <w:position w:val="0"/>
        </w:rPr>
        <w:t>十二、报告期内的内部控制制度建设及实施情况</w:t>
      </w:r>
      <w:bookmarkEnd w:id="350"/>
      <w:bookmarkEnd w:id="351"/>
      <w:bookmarkEnd w:id="352"/>
    </w:p>
    <w:p>
      <w:pPr>
        <w:pStyle w:val="Style29"/>
        <w:keepNext/>
        <w:keepLines/>
        <w:widowControl w:val="0"/>
        <w:shd w:val="clear" w:color="auto" w:fill="auto"/>
        <w:tabs>
          <w:tab w:pos="358" w:val="left"/>
        </w:tabs>
        <w:bidi w:val="0"/>
        <w:spacing w:before="0" w:after="0" w:line="480" w:lineRule="auto"/>
        <w:ind w:left="0" w:right="0" w:firstLine="0"/>
        <w:jc w:val="both"/>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w:t>
        <w:tab/>
        <w:t>内部控制建设及实施情况</w:t>
      </w:r>
      <w:bookmarkEnd w:id="353"/>
      <w:bookmarkEnd w:id="354"/>
      <w:bookmarkEnd w:id="356"/>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公司按照企业内部控制规范体系的规定，建立健全和有效实施内部控制，评价其有效性，并如实披露 内部控制评价报告是公司董事会的责任。监事会对董事会建立和实施内部控制进行监督。经理层负责组织 领导企业内部控制的日常运行。</w:t>
      </w:r>
    </w:p>
    <w:p>
      <w:pPr>
        <w:pStyle w:val="Style10"/>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公司内部控制的目标是合理保证经营管理合法合规、资产安全、财务报告及相关信息真实完整，提高 经营效率和效果，促进实现发展战略。</w:t>
      </w:r>
    </w:p>
    <w:p>
      <w:pPr>
        <w:pStyle w:val="Style29"/>
        <w:keepNext/>
        <w:keepLines/>
        <w:widowControl w:val="0"/>
        <w:shd w:val="clear" w:color="auto" w:fill="auto"/>
        <w:tabs>
          <w:tab w:pos="368" w:val="left"/>
        </w:tabs>
        <w:bidi w:val="0"/>
        <w:spacing w:before="0" w:after="140" w:line="48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2</w:t>
      </w:r>
      <w:bookmarkEnd w:id="359"/>
      <w:r>
        <w:rPr>
          <w:color w:val="000000"/>
          <w:spacing w:val="0"/>
          <w:w w:val="100"/>
          <w:position w:val="0"/>
        </w:rPr>
        <w:t>、</w:t>
        <w:tab/>
        <w:t>报告期内发现的内部控制重大缺陷的具体情况</w:t>
      </w:r>
      <w:bookmarkEnd w:id="357"/>
      <w:bookmarkEnd w:id="358"/>
      <w:bookmarkEnd w:id="36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320" w:line="240" w:lineRule="auto"/>
        <w:ind w:left="0" w:right="0" w:firstLine="0"/>
        <w:jc w:val="left"/>
      </w:pPr>
      <w:bookmarkStart w:id="361" w:name="bookmark361"/>
      <w:bookmarkStart w:id="362" w:name="bookmark362"/>
      <w:bookmarkStart w:id="363" w:name="bookmark363"/>
      <w:r>
        <w:rPr>
          <w:color w:val="000000"/>
          <w:spacing w:val="0"/>
          <w:w w:val="100"/>
          <w:position w:val="0"/>
        </w:rPr>
        <w:t>十三、公司报告期内对子公司的管理控制情况</w:t>
      </w:r>
      <w:bookmarkEnd w:id="361"/>
      <w:bookmarkEnd w:id="362"/>
      <w:bookmarkEnd w:id="363"/>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整合计划</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整合进展</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整合中遇到的问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已采取的解决措</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解决进展</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题</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1"/>
        <w:keepNext/>
        <w:keepLines/>
        <w:widowControl w:val="0"/>
        <w:shd w:val="clear" w:color="auto" w:fill="auto"/>
        <w:bidi w:val="0"/>
        <w:spacing w:before="0" w:after="360" w:line="240" w:lineRule="auto"/>
        <w:ind w:left="0" w:right="0" w:firstLine="0"/>
        <w:jc w:val="left"/>
      </w:pPr>
      <w:bookmarkStart w:id="364" w:name="bookmark364"/>
      <w:bookmarkStart w:id="365" w:name="bookmark365"/>
      <w:bookmarkStart w:id="366" w:name="bookmark366"/>
      <w:r>
        <w:rPr>
          <w:color w:val="000000"/>
          <w:spacing w:val="0"/>
          <w:w w:val="100"/>
          <w:position w:val="0"/>
        </w:rPr>
        <w:t>十四、内部控制自我评价报告或内部控制审计报告</w:t>
      </w:r>
      <w:bookmarkEnd w:id="364"/>
      <w:bookmarkEnd w:id="365"/>
      <w:bookmarkEnd w:id="366"/>
    </w:p>
    <w:p>
      <w:pPr>
        <w:pStyle w:val="Style29"/>
        <w:keepNext/>
        <w:keepLines/>
        <w:widowControl w:val="0"/>
        <w:shd w:val="clear" w:color="auto" w:fill="auto"/>
        <w:bidi w:val="0"/>
        <w:spacing w:before="0" w:after="32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、内控自我评价报告</w:t>
      </w:r>
      <w:bookmarkEnd w:id="367"/>
      <w:bookmarkEnd w:id="368"/>
      <w:bookmarkEnd w:id="370"/>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非财务报告</w:t>
            </w:r>
          </w:p>
        </w:tc>
      </w:tr>
      <w:tr>
        <w:trPr>
          <w:trHeight w:val="445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公司确定的财务报告内部控制缺陷评价的 定性标准如下：财务报告重大缺陷的迹象 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）公司董事、监事和高级管理人 员的舞弊行为；（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）对已经公开披露的财 务报告出现的重大差错进行差错更正（由 于政策变化或其他客观因素变化导致的对 以前年度的追溯调整除外）；（</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 计师发现的却未被公司内部控制识别的当 期财务报告中的重大错报；（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 会和审计部门对公司的对外财务报告和财 务报告内部控制监督无效。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公司确定的非财务报告内部控制缺陷 评价的定性标准如下：非财务报告缺陷 认定主要以缺陷对业务流程有效性的 影响程度、发生的可能性作判定。如果 缺陷发生的可能性较小，会降低工作效 率或效果、或加大效果的不确定性、或 使之偏离预期目标为一般缺陷；如果缺 陷发生的可能性较高，会显著降低工作 效率或效果、或显著加大效果的不确定 性、或使之显著偏离预期目标为重要缺 陷；如果缺陷发生的可能性高，会严重 降低工作效率或效果、或严重加大效果 的不确定性、或使之严重偏离预期目标 为重大缺陷。</w:t>
            </w:r>
          </w:p>
        </w:tc>
      </w:tr>
      <w:tr>
        <w:trPr>
          <w:trHeight w:val="41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定量标准以营业收入、资产总额作为衡量 指标。内部控制缺陷可能导致或导致的损 失与利润表相关的，以营业收入指标衡量。 如果该缺陷单独或连同其他缺陷可能导致 的财务报告错报金额小于营业收入的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，则认定为一般缺陷；如果超过营业 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，则为重要缺陷； 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，则认定为重大缺 陷。内部控制缺陷可能导致或导致的损失 与资产管理相关的，以资产总额指标衡量。 如果该缺陷单独或连同其他缺陷可能导致 的财务报告错报金额小于资产总额的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，则认定为一般缺陷；如果超过资产</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 量指标。内部控制缺陷可能导致或导致 的损失与利润报表相关的，以营业收入 指标衡量。如果该缺陷单独或连同其他 缺陷可能导致的财务报告错报金额小 于营业收入的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 陷；如果超过营业收入的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认定为重要缺陷；如果超过税前利 润营业收入的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 内部控制缺陷可能导致或导致的损失 与资产管理相关的，以资产总额指标衡 量。如果该缺陷单独或连同其他缺陷可 能导致的财务报告错报金额小于资产</w:t>
            </w:r>
          </w:p>
        </w:tc>
      </w:tr>
    </w:tbl>
    <w:p>
      <w:pPr>
        <w:widowControl w:val="0"/>
        <w:spacing w:line="1" w:lineRule="exact"/>
      </w:pPr>
    </w:p>
    <w:tbl>
      <w:tblPr>
        <w:tblOverlap w:val="never"/>
        <w:jc w:val="center"/>
        <w:tblLayout w:type="fixed"/>
      </w:tblPr>
      <w:tblGrid>
        <w:gridCol w:w="3202"/>
        <w:gridCol w:w="3322"/>
        <w:gridCol w:w="3062"/>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认定为重要缺陷； 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 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 果超过资产总额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 定为重要缺陷;如果超过资产总额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则认定为重大缺陷。</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9"/>
        <w:keepNext/>
        <w:keepLines/>
        <w:widowControl w:val="0"/>
        <w:shd w:val="clear" w:color="auto" w:fill="auto"/>
        <w:bidi w:val="0"/>
        <w:spacing w:before="0" w:after="380" w:line="472" w:lineRule="exact"/>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2</w:t>
      </w:r>
      <w:bookmarkEnd w:id="373"/>
      <w:r>
        <w:rPr>
          <w:color w:val="000000"/>
          <w:spacing w:val="0"/>
          <w:w w:val="100"/>
          <w:position w:val="0"/>
        </w:rPr>
        <w:t>、内部控制审计报告</w:t>
      </w:r>
      <w:bookmarkEnd w:id="371"/>
      <w:bookmarkEnd w:id="372"/>
      <w:bookmarkEnd w:id="374"/>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20" w:line="240" w:lineRule="auto"/>
        <w:ind w:left="0" w:right="0" w:firstLine="0"/>
        <w:jc w:val="left"/>
      </w:pPr>
      <w:bookmarkStart w:id="375" w:name="bookmark375"/>
      <w:bookmarkStart w:id="376" w:name="bookmark376"/>
      <w:bookmarkStart w:id="377" w:name="bookmark377"/>
      <w:r>
        <w:rPr>
          <w:color w:val="000000"/>
          <w:spacing w:val="0"/>
          <w:w w:val="100"/>
          <w:position w:val="0"/>
        </w:rPr>
        <w:t>十五、上市公司治理专项行动自查问题整改情况</w:t>
      </w:r>
      <w:bookmarkEnd w:id="375"/>
      <w:bookmarkEnd w:id="376"/>
      <w:bookmarkEnd w:id="377"/>
    </w:p>
    <w:p>
      <w:pPr>
        <w:pStyle w:val="Style10"/>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年公司参加了上市公司治理专项行动自查活动，根据证监局相关自查要求逐条进行自查。本次治 理自查过程中反映一个问题：公司上市公司内部规章制度未明确划分公司股东大会、董事会对关联交易事 项的审批权限；或者虽明确划分公司股东大会、董事会对关联交易事项的审批权限但各项制度对于关联交 易的审批权限不一致。</w:t>
      </w:r>
    </w:p>
    <w:p>
      <w:pPr>
        <w:pStyle w:val="Style10"/>
        <w:keepNext w:val="0"/>
        <w:keepLines w:val="0"/>
        <w:widowControl w:val="0"/>
        <w:shd w:val="clear" w:color="auto" w:fill="auto"/>
        <w:bidi w:val="0"/>
        <w:spacing w:before="0" w:after="300" w:line="474" w:lineRule="exact"/>
        <w:ind w:left="0" w:right="0" w:firstLine="440"/>
        <w:jc w:val="both"/>
      </w:pPr>
      <w:r>
        <w:rPr>
          <w:color w:val="000000"/>
          <w:spacing w:val="0"/>
          <w:w w:val="100"/>
          <w:position w:val="0"/>
        </w:rPr>
        <w:t>整改措施如下：公司于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日，分别召开了第五届董事会第二十三次 会议和</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年第二次临时股东大会，审议通过了《关于修改公司章程的议案》，就相关情况进行审议并 公告，具体可见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日公司于巨潮资讯网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）披</w:t>
      </w:r>
      <w:r>
        <w:rPr>
          <w:color w:val="000000"/>
          <w:spacing w:val="0"/>
          <w:w w:val="100"/>
          <w:position w:val="0"/>
        </w:rPr>
        <w:t xml:space="preserve"> 露的相关公告。报告期内已完成相关整改。</w:t>
      </w:r>
      <w:r>
        <w:br w:type="page"/>
      </w: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rPr>
        <w:t>第五节环境和社会责任</w:t>
      </w:r>
    </w:p>
    <w:p>
      <w:pPr>
        <w:pStyle w:val="Style21"/>
        <w:keepNext/>
        <w:keepLines/>
        <w:widowControl w:val="0"/>
        <w:shd w:val="clear" w:color="auto" w:fill="auto"/>
        <w:bidi w:val="0"/>
        <w:spacing w:before="0" w:after="380" w:line="240" w:lineRule="auto"/>
        <w:ind w:left="0" w:right="0" w:firstLine="0"/>
        <w:jc w:val="both"/>
      </w:pPr>
      <w:bookmarkStart w:id="378" w:name="bookmark378"/>
      <w:bookmarkStart w:id="379" w:name="bookmark379"/>
      <w:bookmarkStart w:id="380" w:name="bookmark380"/>
      <w:bookmarkStart w:id="381" w:name="bookmark381"/>
      <w:bookmarkStart w:id="382" w:name="bookmark382"/>
      <w:r>
        <w:rPr>
          <w:color w:val="000000"/>
          <w:spacing w:val="0"/>
          <w:w w:val="100"/>
          <w:position w:val="0"/>
        </w:rPr>
        <w:t>一</w:t>
      </w:r>
      <w:bookmarkEnd w:id="381"/>
      <w:r>
        <w:rPr>
          <w:color w:val="000000"/>
          <w:spacing w:val="0"/>
          <w:w w:val="100"/>
          <w:position w:val="0"/>
        </w:rPr>
        <w:t>、重大环保问题</w:t>
      </w:r>
      <w:bookmarkEnd w:id="379"/>
      <w:bookmarkEnd w:id="380"/>
      <w:bookmarkEnd w:id="382"/>
      <w:bookmarkEnd w:id="378"/>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970"/>
        <w:gridCol w:w="955"/>
        <w:gridCol w:w="955"/>
        <w:gridCol w:w="955"/>
        <w:gridCol w:w="960"/>
        <w:gridCol w:w="955"/>
        <w:gridCol w:w="955"/>
        <w:gridCol w:w="960"/>
        <w:gridCol w:w="955"/>
        <w:gridCol w:w="970"/>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公司或子公 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主要污染物 及特征污染 物的名称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排放口数量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排放口分布</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排放浓度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执行的污染</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物排放标准</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排放总量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核定的排放</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超标排放情 况</w:t>
            </w:r>
          </w:p>
        </w:tc>
      </w:tr>
      <w:tr>
        <w:trPr>
          <w:trHeight w:val="19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北京中科彩</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技术有限公</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有组织排放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生产车间东 侧处理废气 处理设施平 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个、车 间西北角</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个</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0.195mg/m</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0.5mg/m3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未规定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28.121KG</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未超标</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北京中科彩</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技术有限公</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甲苯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有组织排放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生产车间东 侧处理废气 处理设施平 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个、车 间西北角</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个</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0.285mg/m</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10mg/m3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未规定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41.170KG</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未超标</w:t>
            </w:r>
          </w:p>
        </w:tc>
      </w:tr>
      <w:tr>
        <w:trPr>
          <w:trHeight w:val="197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北京中科彩</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技术有限公</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二甲苯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有组织排放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生产车间东 侧处理废气 处理设施平 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个、车 间西北角</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0.190mg/m</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30mg/m3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未规定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27.436KG</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未超标</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防治污染设施的建设和运行情况</w:t>
      </w:r>
    </w:p>
    <w:p>
      <w:pPr>
        <w:pStyle w:val="Style10"/>
        <w:keepNext w:val="0"/>
        <w:keepLines w:val="0"/>
        <w:widowControl w:val="0"/>
        <w:shd w:val="clear" w:color="auto" w:fill="auto"/>
        <w:bidi w:val="0"/>
        <w:spacing w:before="0" w:after="60" w:line="470"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年公司拥有</w:t>
      </w:r>
      <w:r>
        <w:rPr>
          <w:rFonts w:ascii="Times New Roman" w:eastAsia="Times New Roman" w:hAnsi="Times New Roman" w:cs="Times New Roman"/>
          <w:color w:val="000000"/>
          <w:spacing w:val="0"/>
          <w:w w:val="100"/>
          <w:position w:val="0"/>
        </w:rPr>
        <w:t>1</w:t>
      </w:r>
      <w:r>
        <w:rPr>
          <w:color w:val="000000"/>
          <w:spacing w:val="0"/>
          <w:w w:val="100"/>
          <w:position w:val="0"/>
        </w:rPr>
        <w:t>条环保型柔性版水性墨印刷生产线，年产高档防伪印刷品</w:t>
      </w:r>
      <w:r>
        <w:rPr>
          <w:rFonts w:ascii="Times New Roman" w:eastAsia="Times New Roman" w:hAnsi="Times New Roman" w:cs="Times New Roman"/>
          <w:color w:val="000000"/>
          <w:spacing w:val="0"/>
          <w:w w:val="100"/>
          <w:position w:val="0"/>
        </w:rPr>
        <w:t>1583</w:t>
      </w:r>
      <w:r>
        <w:rPr>
          <w:color w:val="000000"/>
          <w:spacing w:val="0"/>
          <w:w w:val="100"/>
          <w:position w:val="0"/>
        </w:rPr>
        <w:t>万</w:t>
      </w:r>
      <w:r>
        <w:rPr>
          <w:color w:val="000000"/>
          <w:spacing w:val="0"/>
          <w:w w:val="100"/>
          <w:position w:val="0"/>
        </w:rPr>
        <w:t xml:space="preserve">tf </w:t>
      </w:r>
      <w:r>
        <w:rPr>
          <w:color w:val="000000"/>
          <w:spacing w:val="0"/>
          <w:w w:val="100"/>
          <w:position w:val="0"/>
        </w:rPr>
        <w:t>（</w:t>
      </w:r>
      <w:r>
        <w:rPr>
          <w:rFonts w:ascii="Times New Roman" w:eastAsia="Times New Roman" w:hAnsi="Times New Roman" w:cs="Times New Roman"/>
          <w:color w:val="000000"/>
          <w:spacing w:val="0"/>
          <w:w w:val="100"/>
          <w:position w:val="0"/>
        </w:rPr>
        <w:t>306792</w:t>
      </w:r>
      <w:r>
        <w:rPr>
          <w:color w:val="000000"/>
          <w:spacing w:val="0"/>
          <w:w w:val="100"/>
          <w:position w:val="0"/>
        </w:rPr>
        <w:t>万张 标准票）。环保设施有活性炭吸附催化燃烧设施</w:t>
      </w:r>
      <w:r>
        <w:rPr>
          <w:rFonts w:ascii="Times New Roman" w:eastAsia="Times New Roman" w:hAnsi="Times New Roman" w:cs="Times New Roman"/>
          <w:color w:val="000000"/>
          <w:spacing w:val="0"/>
          <w:w w:val="100"/>
          <w:position w:val="0"/>
        </w:rPr>
        <w:t>1</w:t>
      </w:r>
      <w:r>
        <w:rPr>
          <w:color w:val="000000"/>
          <w:spacing w:val="0"/>
          <w:w w:val="100"/>
          <w:position w:val="0"/>
        </w:rPr>
        <w:t>套，</w:t>
      </w:r>
      <w:r>
        <w:rPr>
          <w:rFonts w:ascii="Times New Roman" w:eastAsia="Times New Roman" w:hAnsi="Times New Roman" w:cs="Times New Roman"/>
          <w:color w:val="000000"/>
          <w:spacing w:val="0"/>
          <w:w w:val="100"/>
          <w:position w:val="0"/>
        </w:rPr>
        <w:t>A/O</w:t>
      </w:r>
      <w:r>
        <w:rPr>
          <w:color w:val="000000"/>
          <w:spacing w:val="0"/>
          <w:w w:val="100"/>
          <w:position w:val="0"/>
        </w:rPr>
        <w:t>污水处理设施</w:t>
      </w:r>
      <w:r>
        <w:rPr>
          <w:rFonts w:ascii="Times New Roman" w:eastAsia="Times New Roman" w:hAnsi="Times New Roman" w:cs="Times New Roman"/>
          <w:color w:val="000000"/>
          <w:spacing w:val="0"/>
          <w:w w:val="100"/>
          <w:position w:val="0"/>
        </w:rPr>
        <w:t>1</w:t>
      </w:r>
      <w:r>
        <w:rPr>
          <w:color w:val="000000"/>
          <w:spacing w:val="0"/>
          <w:w w:val="100"/>
          <w:position w:val="0"/>
        </w:rPr>
        <w:t>套，</w:t>
      </w:r>
      <w:r>
        <w:rPr>
          <w:rFonts w:ascii="Times New Roman" w:eastAsia="Times New Roman" w:hAnsi="Times New Roman" w:cs="Times New Roman"/>
          <w:color w:val="000000"/>
          <w:spacing w:val="0"/>
          <w:w w:val="100"/>
          <w:position w:val="0"/>
        </w:rPr>
        <w:t>VOCs</w:t>
      </w:r>
      <w:r>
        <w:rPr>
          <w:color w:val="000000"/>
          <w:spacing w:val="0"/>
          <w:w w:val="100"/>
          <w:position w:val="0"/>
        </w:rPr>
        <w:t>无组织排放治理设 施</w:t>
      </w:r>
      <w:r>
        <w:rPr>
          <w:rFonts w:ascii="Times New Roman" w:eastAsia="Times New Roman" w:hAnsi="Times New Roman" w:cs="Times New Roman"/>
          <w:color w:val="000000"/>
          <w:spacing w:val="0"/>
          <w:w w:val="100"/>
          <w:position w:val="0"/>
        </w:rPr>
        <w:t>1</w:t>
      </w:r>
      <w:r>
        <w:rPr>
          <w:color w:val="000000"/>
          <w:spacing w:val="0"/>
          <w:w w:val="100"/>
          <w:position w:val="0"/>
        </w:rPr>
        <w:t>套，当年均正常在用。</w:t>
      </w:r>
    </w:p>
    <w:p>
      <w:pPr>
        <w:pStyle w:val="Style10"/>
        <w:keepNext w:val="0"/>
        <w:keepLines w:val="0"/>
        <w:widowControl w:val="0"/>
        <w:shd w:val="clear" w:color="auto" w:fill="auto"/>
        <w:bidi w:val="0"/>
        <w:spacing w:before="0" w:after="260" w:line="467" w:lineRule="exact"/>
        <w:ind w:left="0" w:right="0" w:firstLine="440"/>
        <w:jc w:val="left"/>
      </w:pPr>
      <w:r>
        <w:rPr>
          <w:color w:val="000000"/>
          <w:spacing w:val="0"/>
          <w:w w:val="100"/>
          <w:position w:val="0"/>
        </w:rPr>
        <w:t>在用废气处理设备为</w:t>
      </w:r>
      <w:r>
        <w:rPr>
          <w:rFonts w:ascii="Times New Roman" w:eastAsia="Times New Roman" w:hAnsi="Times New Roman" w:cs="Times New Roman"/>
          <w:color w:val="000000"/>
          <w:spacing w:val="0"/>
          <w:w w:val="100"/>
          <w:position w:val="0"/>
        </w:rPr>
        <w:t>1</w:t>
      </w:r>
      <w:r>
        <w:rPr>
          <w:color w:val="000000"/>
          <w:spacing w:val="0"/>
          <w:w w:val="100"/>
          <w:position w:val="0"/>
        </w:rPr>
        <w:t>套活性炭吸附催化燃烧设施</w:t>
      </w:r>
      <w:r>
        <w:rPr>
          <w:color w:val="000000"/>
          <w:spacing w:val="0"/>
          <w:w w:val="100"/>
          <w:position w:val="0"/>
        </w:rPr>
        <w:t>（</w:t>
      </w:r>
      <w:r>
        <w:rPr>
          <w:rFonts w:ascii="Times New Roman" w:eastAsia="Times New Roman" w:hAnsi="Times New Roman" w:cs="Times New Roman"/>
          <w:color w:val="000000"/>
          <w:spacing w:val="0"/>
          <w:w w:val="100"/>
          <w:position w:val="0"/>
        </w:rPr>
        <w:t>HYXF-2800</w:t>
      </w:r>
      <w:r>
        <w:rPr>
          <w:color w:val="000000"/>
          <w:spacing w:val="0"/>
          <w:w w:val="100"/>
          <w:position w:val="0"/>
        </w:rPr>
        <w:t>活性炭吸附</w:t>
      </w:r>
      <w:r>
        <w:rPr>
          <w:rFonts w:ascii="Times New Roman" w:eastAsia="Times New Roman" w:hAnsi="Times New Roman" w:cs="Times New Roman"/>
          <w:color w:val="000000"/>
          <w:spacing w:val="0"/>
          <w:w w:val="100"/>
          <w:position w:val="0"/>
        </w:rPr>
        <w:t>+HC-5-300</w:t>
      </w:r>
      <w:r>
        <w:rPr>
          <w:color w:val="000000"/>
          <w:spacing w:val="0"/>
          <w:w w:val="100"/>
          <w:position w:val="0"/>
        </w:rPr>
        <w:t>催化燃烧）， 印刷线生产废气在设备内经活性炭吸附催化燃烧处理后通过</w:t>
      </w:r>
      <w:r>
        <w:rPr>
          <w:rFonts w:ascii="Times New Roman" w:eastAsia="Times New Roman" w:hAnsi="Times New Roman" w:cs="Times New Roman"/>
          <w:color w:val="000000"/>
          <w:spacing w:val="0"/>
          <w:w w:val="100"/>
          <w:position w:val="0"/>
        </w:rPr>
        <w:t>2</w:t>
      </w:r>
      <w:r>
        <w:rPr>
          <w:color w:val="000000"/>
          <w:spacing w:val="0"/>
          <w:w w:val="100"/>
          <w:position w:val="0"/>
        </w:rPr>
        <w:t>个</w:t>
      </w:r>
      <w:r>
        <w:rPr>
          <w:rFonts w:ascii="Times New Roman" w:eastAsia="Times New Roman" w:hAnsi="Times New Roman" w:cs="Times New Roman"/>
          <w:color w:val="000000"/>
          <w:spacing w:val="0"/>
          <w:w w:val="100"/>
          <w:position w:val="0"/>
        </w:rPr>
        <w:t>15</w:t>
      </w:r>
      <w:r>
        <w:rPr>
          <w:color w:val="000000"/>
          <w:spacing w:val="0"/>
          <w:w w:val="100"/>
          <w:position w:val="0"/>
        </w:rPr>
        <w:t>米高排气筒排放。废气有组织排放 监测点</w:t>
      </w:r>
      <w:r>
        <w:rPr>
          <w:rFonts w:ascii="Times New Roman" w:eastAsia="Times New Roman" w:hAnsi="Times New Roman" w:cs="Times New Roman"/>
          <w:color w:val="000000"/>
          <w:spacing w:val="0"/>
          <w:w w:val="100"/>
          <w:position w:val="0"/>
        </w:rPr>
        <w:t>3</w:t>
      </w:r>
      <w:r>
        <w:rPr>
          <w:color w:val="000000"/>
          <w:spacing w:val="0"/>
          <w:w w:val="100"/>
          <w:position w:val="0"/>
        </w:rPr>
        <w:t>个</w:t>
      </w:r>
      <w:r>
        <w:rPr>
          <w:color w:val="000000"/>
          <w:spacing w:val="0"/>
          <w:w w:val="100"/>
          <w:position w:val="0"/>
        </w:rPr>
        <w:t>（</w:t>
      </w:r>
      <w:r>
        <w:rPr>
          <w:rFonts w:ascii="Times New Roman" w:eastAsia="Times New Roman" w:hAnsi="Times New Roman" w:cs="Times New Roman"/>
          <w:color w:val="000000"/>
          <w:spacing w:val="0"/>
          <w:w w:val="100"/>
          <w:position w:val="0"/>
        </w:rPr>
        <w:t>T1</w:t>
      </w:r>
      <w:r>
        <w:rPr>
          <w:color w:val="000000"/>
          <w:spacing w:val="0"/>
          <w:w w:val="100"/>
          <w:position w:val="0"/>
        </w:rPr>
        <w:t>、</w:t>
      </w:r>
      <w:r>
        <w:rPr>
          <w:rFonts w:ascii="Times New Roman" w:eastAsia="Times New Roman" w:hAnsi="Times New Roman" w:cs="Times New Roman"/>
          <w:color w:val="000000"/>
          <w:spacing w:val="0"/>
          <w:w w:val="100"/>
          <w:position w:val="0"/>
        </w:rPr>
        <w:t>T4</w:t>
      </w:r>
      <w:r>
        <w:rPr>
          <w:color w:val="000000"/>
          <w:spacing w:val="0"/>
          <w:w w:val="100"/>
          <w:position w:val="0"/>
        </w:rPr>
        <w:t>、</w:t>
      </w:r>
      <w:r>
        <w:rPr>
          <w:rFonts w:ascii="Times New Roman" w:eastAsia="Times New Roman" w:hAnsi="Times New Roman" w:cs="Times New Roman"/>
          <w:color w:val="000000"/>
          <w:spacing w:val="0"/>
          <w:w w:val="100"/>
          <w:position w:val="0"/>
        </w:rPr>
        <w:t>T5</w:t>
      </w:r>
      <w:r>
        <w:rPr>
          <w:color w:val="000000"/>
          <w:spacing w:val="0"/>
          <w:w w:val="100"/>
          <w:position w:val="0"/>
        </w:rPr>
        <w:t>）</w:t>
      </w:r>
      <w:r>
        <w:rPr>
          <w:color w:val="000000"/>
          <w:spacing w:val="0"/>
          <w:w w:val="100"/>
          <w:position w:val="0"/>
        </w:rPr>
        <w:t>，印刷生产场所无组织排放监测点</w:t>
      </w:r>
      <w:r>
        <w:rPr>
          <w:rFonts w:ascii="Times New Roman" w:eastAsia="Times New Roman" w:hAnsi="Times New Roman" w:cs="Times New Roman"/>
          <w:color w:val="000000"/>
          <w:spacing w:val="0"/>
          <w:w w:val="100"/>
          <w:position w:val="0"/>
        </w:rPr>
        <w:t>3</w:t>
      </w:r>
      <w:r>
        <w:rPr>
          <w:color w:val="000000"/>
          <w:spacing w:val="0"/>
          <w:w w:val="100"/>
          <w:position w:val="0"/>
        </w:rPr>
        <w:t>个</w:t>
      </w:r>
      <w:r>
        <w:rPr>
          <w:color w:val="000000"/>
          <w:spacing w:val="0"/>
          <w:w w:val="100"/>
          <w:position w:val="0"/>
        </w:rPr>
        <w:t>（</w:t>
      </w:r>
      <w:r>
        <w:rPr>
          <w:rFonts w:ascii="Times New Roman" w:eastAsia="Times New Roman" w:hAnsi="Times New Roman" w:cs="Times New Roman"/>
          <w:color w:val="000000"/>
          <w:spacing w:val="0"/>
          <w:w w:val="100"/>
          <w:position w:val="0"/>
        </w:rPr>
        <w:t>W1</w:t>
      </w:r>
      <w:r>
        <w:rPr>
          <w:color w:val="000000"/>
          <w:spacing w:val="0"/>
          <w:w w:val="100"/>
          <w:position w:val="0"/>
        </w:rPr>
        <w:t>、</w:t>
      </w:r>
      <w:r>
        <w:rPr>
          <w:rFonts w:ascii="Times New Roman" w:eastAsia="Times New Roman" w:hAnsi="Times New Roman" w:cs="Times New Roman"/>
          <w:color w:val="000000"/>
          <w:spacing w:val="0"/>
          <w:w w:val="100"/>
          <w:position w:val="0"/>
        </w:rPr>
        <w:t>W2</w:t>
      </w:r>
      <w:r>
        <w:rPr>
          <w:color w:val="000000"/>
          <w:spacing w:val="0"/>
          <w:w w:val="100"/>
          <w:position w:val="0"/>
        </w:rPr>
        <w:t>、</w:t>
      </w:r>
      <w:r>
        <w:rPr>
          <w:rFonts w:ascii="Times New Roman" w:eastAsia="Times New Roman" w:hAnsi="Times New Roman" w:cs="Times New Roman"/>
          <w:color w:val="000000"/>
          <w:spacing w:val="0"/>
          <w:w w:val="100"/>
          <w:position w:val="0"/>
        </w:rPr>
        <w:t>W3</w:t>
      </w:r>
      <w:r>
        <w:rPr>
          <w:color w:val="000000"/>
          <w:spacing w:val="0"/>
          <w:w w:val="100"/>
          <w:position w:val="0"/>
        </w:rPr>
        <w:t>），</w:t>
      </w:r>
      <w:r>
        <w:rPr>
          <w:color w:val="000000"/>
          <w:spacing w:val="0"/>
          <w:w w:val="100"/>
          <w:position w:val="0"/>
        </w:rPr>
        <w:t>印刷生产场所无 组织排放监测点</w:t>
      </w:r>
      <w:r>
        <w:rPr>
          <w:rFonts w:ascii="Times New Roman" w:eastAsia="Times New Roman" w:hAnsi="Times New Roman" w:cs="Times New Roman"/>
          <w:color w:val="000000"/>
          <w:spacing w:val="0"/>
          <w:w w:val="100"/>
          <w:position w:val="0"/>
        </w:rPr>
        <w:t>4</w:t>
      </w:r>
      <w:r>
        <w:rPr>
          <w:color w:val="000000"/>
          <w:spacing w:val="0"/>
          <w:w w:val="100"/>
          <w:position w:val="0"/>
        </w:rPr>
        <w:t>个</w:t>
      </w:r>
      <w:r>
        <w:rPr>
          <w:color w:val="000000"/>
          <w:spacing w:val="0"/>
          <w:w w:val="100"/>
          <w:position w:val="0"/>
        </w:rPr>
        <w:t>（</w:t>
      </w:r>
      <w:r>
        <w:rPr>
          <w:rFonts w:ascii="Times New Roman" w:eastAsia="Times New Roman" w:hAnsi="Times New Roman" w:cs="Times New Roman"/>
          <w:color w:val="000000"/>
          <w:spacing w:val="0"/>
          <w:w w:val="100"/>
          <w:position w:val="0"/>
        </w:rPr>
        <w:t>W4</w:t>
      </w:r>
      <w:r>
        <w:rPr>
          <w:color w:val="000000"/>
          <w:spacing w:val="0"/>
          <w:w w:val="100"/>
          <w:position w:val="0"/>
        </w:rPr>
        <w:t>、</w:t>
      </w:r>
      <w:r>
        <w:rPr>
          <w:rFonts w:ascii="Times New Roman" w:eastAsia="Times New Roman" w:hAnsi="Times New Roman" w:cs="Times New Roman"/>
          <w:color w:val="000000"/>
          <w:spacing w:val="0"/>
          <w:w w:val="100"/>
          <w:position w:val="0"/>
        </w:rPr>
        <w:t>W5</w:t>
      </w:r>
      <w:r>
        <w:rPr>
          <w:color w:val="000000"/>
          <w:spacing w:val="0"/>
          <w:w w:val="100"/>
          <w:position w:val="0"/>
        </w:rPr>
        <w:t>、</w:t>
      </w:r>
      <w:r>
        <w:rPr>
          <w:rFonts w:ascii="Times New Roman" w:eastAsia="Times New Roman" w:hAnsi="Times New Roman" w:cs="Times New Roman"/>
          <w:color w:val="000000"/>
          <w:spacing w:val="0"/>
          <w:w w:val="100"/>
          <w:position w:val="0"/>
        </w:rPr>
        <w:t>W6</w:t>
      </w:r>
      <w:r>
        <w:rPr>
          <w:color w:val="000000"/>
          <w:spacing w:val="0"/>
          <w:w w:val="100"/>
          <w:position w:val="0"/>
        </w:rPr>
        <w:t>、</w:t>
      </w:r>
      <w:r>
        <w:rPr>
          <w:rFonts w:ascii="Times New Roman" w:eastAsia="Times New Roman" w:hAnsi="Times New Roman" w:cs="Times New Roman"/>
          <w:color w:val="000000"/>
          <w:spacing w:val="0"/>
          <w:w w:val="100"/>
          <w:position w:val="0"/>
        </w:rPr>
        <w:t>W7</w:t>
      </w:r>
      <w:r>
        <w:rPr>
          <w:color w:val="000000"/>
          <w:spacing w:val="0"/>
          <w:w w:val="100"/>
          <w:position w:val="0"/>
        </w:rPr>
        <w:t>）</w:t>
      </w:r>
      <w:r>
        <w:rPr>
          <w:color w:val="000000"/>
          <w:spacing w:val="0"/>
          <w:w w:val="100"/>
          <w:position w:val="0"/>
        </w:rPr>
        <w:t>，废水监测点</w:t>
      </w:r>
      <w:r>
        <w:rPr>
          <w:rFonts w:ascii="Times New Roman" w:eastAsia="Times New Roman" w:hAnsi="Times New Roman" w:cs="Times New Roman"/>
          <w:color w:val="000000"/>
          <w:spacing w:val="0"/>
          <w:w w:val="100"/>
          <w:position w:val="0"/>
        </w:rPr>
        <w:t>1</w:t>
      </w:r>
      <w:r>
        <w:rPr>
          <w:color w:val="000000"/>
          <w:spacing w:val="0"/>
          <w:w w:val="100"/>
          <w:position w:val="0"/>
        </w:rPr>
        <w:t>个</w:t>
      </w:r>
      <w:r>
        <w:rPr>
          <w:color w:val="000000"/>
          <w:spacing w:val="0"/>
          <w:w w:val="100"/>
          <w:position w:val="0"/>
        </w:rPr>
        <w:t>（</w:t>
      </w:r>
      <w:r>
        <w:rPr>
          <w:rFonts w:ascii="Times New Roman" w:eastAsia="Times New Roman" w:hAnsi="Times New Roman" w:cs="Times New Roman"/>
          <w:color w:val="000000"/>
          <w:spacing w:val="0"/>
          <w:w w:val="100"/>
          <w:position w:val="0"/>
        </w:rPr>
        <w:t>S</w:t>
      </w:r>
      <w:r>
        <w:rPr>
          <w:color w:val="000000"/>
          <w:spacing w:val="0"/>
          <w:w w:val="100"/>
          <w:position w:val="0"/>
        </w:rPr>
        <w:t>）</w:t>
      </w:r>
      <w:r>
        <w:rPr>
          <w:color w:val="000000"/>
          <w:spacing w:val="0"/>
          <w:w w:val="100"/>
          <w:position w:val="0"/>
        </w:rPr>
        <w:t>，厂界噪声监测点</w:t>
      </w:r>
      <w:r>
        <w:rPr>
          <w:rFonts w:ascii="Times New Roman" w:eastAsia="Times New Roman" w:hAnsi="Times New Roman" w:cs="Times New Roman"/>
          <w:color w:val="000000"/>
          <w:spacing w:val="0"/>
          <w:w w:val="100"/>
          <w:position w:val="0"/>
        </w:rPr>
        <w:t>4</w:t>
      </w:r>
      <w:r>
        <w:rPr>
          <w:color w:val="000000"/>
          <w:spacing w:val="0"/>
          <w:w w:val="100"/>
          <w:position w:val="0"/>
        </w:rPr>
        <w:t>个</w:t>
      </w:r>
      <w:r>
        <w:rPr>
          <w:color w:val="000000"/>
          <w:spacing w:val="0"/>
          <w:w w:val="100"/>
          <w:position w:val="0"/>
        </w:rPr>
        <w:t>（</w:t>
      </w:r>
      <w:r>
        <w:rPr>
          <w:rFonts w:ascii="Times New Roman" w:eastAsia="Times New Roman" w:hAnsi="Times New Roman" w:cs="Times New Roman"/>
          <w:color w:val="000000"/>
          <w:spacing w:val="0"/>
          <w:w w:val="100"/>
          <w:position w:val="0"/>
        </w:rPr>
        <w:t>J1</w:t>
      </w:r>
      <w:r>
        <w:rPr>
          <w:color w:val="000000"/>
          <w:spacing w:val="0"/>
          <w:w w:val="100"/>
          <w:position w:val="0"/>
        </w:rPr>
        <w:t>、</w:t>
      </w:r>
      <w:r>
        <w:rPr>
          <w:rFonts w:ascii="Times New Roman" w:eastAsia="Times New Roman" w:hAnsi="Times New Roman" w:cs="Times New Roman"/>
          <w:color w:val="000000"/>
          <w:spacing w:val="0"/>
          <w:w w:val="100"/>
          <w:position w:val="0"/>
        </w:rPr>
        <w:t>J2</w:t>
      </w:r>
      <w:r>
        <w:rPr>
          <w:color w:val="000000"/>
          <w:spacing w:val="0"/>
          <w:w w:val="100"/>
          <w:position w:val="0"/>
        </w:rPr>
        <w:t>、</w:t>
      </w:r>
      <w:r>
        <w:rPr>
          <w:rFonts w:ascii="Times New Roman" w:eastAsia="Times New Roman" w:hAnsi="Times New Roman" w:cs="Times New Roman"/>
          <w:color w:val="000000"/>
          <w:spacing w:val="0"/>
          <w:w w:val="100"/>
          <w:position w:val="0"/>
        </w:rPr>
        <w:t>J3</w:t>
      </w:r>
      <w:r>
        <w:rPr>
          <w:color w:val="000000"/>
          <w:spacing w:val="0"/>
          <w:w w:val="100"/>
          <w:position w:val="0"/>
        </w:rPr>
        <w:t xml:space="preserve">、 </w:t>
      </w:r>
      <w:r>
        <w:rPr>
          <w:rFonts w:ascii="Times New Roman" w:eastAsia="Times New Roman" w:hAnsi="Times New Roman" w:cs="Times New Roman"/>
          <w:color w:val="000000"/>
          <w:spacing w:val="0"/>
          <w:w w:val="100"/>
          <w:position w:val="0"/>
        </w:rPr>
        <w:t>J4</w:t>
      </w:r>
      <w:r>
        <w:rPr>
          <w:color w:val="000000"/>
          <w:spacing w:val="0"/>
          <w:w w:val="100"/>
          <w:position w:val="0"/>
        </w:rPr>
        <w:t>）。</w:t>
      </w:r>
      <w:r>
        <w:rPr>
          <w:color w:val="000000"/>
          <w:spacing w:val="0"/>
          <w:w w:val="100"/>
          <w:position w:val="0"/>
        </w:rPr>
        <w:t>监测点位详见下表</w:t>
      </w:r>
      <w:r>
        <w:rPr>
          <w:rFonts w:ascii="Times New Roman" w:eastAsia="Times New Roman" w:hAnsi="Times New Roman" w:cs="Times New Roman"/>
          <w:color w:val="000000"/>
          <w:spacing w:val="0"/>
          <w:w w:val="100"/>
          <w:position w:val="0"/>
        </w:rPr>
        <w:t>.</w:t>
      </w:r>
      <w:r>
        <w:rPr>
          <w:color w:val="000000"/>
          <w:spacing w:val="0"/>
          <w:w w:val="100"/>
          <w:position w:val="0"/>
        </w:rPr>
        <w:t>点位示意图见下表。</w:t>
      </w:r>
      <w:r>
        <w:br w:type="page"/>
      </w:r>
    </w:p>
    <w:tbl>
      <w:tblPr>
        <w:tblOverlap w:val="never"/>
        <w:jc w:val="center"/>
        <w:tblLayout w:type="fixed"/>
      </w:tblPr>
      <w:tblGrid>
        <w:gridCol w:w="912"/>
        <w:gridCol w:w="499"/>
        <w:gridCol w:w="2179"/>
        <w:gridCol w:w="1637"/>
        <w:gridCol w:w="1253"/>
        <w:gridCol w:w="1603"/>
        <w:gridCol w:w="1594"/>
      </w:tblGrid>
      <w:tr>
        <w:trPr>
          <w:trHeight w:val="74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监测点位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编码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经纬度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污染源</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污染物排放去向</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处理工艺/设施</w:t>
            </w:r>
          </w:p>
        </w:tc>
      </w:tr>
      <w:tr>
        <w:trPr>
          <w:trHeight w:val="7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市政污水 总排口</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S</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11011966460042-0WS-0001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E116° 29'47.56"</w:t>
            </w:r>
          </w:p>
          <w:p>
            <w:pPr>
              <w:pStyle w:val="Style18"/>
              <w:keepNext w:val="0"/>
              <w:keepLines w:val="0"/>
              <w:widowControl w:val="0"/>
              <w:shd w:val="clear" w:color="auto" w:fill="auto"/>
              <w:tabs>
                <w:tab w:pos="80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N39° 43'</w:t>
              <w:tab/>
              <w:t>37.18"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办公生活</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市政污水管网</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A/O</w:t>
            </w:r>
            <w:r>
              <w:rPr>
                <w:color w:val="000000"/>
                <w:spacing w:val="0"/>
                <w:w w:val="100"/>
                <w:position w:val="0"/>
              </w:rPr>
              <w:t>延时曝气</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排气筒</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T1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11011966460042-0FQ-0002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E116° 29'48.28"</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N39° 43' 41.09"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印刷工艺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环境大气</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HYXF-2800</w:t>
            </w:r>
            <w:r>
              <w:rPr>
                <w:color w:val="000000"/>
                <w:spacing w:val="0"/>
                <w:w w:val="100"/>
                <w:position w:val="0"/>
              </w:rPr>
              <w:t xml:space="preserve">活性炭吸 附 </w:t>
            </w:r>
            <w:r>
              <w:rPr>
                <w:rFonts w:ascii="Times New Roman" w:eastAsia="Times New Roman" w:hAnsi="Times New Roman" w:cs="Times New Roman"/>
                <w:color w:val="000000"/>
                <w:spacing w:val="0"/>
                <w:w w:val="100"/>
                <w:position w:val="0"/>
              </w:rPr>
              <w:t>HC-5-300</w:t>
            </w:r>
          </w:p>
        </w:tc>
      </w:tr>
      <w:tr>
        <w:trPr>
          <w:trHeight w:val="7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排气筒</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T4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11011966460042-0FQ-0005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E116° 29'48.64"</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N39° 43' 40.71"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印刷工艺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环境大气</w:t>
            </w:r>
          </w:p>
        </w:tc>
        <w:tc>
          <w:tcPr>
            <w:vMerge/>
            <w:tcBorders>
              <w:left w:val="single" w:sz="4"/>
              <w:right w:val="single" w:sz="4"/>
            </w:tcBorders>
            <w:shd w:val="clear" w:color="auto" w:fill="FFFFFF"/>
            <w:vAlign w:val="top"/>
          </w:tcPr>
          <w:p>
            <w:pP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排气筒</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T5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11011966460042-0FQ-0017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E116° 29'23.64"</w:t>
            </w:r>
          </w:p>
          <w:p>
            <w:pPr>
              <w:pStyle w:val="Style18"/>
              <w:keepNext w:val="0"/>
              <w:keepLines w:val="0"/>
              <w:widowControl w:val="0"/>
              <w:shd w:val="clear" w:color="auto" w:fill="auto"/>
              <w:tabs>
                <w:tab w:pos="80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N39° 43'</w:t>
              <w:tab/>
              <w:t>35. 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印刷工艺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环境大气</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MTLXC-300</w:t>
            </w:r>
            <w:r>
              <w:rPr>
                <w:color w:val="000000"/>
                <w:spacing w:val="0"/>
                <w:w w:val="100"/>
                <w:position w:val="0"/>
              </w:rPr>
              <w:t>活性炭吸 附催化再生</w:t>
            </w:r>
          </w:p>
        </w:tc>
      </w:tr>
      <w:tr>
        <w:trPr>
          <w:trHeight w:val="7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生产场所 西门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rPr>
              <w:t>W1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11011966460042-0WZZ-0006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E116° 29'46.06"</w:t>
            </w:r>
          </w:p>
          <w:p>
            <w:pPr>
              <w:pStyle w:val="Style18"/>
              <w:keepNext w:val="0"/>
              <w:keepLines w:val="0"/>
              <w:widowControl w:val="0"/>
              <w:shd w:val="clear" w:color="auto" w:fill="auto"/>
              <w:tabs>
                <w:tab w:pos="80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N39° 43'</w:t>
              <w:tab/>
              <w:t>38. 59"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印刷工艺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环境大气</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无</w:t>
            </w:r>
          </w:p>
        </w:tc>
      </w:tr>
      <w:tr>
        <w:trPr>
          <w:trHeight w:val="7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生产场所 北窗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11011966460042-0WZZ-0007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E116° 29'45.24"</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N39° 43' 40. 22"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印刷工艺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环境大气</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无</w:t>
            </w:r>
          </w:p>
        </w:tc>
      </w:tr>
      <w:tr>
        <w:trPr>
          <w:trHeight w:val="78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生产场所 东门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11011966460042-0WZZ-0008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E116° 29'48.55"</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N39° 43' 40. 89"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印刷工艺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环境大气</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无</w:t>
            </w:r>
          </w:p>
        </w:tc>
      </w:tr>
      <w:tr>
        <w:trPr>
          <w:trHeight w:val="7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厂界无组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11011966460042-0WZZ-0009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印刷工艺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环境大气</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无</w:t>
            </w:r>
          </w:p>
        </w:tc>
      </w:tr>
      <w:tr>
        <w:trPr>
          <w:trHeight w:val="7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厂界无组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11011966460042-0WZZ-0010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印刷工艺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环境大气</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无</w:t>
            </w:r>
          </w:p>
        </w:tc>
      </w:tr>
      <w:tr>
        <w:trPr>
          <w:trHeight w:val="7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厂界无组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11011966460042-0WZZ-0011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印刷工艺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环境大气</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无</w:t>
            </w:r>
          </w:p>
        </w:tc>
      </w:tr>
      <w:tr>
        <w:trPr>
          <w:trHeight w:val="7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厂界无组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11011966460042-0WZZ-0012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印刷工艺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环境大气</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无</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西厂界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rPr>
              <w:t>J1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11011966460042-0ZS-0013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E116° 29'45.32"</w:t>
            </w:r>
          </w:p>
          <w:p>
            <w:pPr>
              <w:pStyle w:val="Style18"/>
              <w:keepNext w:val="0"/>
              <w:keepLines w:val="0"/>
              <w:widowControl w:val="0"/>
              <w:shd w:val="clear" w:color="auto" w:fill="auto"/>
              <w:tabs>
                <w:tab w:pos="80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N39° 43'</w:t>
              <w:tab/>
              <w:t>38. 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生产及辅助设 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南厂界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rPr>
              <w:t>J2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11011966460042-0ZS-0014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E116° 29'50.42"</w:t>
            </w:r>
          </w:p>
          <w:p>
            <w:pPr>
              <w:pStyle w:val="Style18"/>
              <w:keepNext w:val="0"/>
              <w:keepLines w:val="0"/>
              <w:widowControl w:val="0"/>
              <w:shd w:val="clear" w:color="auto" w:fill="auto"/>
              <w:tabs>
                <w:tab w:pos="80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N39° 43'</w:t>
              <w:tab/>
              <w:t>38.41"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生产及辅助设 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东厂界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rPr>
              <w:t>J3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11011966460042-0ZS-0015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E116° 29'53.63"</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N39° 43' 41. 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生产及辅助设 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w:t>
            </w:r>
          </w:p>
        </w:tc>
      </w:tr>
      <w:tr>
        <w:trPr>
          <w:trHeight w:val="79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北厂界</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rPr>
              <w:t>J4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11011966460042-0ZS-0016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E116°29'48.21</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"N39° 43' 41. 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生产及辅助设 施</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废气厂界无组织排放监测点位置</w:t>
      </w:r>
      <w:r>
        <w:rPr>
          <w:rFonts w:ascii="Times New Roman" w:eastAsia="Times New Roman" w:hAnsi="Times New Roman" w:cs="Times New Roman"/>
          <w:color w:val="000000"/>
          <w:spacing w:val="0"/>
          <w:w w:val="100"/>
          <w:position w:val="0"/>
        </w:rPr>
        <w:t>W4-W7</w:t>
      </w:r>
      <w:r>
        <w:rPr>
          <w:color w:val="000000"/>
          <w:spacing w:val="0"/>
          <w:w w:val="100"/>
          <w:position w:val="0"/>
        </w:rPr>
        <w:t>根据监测时现场风向确定。</w:t>
      </w:r>
    </w:p>
    <w:p>
      <w:pPr>
        <w:pStyle w:val="Style10"/>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各设备在验收后按照设计使用规范稳定运行至今。经周期性检测，处理后排放的废气符合北京市《大 气污染物综合排放标准》</w:t>
      </w:r>
      <w:r>
        <w:rPr>
          <w:color w:val="000000"/>
          <w:spacing w:val="0"/>
          <w:w w:val="100"/>
          <w:position w:val="0"/>
        </w:rPr>
        <w:t>(</w:t>
      </w:r>
      <w:r>
        <w:rPr>
          <w:rFonts w:ascii="Times New Roman" w:eastAsia="Times New Roman" w:hAnsi="Times New Roman" w:cs="Times New Roman"/>
          <w:color w:val="000000"/>
          <w:spacing w:val="0"/>
          <w:w w:val="100"/>
          <w:position w:val="0"/>
        </w:rPr>
        <w:t>DB11/501-2013</w:t>
      </w:r>
      <w:r>
        <w:rPr>
          <w:color w:val="000000"/>
          <w:spacing w:val="0"/>
          <w:w w:val="100"/>
          <w:position w:val="0"/>
        </w:rPr>
        <w:t>)</w:t>
      </w:r>
      <w:r>
        <w:rPr>
          <w:color w:val="000000"/>
          <w:spacing w:val="0"/>
          <w:w w:val="100"/>
          <w:position w:val="0"/>
        </w:rPr>
        <w:t>及《印刷业挥发性有机物排放标准》</w:t>
      </w:r>
      <w:r>
        <w:rPr>
          <w:color w:val="000000"/>
          <w:spacing w:val="0"/>
          <w:w w:val="100"/>
          <w:position w:val="0"/>
        </w:rPr>
        <w:t>(</w:t>
      </w:r>
      <w:r>
        <w:rPr>
          <w:rFonts w:ascii="Times New Roman" w:eastAsia="Times New Roman" w:hAnsi="Times New Roman" w:cs="Times New Roman"/>
          <w:color w:val="000000"/>
          <w:spacing w:val="0"/>
          <w:w w:val="100"/>
          <w:position w:val="0"/>
        </w:rPr>
        <w:t>DB11/ 1201-2015</w:t>
      </w:r>
      <w:r>
        <w:rPr>
          <w:color w:val="000000"/>
          <w:spacing w:val="0"/>
          <w:w w:val="100"/>
          <w:position w:val="0"/>
        </w:rPr>
        <w:t xml:space="preserve">)中 </w:t>
      </w:r>
      <w:r>
        <w:rPr>
          <w:rFonts w:ascii="Times New Roman" w:eastAsia="Times New Roman" w:hAnsi="Times New Roman" w:cs="Times New Roman"/>
          <w:color w:val="000000"/>
          <w:spacing w:val="0"/>
          <w:w w:val="100"/>
          <w:position w:val="0"/>
        </w:rPr>
        <w:t>II</w:t>
      </w:r>
      <w:r>
        <w:rPr>
          <w:color w:val="000000"/>
          <w:spacing w:val="0"/>
          <w:w w:val="100"/>
          <w:position w:val="0"/>
        </w:rPr>
        <w:t>时段标准有关污染物的排放浓度要求。</w:t>
      </w:r>
    </w:p>
    <w:p>
      <w:pPr>
        <w:pStyle w:val="Style1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建设项目环境影响评价及其他环境保护行政许可情况</w:t>
      </w:r>
    </w:p>
    <w:p>
      <w:pPr>
        <w:pStyle w:val="Style1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根据北京经济技术开发区环境保护局《关于北京中科彩技术有限公司联机自动化柔性版印刷线高档防 伪印刷品生产基地项目（一期）竣工环境保护验收申请的批复》，本公司执行标准如下：</w:t>
      </w:r>
    </w:p>
    <w:p>
      <w:pPr>
        <w:pStyle w:val="Style1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 xml:space="preserve">排口 </w:t>
      </w:r>
      <w:r>
        <w:rPr>
          <w:rFonts w:ascii="Times New Roman" w:eastAsia="Times New Roman" w:hAnsi="Times New Roman" w:cs="Times New Roman"/>
          <w:color w:val="000000"/>
          <w:spacing w:val="0"/>
          <w:w w:val="100"/>
          <w:position w:val="0"/>
        </w:rPr>
        <w:t>T1</w:t>
      </w:r>
      <w:r>
        <w:rPr>
          <w:color w:val="000000"/>
          <w:spacing w:val="0"/>
          <w:w w:val="100"/>
          <w:position w:val="0"/>
        </w:rPr>
        <w:t>、</w:t>
      </w:r>
      <w:r>
        <w:rPr>
          <w:rFonts w:ascii="Times New Roman" w:eastAsia="Times New Roman" w:hAnsi="Times New Roman" w:cs="Times New Roman"/>
          <w:color w:val="000000"/>
          <w:spacing w:val="0"/>
          <w:w w:val="100"/>
          <w:position w:val="0"/>
        </w:rPr>
        <w:t>T4</w:t>
      </w:r>
      <w:r>
        <w:rPr>
          <w:color w:val="000000"/>
          <w:spacing w:val="0"/>
          <w:w w:val="100"/>
          <w:position w:val="0"/>
        </w:rPr>
        <w:t>、</w:t>
      </w:r>
      <w:r>
        <w:rPr>
          <w:rFonts w:ascii="Times New Roman" w:eastAsia="Times New Roman" w:hAnsi="Times New Roman" w:cs="Times New Roman"/>
          <w:color w:val="000000"/>
          <w:spacing w:val="0"/>
          <w:w w:val="100"/>
          <w:position w:val="0"/>
        </w:rPr>
        <w:t>T5</w:t>
      </w:r>
      <w:r>
        <w:rPr>
          <w:color w:val="000000"/>
          <w:spacing w:val="0"/>
          <w:w w:val="100"/>
          <w:position w:val="0"/>
        </w:rPr>
        <w:t>废气，废气无组织排放</w:t>
      </w:r>
      <w:r>
        <w:rPr>
          <w:rFonts w:ascii="Times New Roman" w:eastAsia="Times New Roman" w:hAnsi="Times New Roman" w:cs="Times New Roman"/>
          <w:color w:val="000000"/>
          <w:spacing w:val="0"/>
          <w:w w:val="100"/>
          <w:position w:val="0"/>
        </w:rPr>
        <w:t>W1-W7</w:t>
      </w:r>
      <w:r>
        <w:rPr>
          <w:color w:val="000000"/>
          <w:spacing w:val="0"/>
          <w:w w:val="100"/>
          <w:position w:val="0"/>
        </w:rPr>
        <w:t>执行</w:t>
      </w:r>
      <w:r>
        <w:rPr>
          <w:rFonts w:ascii="Times New Roman" w:eastAsia="Times New Roman" w:hAnsi="Times New Roman" w:cs="Times New Roman"/>
          <w:color w:val="000000"/>
          <w:spacing w:val="0"/>
          <w:w w:val="100"/>
          <w:position w:val="0"/>
        </w:rPr>
        <w:t>DB11/ 501-2017</w:t>
      </w:r>
      <w:r>
        <w:rPr>
          <w:color w:val="000000"/>
          <w:spacing w:val="0"/>
          <w:w w:val="100"/>
          <w:position w:val="0"/>
        </w:rPr>
        <w:t>《大气污染物综合排放标准》 以及</w:t>
      </w:r>
      <w:r>
        <w:rPr>
          <w:rFonts w:ascii="Times New Roman" w:eastAsia="Times New Roman" w:hAnsi="Times New Roman" w:cs="Times New Roman"/>
          <w:color w:val="000000"/>
          <w:spacing w:val="0"/>
          <w:w w:val="100"/>
          <w:position w:val="0"/>
        </w:rPr>
        <w:t>DB11/ 1201-2015</w:t>
      </w:r>
      <w:r>
        <w:rPr>
          <w:color w:val="000000"/>
          <w:spacing w:val="0"/>
          <w:w w:val="100"/>
          <w:position w:val="0"/>
        </w:rPr>
        <w:t>《印刷业挥发性有机物排放标准》中</w:t>
      </w:r>
      <w:r>
        <w:rPr>
          <w:rFonts w:ascii="Times New Roman" w:eastAsia="Times New Roman" w:hAnsi="Times New Roman" w:cs="Times New Roman"/>
          <w:color w:val="000000"/>
          <w:spacing w:val="0"/>
          <w:w w:val="100"/>
          <w:position w:val="0"/>
        </w:rPr>
        <w:t>II</w:t>
      </w:r>
      <w:r>
        <w:rPr>
          <w:color w:val="000000"/>
          <w:spacing w:val="0"/>
          <w:w w:val="100"/>
          <w:position w:val="0"/>
        </w:rPr>
        <w:t>时段标准。</w:t>
      </w:r>
    </w:p>
    <w:p>
      <w:pPr>
        <w:pStyle w:val="Style10"/>
        <w:keepNext w:val="0"/>
        <w:keepLines w:val="0"/>
        <w:widowControl w:val="0"/>
        <w:shd w:val="clear" w:color="auto" w:fill="auto"/>
        <w:bidi w:val="0"/>
        <w:spacing w:before="0" w:after="0" w:line="480" w:lineRule="exact"/>
        <w:ind w:left="0" w:right="0" w:firstLine="440"/>
        <w:jc w:val="left"/>
      </w:pPr>
      <w:r>
        <w:rPr>
          <w:color w:val="000000"/>
          <w:spacing w:val="0"/>
          <w:w w:val="100"/>
          <w:position w:val="0"/>
        </w:rPr>
        <w:t xml:space="preserve">排口 </w:t>
      </w:r>
      <w:r>
        <w:rPr>
          <w:rFonts w:ascii="Times New Roman" w:eastAsia="Times New Roman" w:hAnsi="Times New Roman" w:cs="Times New Roman"/>
          <w:color w:val="000000"/>
          <w:spacing w:val="0"/>
          <w:w w:val="100"/>
          <w:position w:val="0"/>
        </w:rPr>
        <w:t>S</w:t>
      </w:r>
      <w:r>
        <w:rPr>
          <w:color w:val="000000"/>
          <w:spacing w:val="0"/>
          <w:w w:val="100"/>
          <w:position w:val="0"/>
        </w:rPr>
        <w:t>废水执行</w:t>
      </w:r>
      <w:r>
        <w:rPr>
          <w:rFonts w:ascii="Times New Roman" w:eastAsia="Times New Roman" w:hAnsi="Times New Roman" w:cs="Times New Roman"/>
          <w:color w:val="000000"/>
          <w:spacing w:val="0"/>
          <w:w w:val="100"/>
          <w:position w:val="0"/>
        </w:rPr>
        <w:t>DB11/ 307-2013</w:t>
      </w:r>
      <w:r>
        <w:rPr>
          <w:color w:val="000000"/>
          <w:spacing w:val="0"/>
          <w:w w:val="100"/>
          <w:position w:val="0"/>
        </w:rPr>
        <w:t>《水污染物综合排放标准》中排入公共污水处理系统的水污染物排 放限值标准。</w:t>
      </w:r>
    </w:p>
    <w:p>
      <w:pPr>
        <w:pStyle w:val="Style10"/>
        <w:keepNext w:val="0"/>
        <w:keepLines w:val="0"/>
        <w:widowControl w:val="0"/>
        <w:shd w:val="clear" w:color="auto" w:fill="auto"/>
        <w:bidi w:val="0"/>
        <w:spacing w:before="0" w:after="160" w:line="466" w:lineRule="exact"/>
        <w:ind w:left="0" w:right="0" w:firstLine="440"/>
        <w:jc w:val="left"/>
      </w:pPr>
      <w:r>
        <w:rPr>
          <w:color w:val="000000"/>
          <w:spacing w:val="0"/>
          <w:w w:val="100"/>
          <w:position w:val="0"/>
        </w:rPr>
        <w:t>厂界噪声执行</w:t>
      </w:r>
      <w:r>
        <w:rPr>
          <w:rFonts w:ascii="Times New Roman" w:eastAsia="Times New Roman" w:hAnsi="Times New Roman" w:cs="Times New Roman"/>
          <w:color w:val="000000"/>
          <w:spacing w:val="0"/>
          <w:w w:val="100"/>
          <w:position w:val="0"/>
        </w:rPr>
        <w:t>GB 12348-2008</w:t>
      </w:r>
      <w:r>
        <w:rPr>
          <w:color w:val="000000"/>
          <w:spacing w:val="0"/>
          <w:w w:val="100"/>
          <w:position w:val="0"/>
        </w:rPr>
        <w:t>《工业企业厂界环境噪声排放标准》中</w:t>
      </w:r>
      <w:r>
        <w:rPr>
          <w:rFonts w:ascii="Times New Roman" w:eastAsia="Times New Roman" w:hAnsi="Times New Roman" w:cs="Times New Roman"/>
          <w:color w:val="000000"/>
          <w:spacing w:val="0"/>
          <w:w w:val="100"/>
          <w:position w:val="0"/>
        </w:rPr>
        <w:t>3</w:t>
      </w:r>
      <w:r>
        <w:rPr>
          <w:color w:val="000000"/>
          <w:spacing w:val="0"/>
          <w:w w:val="100"/>
          <w:position w:val="0"/>
        </w:rPr>
        <w:t>类标准。</w:t>
      </w:r>
    </w:p>
    <w:tbl>
      <w:tblPr>
        <w:tblOverlap w:val="never"/>
        <w:jc w:val="center"/>
        <w:tblLayout w:type="fixed"/>
      </w:tblPr>
      <w:tblGrid>
        <w:gridCol w:w="730"/>
        <w:gridCol w:w="1954"/>
        <w:gridCol w:w="2856"/>
        <w:gridCol w:w="902"/>
        <w:gridCol w:w="902"/>
        <w:gridCol w:w="2333"/>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监测点位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监测项目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排放标准限值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评价标准</w:t>
            </w:r>
          </w:p>
        </w:tc>
      </w:tr>
      <w:tr>
        <w:trPr>
          <w:trHeight w:val="427"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废气</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T4</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（排气筒）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二氧化硫（</w:t>
            </w:r>
            <w:r>
              <w:rPr>
                <w:rFonts w:ascii="Times New Roman" w:eastAsia="Times New Roman" w:hAnsi="Times New Roman" w:cs="Times New Roman"/>
                <w:color w:val="000000"/>
                <w:spacing w:val="0"/>
                <w:w w:val="100"/>
                <w:position w:val="0"/>
                <w:sz w:val="18"/>
                <w:szCs w:val="18"/>
              </w:rPr>
              <w:t>mg/m3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《大气污染物综合排放标准》</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DB11/ 501-2017</w:t>
            </w:r>
            <w:r>
              <w:rPr>
                <w:color w:val="000000"/>
                <w:spacing w:val="0"/>
                <w:w w:val="100"/>
                <w:position w:val="0"/>
              </w:rPr>
              <w:t>）</w:t>
            </w:r>
            <w:r>
              <w:rPr>
                <w:color w:val="000000"/>
                <w:spacing w:val="0"/>
                <w:w w:val="100"/>
                <w:position w:val="0"/>
              </w:rPr>
              <w:t>及《印刷 业挥发性有机物排放标准》</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DB11/ 1201-2015</w:t>
            </w:r>
            <w:r>
              <w:rPr>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I</w:t>
            </w:r>
            <w:r>
              <w:rPr>
                <w:color w:val="000000"/>
                <w:spacing w:val="0"/>
                <w:w w:val="100"/>
                <w:position w:val="0"/>
              </w:rPr>
              <w:t>时段 标准</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氮氧化物（</w:t>
            </w:r>
            <w:r>
              <w:rPr>
                <w:rFonts w:ascii="Times New Roman" w:eastAsia="Times New Roman" w:hAnsi="Times New Roman" w:cs="Times New Roman"/>
                <w:color w:val="000000"/>
                <w:spacing w:val="0"/>
                <w:w w:val="100"/>
                <w:position w:val="0"/>
                <w:sz w:val="18"/>
                <w:szCs w:val="18"/>
              </w:rPr>
              <w:t>mg/m3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vMerge/>
            <w:tcBorders>
              <w:left w:val="single" w:sz="4"/>
              <w:right w:val="single" w:sz="4"/>
            </w:tcBorders>
            <w:shd w:val="clear" w:color="auto" w:fill="FFFFFF"/>
            <w:vAlign w:val="center"/>
          </w:tcPr>
          <w:p>
            <w:pPr/>
          </w:p>
        </w:tc>
      </w:tr>
      <w:tr>
        <w:trPr>
          <w:trHeight w:val="427"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T5</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（排气筒）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mg/m3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vMerge/>
            <w:tcBorders>
              <w:left w:val="single" w:sz="4"/>
              <w:right w:val="single" w:sz="4"/>
            </w:tcBorders>
            <w:shd w:val="clear" w:color="auto" w:fill="FFFFFF"/>
            <w:vAlign w:val="center"/>
          </w:tcPr>
          <w:p>
            <w:pP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甲苯二甲苯合计（</w:t>
            </w:r>
            <w:r>
              <w:rPr>
                <w:rFonts w:ascii="Times New Roman" w:eastAsia="Times New Roman" w:hAnsi="Times New Roman" w:cs="Times New Roman"/>
                <w:color w:val="000000"/>
                <w:spacing w:val="0"/>
                <w:w w:val="100"/>
                <w:position w:val="0"/>
                <w:sz w:val="18"/>
                <w:szCs w:val="18"/>
              </w:rPr>
              <w:t>mg/m3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vMerge/>
            <w:tcBorders>
              <w:left w:val="single" w:sz="4"/>
              <w:right w:val="single" w:sz="4"/>
            </w:tcBorders>
            <w:shd w:val="clear" w:color="auto" w:fill="FFFFFF"/>
            <w:vAlign w:val="center"/>
          </w:tcPr>
          <w:p>
            <w:pP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非甲烷总烃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mg/m3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vMerge/>
            <w:tcBorders>
              <w:left w:val="single" w:sz="4"/>
              <w:right w:val="single" w:sz="4"/>
            </w:tcBorders>
            <w:shd w:val="clear" w:color="auto" w:fill="FFFFFF"/>
            <w:vAlign w:val="center"/>
          </w:tcPr>
          <w:p>
            <w:pPr/>
          </w:p>
        </w:tc>
      </w:tr>
      <w:tr>
        <w:trPr>
          <w:trHeight w:val="427"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W3</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（生产场所无组织）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mg/m3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vMerge/>
            <w:tcBorders>
              <w:left w:val="single" w:sz="4"/>
              <w:right w:val="single" w:sz="4"/>
            </w:tcBorders>
            <w:shd w:val="clear" w:color="auto" w:fill="FFFFFF"/>
            <w:vAlign w:val="center"/>
          </w:tcPr>
          <w:p>
            <w:pP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甲苯二甲苯合计（</w:t>
            </w:r>
            <w:r>
              <w:rPr>
                <w:rFonts w:ascii="Times New Roman" w:eastAsia="Times New Roman" w:hAnsi="Times New Roman" w:cs="Times New Roman"/>
                <w:color w:val="000000"/>
                <w:spacing w:val="0"/>
                <w:w w:val="100"/>
                <w:position w:val="0"/>
                <w:sz w:val="18"/>
                <w:szCs w:val="18"/>
              </w:rPr>
              <w:t>mg/m3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vMerge/>
            <w:tcBorders>
              <w:left w:val="single" w:sz="4"/>
              <w:right w:val="single" w:sz="4"/>
            </w:tcBorders>
            <w:shd w:val="clear" w:color="auto" w:fill="FFFFFF"/>
            <w:vAlign w:val="center"/>
          </w:tcPr>
          <w:p>
            <w:pP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非甲烷总烃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mg/m3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vMerge/>
            <w:tcBorders>
              <w:left w:val="single" w:sz="4"/>
              <w:right w:val="single" w:sz="4"/>
            </w:tcBorders>
            <w:shd w:val="clear" w:color="auto" w:fill="FFFFFF"/>
            <w:vAlign w:val="center"/>
          </w:tcPr>
          <w:p>
            <w:pPr/>
          </w:p>
        </w:tc>
      </w:tr>
      <w:tr>
        <w:trPr>
          <w:trHeight w:val="427"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W7</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（厂界无组织）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mg/m3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vMerge/>
            <w:tcBorders>
              <w:left w:val="single" w:sz="4"/>
              <w:right w:val="single" w:sz="4"/>
            </w:tcBorders>
            <w:shd w:val="clear" w:color="auto" w:fill="FFFFFF"/>
            <w:vAlign w:val="center"/>
          </w:tcPr>
          <w:p>
            <w:pP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甲苯二甲苯合计（</w:t>
            </w:r>
            <w:r>
              <w:rPr>
                <w:rFonts w:ascii="Times New Roman" w:eastAsia="Times New Roman" w:hAnsi="Times New Roman" w:cs="Times New Roman"/>
                <w:color w:val="000000"/>
                <w:spacing w:val="0"/>
                <w:w w:val="100"/>
                <w:position w:val="0"/>
                <w:sz w:val="18"/>
                <w:szCs w:val="18"/>
              </w:rPr>
              <w:t>mg/m3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tc>
        <w:tc>
          <w:tcPr>
            <w:vMerge/>
            <w:tcBorders>
              <w:left w:val="single" w:sz="4"/>
              <w:right w:val="single" w:sz="4"/>
            </w:tcBorders>
            <w:shd w:val="clear" w:color="auto" w:fill="FFFFFF"/>
            <w:vAlign w:val="center"/>
          </w:tcPr>
          <w:p>
            <w:pP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非甲烷总烃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mg/m3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vMerge/>
            <w:tcBorders>
              <w:left w:val="single" w:sz="4"/>
              <w:right w:val="single" w:sz="4"/>
            </w:tcBorders>
            <w:shd w:val="clear" w:color="auto" w:fill="FFFFFF"/>
            <w:vAlign w:val="center"/>
          </w:tcPr>
          <w:p>
            <w:pPr/>
          </w:p>
        </w:tc>
      </w:tr>
      <w:tr>
        <w:trPr>
          <w:trHeight w:val="427"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废水</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（污水总排口）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化学需氧量（</w:t>
            </w:r>
            <w:r>
              <w:rPr>
                <w:rFonts w:ascii="Times New Roman" w:eastAsia="Times New Roman" w:hAnsi="Times New Roman" w:cs="Times New Roman"/>
                <w:color w:val="000000"/>
                <w:spacing w:val="0"/>
                <w:w w:val="100"/>
                <w:position w:val="0"/>
                <w:sz w:val="18"/>
                <w:szCs w:val="18"/>
              </w:rPr>
              <w:t>mg/L</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《水污染物综合排放标准》</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DB11/ 307-2013</w:t>
            </w:r>
            <w:r>
              <w:rPr>
                <w:color w:val="000000"/>
                <w:spacing w:val="0"/>
                <w:w w:val="100"/>
                <w:position w:val="0"/>
              </w:rPr>
              <w:t>）</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氨氮（</w:t>
            </w:r>
            <w:r>
              <w:rPr>
                <w:rFonts w:ascii="Times New Roman" w:eastAsia="Times New Roman" w:hAnsi="Times New Roman" w:cs="Times New Roman"/>
                <w:color w:val="000000"/>
                <w:spacing w:val="0"/>
                <w:w w:val="100"/>
                <w:position w:val="0"/>
                <w:sz w:val="18"/>
                <w:szCs w:val="18"/>
              </w:rPr>
              <w:t>mg/L</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vMerge/>
            <w:tcBorders>
              <w:left w:val="single" w:sz="4"/>
              <w:right w:val="single" w:sz="4"/>
            </w:tcBorders>
            <w:shd w:val="clear" w:color="auto" w:fill="FFFFFF"/>
            <w:vAlign w:val="center"/>
          </w:tcPr>
          <w:p>
            <w:pP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悬浮物（</w:t>
            </w:r>
            <w:r>
              <w:rPr>
                <w:rFonts w:ascii="Times New Roman" w:eastAsia="Times New Roman" w:hAnsi="Times New Roman" w:cs="Times New Roman"/>
                <w:color w:val="000000"/>
                <w:spacing w:val="0"/>
                <w:w w:val="100"/>
                <w:position w:val="0"/>
                <w:sz w:val="18"/>
                <w:szCs w:val="18"/>
              </w:rPr>
              <w:t>mg/L</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vMerge/>
            <w:tcBorders>
              <w:left w:val="single" w:sz="4"/>
              <w:right w:val="single" w:sz="4"/>
            </w:tcBorders>
            <w:shd w:val="clear" w:color="auto" w:fill="FFFFFF"/>
            <w:vAlign w:val="center"/>
          </w:tcPr>
          <w:p>
            <w:pP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五日生化需氧量（</w:t>
            </w:r>
            <w:r>
              <w:rPr>
                <w:rFonts w:ascii="Times New Roman" w:eastAsia="Times New Roman" w:hAnsi="Times New Roman" w:cs="Times New Roman"/>
                <w:color w:val="000000"/>
                <w:spacing w:val="0"/>
                <w:w w:val="100"/>
                <w:position w:val="0"/>
                <w:sz w:val="18"/>
                <w:szCs w:val="18"/>
              </w:rPr>
              <w:t>mg/L</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vMerge/>
            <w:tcBorders>
              <w:left w:val="single" w:sz="4"/>
              <w:right w:val="single" w:sz="4"/>
            </w:tcBorders>
            <w:shd w:val="clear" w:color="auto" w:fill="FFFFFF"/>
            <w:vAlign w:val="center"/>
          </w:tcPr>
          <w:p>
            <w:pP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pH </w:t>
            </w:r>
            <w:r>
              <w:rPr>
                <w:color w:val="000000"/>
                <w:spacing w:val="0"/>
                <w:w w:val="100"/>
                <w:position w:val="0"/>
              </w:rPr>
              <w:t>（无量纲）</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w:t>
            </w:r>
          </w:p>
        </w:tc>
        <w:tc>
          <w:tcPr>
            <w:vMerge/>
            <w:tcBorders>
              <w:left w:val="single" w:sz="4"/>
              <w:right w:val="single" w:sz="4"/>
            </w:tcBorders>
            <w:shd w:val="clear" w:color="auto" w:fill="FFFFFF"/>
            <w:vAlign w:val="center"/>
          </w:tcPr>
          <w:p>
            <w:pP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总氮（</w:t>
            </w:r>
            <w:r>
              <w:rPr>
                <w:rFonts w:ascii="Times New Roman" w:eastAsia="Times New Roman" w:hAnsi="Times New Roman" w:cs="Times New Roman"/>
                <w:color w:val="000000"/>
                <w:spacing w:val="0"/>
                <w:w w:val="100"/>
                <w:position w:val="0"/>
                <w:sz w:val="18"/>
                <w:szCs w:val="18"/>
              </w:rPr>
              <w:t>mg/L</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vMerge/>
            <w:tcBorders>
              <w:left w:val="single" w:sz="4"/>
              <w:right w:val="single" w:sz="4"/>
            </w:tcBorders>
            <w:shd w:val="clear" w:color="auto" w:fill="FFFFFF"/>
            <w:vAlign w:val="center"/>
          </w:tcPr>
          <w:p>
            <w:pP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总磷（</w:t>
            </w:r>
            <w:r>
              <w:rPr>
                <w:rFonts w:ascii="Times New Roman" w:eastAsia="Times New Roman" w:hAnsi="Times New Roman" w:cs="Times New Roman"/>
                <w:color w:val="000000"/>
                <w:spacing w:val="0"/>
                <w:w w:val="100"/>
                <w:position w:val="0"/>
                <w:sz w:val="18"/>
                <w:szCs w:val="18"/>
              </w:rPr>
              <w:t>mg/L</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vMerge/>
            <w:tcBorders>
              <w:left w:val="single" w:sz="4"/>
              <w:right w:val="single" w:sz="4"/>
            </w:tcBorders>
            <w:shd w:val="clear" w:color="auto" w:fill="FFFFFF"/>
            <w:vAlign w:val="center"/>
          </w:tcPr>
          <w:p>
            <w:pPr/>
          </w:p>
        </w:tc>
      </w:tr>
      <w:tr>
        <w:trPr>
          <w:trHeight w:val="427"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厂界噪 声</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连续等效</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声级</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dB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昼间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夜间</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《工业企业厂界环境噪声标 准》（</w:t>
            </w:r>
            <w:r>
              <w:rPr>
                <w:rFonts w:ascii="Times New Roman" w:eastAsia="Times New Roman" w:hAnsi="Times New Roman" w:cs="Times New Roman"/>
                <w:color w:val="000000"/>
                <w:spacing w:val="0"/>
                <w:w w:val="100"/>
                <w:position w:val="0"/>
                <w:sz w:val="18"/>
                <w:szCs w:val="18"/>
              </w:rPr>
              <w:t>GB12348-2008</w:t>
            </w:r>
            <w:r>
              <w:rPr>
                <w:color w:val="000000"/>
                <w:spacing w:val="0"/>
                <w:w w:val="100"/>
                <w:position w:val="0"/>
              </w:rPr>
              <w:t xml:space="preserve">）中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类标准</w:t>
            </w:r>
          </w:p>
        </w:tc>
      </w:tr>
      <w:tr>
        <w:trPr>
          <w:trHeight w:val="63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vMerge/>
            <w:tcBorders>
              <w:left w:val="single" w:sz="4"/>
              <w:bottom w:val="single" w:sz="4"/>
              <w:right w:val="single" w:sz="4"/>
            </w:tcBorders>
            <w:shd w:val="clear" w:color="auto" w:fill="FFFFFF"/>
            <w:vAlign w:val="center"/>
          </w:tcPr>
          <w:p>
            <w:pPr/>
          </w:p>
        </w:tc>
      </w:tr>
    </w:tbl>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突发环境事件应急预案</w:t>
      </w:r>
    </w:p>
    <w:p>
      <w:pPr>
        <w:pStyle w:val="Style10"/>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北京中科彩技术有限公司自行监测方式为手工监测方式，为委托社会化监测机构开展监测，承担委托 监测的单位为北京联合智业检验检测有限公司。</w:t>
      </w:r>
    </w:p>
    <w:p>
      <w:pPr>
        <w:pStyle w:val="Style10"/>
        <w:keepNext w:val="0"/>
        <w:keepLines w:val="0"/>
        <w:widowControl w:val="0"/>
        <w:shd w:val="clear" w:color="auto" w:fill="auto"/>
        <w:tabs>
          <w:tab w:pos="794" w:val="left"/>
        </w:tabs>
        <w:bidi w:val="0"/>
        <w:spacing w:before="0" w:after="0"/>
        <w:ind w:left="0" w:right="0" w:firstLine="440"/>
        <w:jc w:val="both"/>
      </w:pPr>
      <w:bookmarkStart w:id="383" w:name="bookmark383"/>
      <w:r>
        <w:rPr>
          <w:rFonts w:ascii="Times New Roman" w:eastAsia="Times New Roman" w:hAnsi="Times New Roman" w:cs="Times New Roman"/>
          <w:color w:val="000000"/>
          <w:spacing w:val="0"/>
          <w:w w:val="100"/>
          <w:position w:val="0"/>
        </w:rPr>
        <w:t>1</w:t>
      </w:r>
      <w:bookmarkEnd w:id="383"/>
      <w:r>
        <w:rPr>
          <w:color w:val="000000"/>
          <w:spacing w:val="0"/>
          <w:w w:val="100"/>
          <w:position w:val="0"/>
        </w:rPr>
        <w:t>、</w:t>
        <w:tab/>
        <w:t>环境风险管理制度</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北京中科彩技术有限公司建立了安全生产责任制和各项安全生产管理规章制度、安全规程、操作规程 和事故应急救援预案并严格按要求执行。公司有全套环境管理制度，日常安排专人负责环保管理制度执行 情况的检查，并编制了车间管理制度，迄今，未发现重大违反环保制度的情况。</w:t>
      </w:r>
    </w:p>
    <w:p>
      <w:pPr>
        <w:pStyle w:val="Style10"/>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我公司内部定时对各风险源进行日常监控和日常安全管理评估，重点是印刷间、化学品库、油墨间及 危废暂存区等风险系数较大的区域。各部门负责各自分管范围的工作和生产作业现场安全检查。各部门积 极配合上级部门安排的各专项安全检查。</w:t>
      </w:r>
    </w:p>
    <w:p>
      <w:pPr>
        <w:pStyle w:val="Style10"/>
        <w:keepNext w:val="0"/>
        <w:keepLines w:val="0"/>
        <w:widowControl w:val="0"/>
        <w:shd w:val="clear" w:color="auto" w:fill="auto"/>
        <w:tabs>
          <w:tab w:pos="813" w:val="left"/>
        </w:tabs>
        <w:bidi w:val="0"/>
        <w:spacing w:before="0" w:after="0"/>
        <w:ind w:left="0" w:right="0" w:firstLine="440"/>
        <w:jc w:val="both"/>
      </w:pPr>
      <w:bookmarkStart w:id="384" w:name="bookmark384"/>
      <w:r>
        <w:rPr>
          <w:rFonts w:ascii="Times New Roman" w:eastAsia="Times New Roman" w:hAnsi="Times New Roman" w:cs="Times New Roman"/>
          <w:color w:val="000000"/>
          <w:spacing w:val="0"/>
          <w:w w:val="100"/>
          <w:position w:val="0"/>
        </w:rPr>
        <w:t>2</w:t>
      </w:r>
      <w:bookmarkEnd w:id="384"/>
      <w:r>
        <w:rPr>
          <w:color w:val="000000"/>
          <w:spacing w:val="0"/>
          <w:w w:val="100"/>
          <w:position w:val="0"/>
        </w:rPr>
        <w:t>、</w:t>
        <w:tab/>
        <w:t>事件分级</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按照北京中科彩技术有限公司实际环境风险物质意外事故发生后导致的人员伤亡情况及环境污染程 度，公司突发事件分级如下：</w:t>
      </w:r>
    </w:p>
    <w:p>
      <w:pPr>
        <w:pStyle w:val="Style1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一级：危险化学品或危险废物环境风险物质大量泄漏，或发生火灾，火势较大，我公司内部已无法控 制的事件。</w:t>
      </w:r>
    </w:p>
    <w:p>
      <w:pPr>
        <w:pStyle w:val="Style10"/>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二级：危险化学品或危险废物等环境风险物质出现少量泄漏，或发生火情，但未造成大面积污染，且 短时间内我公司内部即可处理的事件。</w:t>
      </w:r>
    </w:p>
    <w:p>
      <w:pPr>
        <w:pStyle w:val="Style10"/>
        <w:keepNext w:val="0"/>
        <w:keepLines w:val="0"/>
        <w:widowControl w:val="0"/>
        <w:shd w:val="clear" w:color="auto" w:fill="auto"/>
        <w:tabs>
          <w:tab w:pos="813" w:val="left"/>
        </w:tabs>
        <w:bidi w:val="0"/>
        <w:spacing w:before="0" w:after="0"/>
        <w:ind w:left="0" w:right="0" w:firstLine="440"/>
        <w:jc w:val="both"/>
      </w:pPr>
      <w:bookmarkStart w:id="385" w:name="bookmark385"/>
      <w:r>
        <w:rPr>
          <w:rFonts w:ascii="Times New Roman" w:eastAsia="Times New Roman" w:hAnsi="Times New Roman" w:cs="Times New Roman"/>
          <w:color w:val="000000"/>
          <w:spacing w:val="0"/>
          <w:w w:val="100"/>
          <w:position w:val="0"/>
        </w:rPr>
        <w:t>3</w:t>
      </w:r>
      <w:bookmarkEnd w:id="385"/>
      <w:r>
        <w:rPr>
          <w:color w:val="000000"/>
          <w:spacing w:val="0"/>
          <w:w w:val="100"/>
          <w:position w:val="0"/>
        </w:rPr>
        <w:t>、</w:t>
        <w:tab/>
        <w:t>预警发布与解除</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一级预警：如为一级事件，管理或检查人员立即发出警报并报告应急救援指挥机构（夜间报直管领导）， 同时视实际情况实施现场处置指施，立即组织现场作业人员疏散等。</w:t>
      </w:r>
    </w:p>
    <w:p>
      <w:pPr>
        <w:pStyle w:val="Style10"/>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二级预警：如为二级事件，管理或检查人员立即启动现场处置措施，发出警报并报告应急教援指挥机 构（夜间报直管领导），为二级预警。当引起预警的条件消除和各类隐患排除后，由应急救援指挥部宣布 解除预警。</w:t>
      </w:r>
    </w:p>
    <w:p>
      <w:pPr>
        <w:pStyle w:val="Style10"/>
        <w:keepNext w:val="0"/>
        <w:keepLines w:val="0"/>
        <w:widowControl w:val="0"/>
        <w:shd w:val="clear" w:color="auto" w:fill="auto"/>
        <w:tabs>
          <w:tab w:pos="813" w:val="left"/>
        </w:tabs>
        <w:bidi w:val="0"/>
        <w:spacing w:before="0" w:after="0" w:line="492" w:lineRule="auto"/>
        <w:ind w:left="0" w:right="0" w:firstLine="440"/>
        <w:jc w:val="both"/>
      </w:pPr>
      <w:bookmarkStart w:id="386" w:name="bookmark386"/>
      <w:r>
        <w:rPr>
          <w:rFonts w:ascii="Times New Roman" w:eastAsia="Times New Roman" w:hAnsi="Times New Roman" w:cs="Times New Roman"/>
          <w:color w:val="000000"/>
          <w:spacing w:val="0"/>
          <w:w w:val="100"/>
          <w:position w:val="0"/>
        </w:rPr>
        <w:t>4</w:t>
      </w:r>
      <w:bookmarkEnd w:id="386"/>
      <w:r>
        <w:rPr>
          <w:color w:val="000000"/>
          <w:spacing w:val="0"/>
          <w:w w:val="100"/>
          <w:position w:val="0"/>
        </w:rPr>
        <w:t>、</w:t>
        <w:tab/>
        <w:t>处置措施</w:t>
      </w:r>
    </w:p>
    <w:p>
      <w:pPr>
        <w:pStyle w:val="Style10"/>
        <w:keepNext w:val="0"/>
        <w:keepLines w:val="0"/>
        <w:widowControl w:val="0"/>
        <w:shd w:val="clear" w:color="auto" w:fill="auto"/>
        <w:tabs>
          <w:tab w:pos="880" w:val="left"/>
        </w:tabs>
        <w:bidi w:val="0"/>
        <w:spacing w:before="0" w:after="0"/>
        <w:ind w:left="0" w:right="0" w:firstLine="440"/>
        <w:jc w:val="both"/>
      </w:pPr>
      <w:r>
        <w:rPr>
          <w:rFonts w:ascii="Times New Roman" w:eastAsia="Times New Roman" w:hAnsi="Times New Roman" w:cs="Times New Roman"/>
          <w:color w:val="000000"/>
          <w:spacing w:val="0"/>
          <w:w w:val="100"/>
          <w:position w:val="0"/>
        </w:rPr>
        <w:t>4.1</w:t>
        <w:tab/>
      </w:r>
      <w:r>
        <w:rPr>
          <w:color w:val="000000"/>
          <w:spacing w:val="0"/>
          <w:w w:val="100"/>
          <w:position w:val="0"/>
        </w:rPr>
        <w:t>一级事件处置程序机器措施</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指挥调度程序：</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当发生的环境污染事故级别为一级时，必须在第一时间内向北京市经济技术开发区应急救援指挥中心 报警，并立即按突发环境事故应急预案进行处置。北京市经济技术开发区应急救援指挥中心接警后，视情 况协调北京市经济技术开发区环保局等方面的应急人员赶赴现场。</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处置流程：</w:t>
      </w:r>
    </w:p>
    <w:p>
      <w:pPr>
        <w:pStyle w:val="Style10"/>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当发生的环境污染事故级别为一级时，由我公司应急指挥部组织应急力量予以先期处置并立即报告政 府相关单位：</w:t>
      </w:r>
    </w:p>
    <w:p>
      <w:pPr>
        <w:pStyle w:val="Style10"/>
        <w:keepNext w:val="0"/>
        <w:keepLines w:val="0"/>
        <w:widowControl w:val="0"/>
        <w:shd w:val="clear" w:color="auto" w:fill="auto"/>
        <w:tabs>
          <w:tab w:pos="805" w:val="left"/>
        </w:tabs>
        <w:bidi w:val="0"/>
        <w:spacing w:before="0" w:after="0" w:line="475" w:lineRule="exact"/>
        <w:ind w:left="0" w:right="0" w:firstLine="440"/>
        <w:jc w:val="both"/>
      </w:pPr>
      <w:bookmarkStart w:id="387" w:name="bookmark387"/>
      <w:r>
        <w:rPr>
          <w:rFonts w:ascii="Times New Roman" w:eastAsia="Times New Roman" w:hAnsi="Times New Roman" w:cs="Times New Roman"/>
          <w:color w:val="000000"/>
          <w:spacing w:val="0"/>
          <w:w w:val="100"/>
          <w:position w:val="0"/>
        </w:rPr>
        <w:t>1</w:t>
      </w:r>
      <w:bookmarkEnd w:id="387"/>
      <w:r>
        <w:rPr>
          <w:color w:val="000000"/>
          <w:spacing w:val="0"/>
          <w:w w:val="100"/>
          <w:position w:val="0"/>
        </w:rPr>
        <w:t>）</w:t>
        <w:tab/>
        <w:t>立即启动应急预案，各应急小组按照职责实施组织人员进行疏散、拉警戒线、封锁事故区域，无 关人员及车辆禁止进入等应急措施，如发生火灾则禁止使用电梯，并及时联系告知周边企业。</w:t>
      </w:r>
    </w:p>
    <w:p>
      <w:pPr>
        <w:pStyle w:val="Style10"/>
        <w:keepNext w:val="0"/>
        <w:keepLines w:val="0"/>
        <w:widowControl w:val="0"/>
        <w:shd w:val="clear" w:color="auto" w:fill="auto"/>
        <w:tabs>
          <w:tab w:pos="805" w:val="left"/>
        </w:tabs>
        <w:bidi w:val="0"/>
        <w:spacing w:before="0" w:after="0" w:line="472" w:lineRule="exact"/>
        <w:ind w:left="0" w:right="0" w:firstLine="440"/>
        <w:jc w:val="both"/>
      </w:pPr>
      <w:bookmarkStart w:id="388" w:name="bookmark388"/>
      <w:r>
        <w:rPr>
          <w:rFonts w:ascii="Times New Roman" w:eastAsia="Times New Roman" w:hAnsi="Times New Roman" w:cs="Times New Roman"/>
          <w:color w:val="000000"/>
          <w:spacing w:val="0"/>
          <w:w w:val="100"/>
          <w:position w:val="0"/>
        </w:rPr>
        <w:t>2</w:t>
      </w:r>
      <w:bookmarkEnd w:id="388"/>
      <w:r>
        <w:rPr>
          <w:color w:val="000000"/>
          <w:spacing w:val="0"/>
          <w:w w:val="100"/>
          <w:position w:val="0"/>
        </w:rPr>
        <w:t>）</w:t>
        <w:tab/>
        <w:t>立即切断事故区域电源或火源，印刷间、化学品库、油墨间及危废暂存区等环境风险源处出现大 量液体泄漏，立即采用围堤堵截覆盖、收容等方法，将大量泄漏物围堵在公司车间内部，如果有流出车间 的可能时，则需封堵厂区雨水排口，在厂区设置围堰，将泄漏物国堵在厂区内部；如果发生火灾且火势难 以控制时，我公司应急救援队伍则立即调集所需物资和装备，组织救援力量等待政府应急教援力量到来；</w:t>
      </w:r>
    </w:p>
    <w:p>
      <w:pPr>
        <w:pStyle w:val="Style10"/>
        <w:keepNext w:val="0"/>
        <w:keepLines w:val="0"/>
        <w:widowControl w:val="0"/>
        <w:shd w:val="clear" w:color="auto" w:fill="auto"/>
        <w:tabs>
          <w:tab w:pos="810" w:val="left"/>
        </w:tabs>
        <w:bidi w:val="0"/>
        <w:spacing w:before="0" w:after="260" w:line="473" w:lineRule="exact"/>
        <w:ind w:left="0" w:right="0" w:firstLine="440"/>
        <w:jc w:val="both"/>
      </w:pPr>
      <w:bookmarkStart w:id="389" w:name="bookmark389"/>
      <w:r>
        <w:rPr>
          <w:rFonts w:ascii="Times New Roman" w:eastAsia="Times New Roman" w:hAnsi="Times New Roman" w:cs="Times New Roman"/>
          <w:color w:val="000000"/>
          <w:spacing w:val="0"/>
          <w:w w:val="100"/>
          <w:position w:val="0"/>
        </w:rPr>
        <w:t>3</w:t>
      </w:r>
      <w:bookmarkEnd w:id="389"/>
      <w:r>
        <w:rPr>
          <w:color w:val="000000"/>
          <w:spacing w:val="0"/>
          <w:w w:val="100"/>
          <w:position w:val="0"/>
        </w:rPr>
        <w:t>）</w:t>
        <w:tab/>
        <w:t>事故受伤者就地隔离治疗，密切观察接触者，必要时请医院医生协助救治，由应急综合办公室负 责联系。应急救援指挥中心视情况派出应急力量到达现场后，应急组织协助应急救援力量进行应急监测以 及事故处置。</w:t>
      </w:r>
    </w:p>
    <w:p>
      <w:pPr>
        <w:pStyle w:val="Style10"/>
        <w:keepNext w:val="0"/>
        <w:keepLines w:val="0"/>
        <w:widowControl w:val="0"/>
        <w:shd w:val="clear" w:color="auto" w:fill="auto"/>
        <w:bidi w:val="0"/>
        <w:spacing w:before="0" w:after="0" w:line="494" w:lineRule="auto"/>
        <w:ind w:left="0" w:right="0" w:firstLine="440"/>
        <w:jc w:val="both"/>
      </w:pPr>
      <w:r>
        <w:rPr>
          <w:rFonts w:ascii="Times New Roman" w:eastAsia="Times New Roman" w:hAnsi="Times New Roman" w:cs="Times New Roman"/>
          <w:color w:val="000000"/>
          <w:spacing w:val="0"/>
          <w:w w:val="100"/>
          <w:position w:val="0"/>
        </w:rPr>
        <w:t>4.2</w:t>
      </w:r>
      <w:r>
        <w:rPr>
          <w:color w:val="000000"/>
          <w:spacing w:val="0"/>
          <w:w w:val="100"/>
          <w:position w:val="0"/>
        </w:rPr>
        <w:t>二级事件处量程序及措施</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指挥调度程序：</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当发生的环境污染事故级别为二级时，现场人员立即启动现场处置措施，并第一时间向应急指挥部报 告情况。应急指挥部组织应急力量进行现场支援，协助现场人员进行应急处置。</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处置流程：</w:t>
      </w:r>
    </w:p>
    <w:p>
      <w:pPr>
        <w:pStyle w:val="Style1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当发生的环境污染事故级别为二级时，根据应急指挥部指示，由现场人员按现场处置预案予以先期处 置，现场指挥部应维护好秩序，做好交通保障、人员疏散等各项工作：</w:t>
      </w:r>
    </w:p>
    <w:p>
      <w:pPr>
        <w:pStyle w:val="Style10"/>
        <w:keepNext w:val="0"/>
        <w:keepLines w:val="0"/>
        <w:widowControl w:val="0"/>
        <w:shd w:val="clear" w:color="auto" w:fill="auto"/>
        <w:tabs>
          <w:tab w:pos="810" w:val="left"/>
        </w:tabs>
        <w:bidi w:val="0"/>
        <w:spacing w:before="0" w:after="0" w:line="469" w:lineRule="exact"/>
        <w:ind w:left="0" w:right="0" w:firstLine="440"/>
        <w:jc w:val="both"/>
      </w:pPr>
      <w:bookmarkStart w:id="390" w:name="bookmark390"/>
      <w:r>
        <w:rPr>
          <w:rFonts w:ascii="Times New Roman" w:eastAsia="Times New Roman" w:hAnsi="Times New Roman" w:cs="Times New Roman"/>
          <w:color w:val="000000"/>
          <w:spacing w:val="0"/>
          <w:w w:val="100"/>
          <w:position w:val="0"/>
        </w:rPr>
        <w:t>1</w:t>
      </w:r>
      <w:bookmarkEnd w:id="390"/>
      <w:r>
        <w:rPr>
          <w:color w:val="000000"/>
          <w:spacing w:val="0"/>
          <w:w w:val="100"/>
          <w:position w:val="0"/>
        </w:rPr>
        <w:t>）</w:t>
        <w:tab/>
        <w:t>印刷间、化学品库、油墨间及危废暂存区等环境风险源配备了相应的死火器材、消防沙、应急监 测设备等，化学品等风险物质转运或使用过程中出现少量泄漏，立即用不可燃的吸收物质包容收集泄漏物</w:t>
      </w:r>
    </w:p>
    <w:p>
      <w:pPr>
        <w:pStyle w:val="Style10"/>
        <w:keepNext w:val="0"/>
        <w:keepLines w:val="0"/>
        <w:widowControl w:val="0"/>
        <w:shd w:val="clear" w:color="auto" w:fill="auto"/>
        <w:bidi w:val="0"/>
        <w:spacing w:before="0" w:after="260" w:line="469" w:lineRule="exact"/>
        <w:ind w:left="0" w:right="0" w:firstLine="0"/>
        <w:jc w:val="both"/>
      </w:pPr>
      <w:r>
        <w:rPr>
          <w:color w:val="000000"/>
          <w:spacing w:val="0"/>
          <w:w w:val="100"/>
          <w:position w:val="0"/>
        </w:rPr>
        <w:t>（如沙子、泥土），并放置于容器中，作为危险废物处置；如果发生火情，但未造成大面积污染，立即在 事故区域构筑国堰，用消防器材进行灭火，并将产生的消防退水集中收集，根据水中污染物情况交由有资 质单位处置。</w:t>
      </w:r>
    </w:p>
    <w:p>
      <w:pPr>
        <w:pStyle w:val="Style10"/>
        <w:keepNext w:val="0"/>
        <w:keepLines w:val="0"/>
        <w:widowControl w:val="0"/>
        <w:shd w:val="clear" w:color="auto" w:fill="auto"/>
        <w:tabs>
          <w:tab w:pos="832" w:val="left"/>
        </w:tabs>
        <w:bidi w:val="0"/>
        <w:spacing w:before="0" w:after="0"/>
        <w:ind w:left="0" w:right="0" w:firstLine="440"/>
        <w:jc w:val="both"/>
      </w:pPr>
      <w:bookmarkStart w:id="391" w:name="bookmark391"/>
      <w:r>
        <w:rPr>
          <w:rFonts w:ascii="Times New Roman" w:eastAsia="Times New Roman" w:hAnsi="Times New Roman" w:cs="Times New Roman"/>
          <w:color w:val="000000"/>
          <w:spacing w:val="0"/>
          <w:w w:val="100"/>
          <w:position w:val="0"/>
        </w:rPr>
        <w:t>2</w:t>
      </w:r>
      <w:bookmarkEnd w:id="391"/>
      <w:r>
        <w:rPr>
          <w:color w:val="000000"/>
          <w:spacing w:val="0"/>
          <w:w w:val="100"/>
          <w:position w:val="0"/>
        </w:rPr>
        <w:t>）</w:t>
        <w:tab/>
        <w:t>事件应急结束后，对现场隐患进行排查。</w:t>
      </w:r>
    </w:p>
    <w:p>
      <w:pPr>
        <w:pStyle w:val="Style10"/>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4.3</w:t>
      </w:r>
      <w:r>
        <w:rPr>
          <w:color w:val="000000"/>
          <w:spacing w:val="0"/>
          <w:w w:val="100"/>
          <w:position w:val="0"/>
        </w:rPr>
        <w:t>夜间处置措施</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夜间处置流程：</w:t>
      </w:r>
    </w:p>
    <w:p>
      <w:pPr>
        <w:pStyle w:val="Style10"/>
        <w:keepNext w:val="0"/>
        <w:keepLines w:val="0"/>
        <w:widowControl w:val="0"/>
        <w:shd w:val="clear" w:color="auto" w:fill="auto"/>
        <w:bidi w:val="0"/>
        <w:spacing w:before="0" w:after="280" w:line="472" w:lineRule="exact"/>
        <w:ind w:left="0" w:right="0" w:firstLine="440"/>
        <w:jc w:val="both"/>
      </w:pPr>
      <w:r>
        <w:rPr>
          <w:color w:val="000000"/>
          <w:spacing w:val="0"/>
          <w:w w:val="100"/>
          <w:position w:val="0"/>
        </w:rPr>
        <w:t xml:space="preserve">由于夜间救援人员较少，值班人员较少，如发生突发环境事故立即通知直管领导或应急办公室，组织 </w:t>
      </w:r>
      <w:r>
        <w:rPr>
          <w:color w:val="000000"/>
          <w:spacing w:val="0"/>
          <w:w w:val="100"/>
          <w:position w:val="0"/>
        </w:rPr>
        <w:t>值班人员采取应急措施，同时申请政府力量救援。</w:t>
      </w:r>
    </w:p>
    <w:p>
      <w:pPr>
        <w:pStyle w:val="Style10"/>
        <w:keepNext w:val="0"/>
        <w:keepLines w:val="0"/>
        <w:widowControl w:val="0"/>
        <w:shd w:val="clear" w:color="auto" w:fill="auto"/>
        <w:bidi w:val="0"/>
        <w:spacing w:before="0" w:after="0" w:line="492" w:lineRule="auto"/>
        <w:ind w:left="0" w:right="0" w:firstLine="440"/>
        <w:jc w:val="left"/>
      </w:pPr>
      <w:r>
        <w:rPr>
          <w:rFonts w:ascii="Times New Roman" w:eastAsia="Times New Roman" w:hAnsi="Times New Roman" w:cs="Times New Roman"/>
          <w:color w:val="000000"/>
          <w:spacing w:val="0"/>
          <w:w w:val="100"/>
          <w:position w:val="0"/>
        </w:rPr>
        <w:t>4.4</w:t>
      </w:r>
      <w:r>
        <w:rPr>
          <w:color w:val="000000"/>
          <w:spacing w:val="0"/>
          <w:w w:val="100"/>
          <w:position w:val="0"/>
        </w:rPr>
        <w:t>应急监测</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当发生环境污染事故后，我公司须及时报告环保局对事故现场大气污染情况、水污染情兄等环境因素 进行监测：</w:t>
      </w:r>
    </w:p>
    <w:p>
      <w:pPr>
        <w:pStyle w:val="Style1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大气监测：在污染源上风向布一个监测点，在下风向、环境敏感点扇面布置多个监测点，进行采样监 测。</w:t>
      </w:r>
    </w:p>
    <w:p>
      <w:pPr>
        <w:pStyle w:val="Style10"/>
        <w:keepNext w:val="0"/>
        <w:keepLines w:val="0"/>
        <w:widowControl w:val="0"/>
        <w:shd w:val="clear" w:color="auto" w:fill="auto"/>
        <w:bidi w:val="0"/>
        <w:spacing w:before="0" w:after="560" w:line="470" w:lineRule="exact"/>
        <w:ind w:left="0" w:right="0" w:firstLine="440"/>
        <w:jc w:val="left"/>
      </w:pPr>
      <w:r>
        <w:rPr>
          <w:color w:val="000000"/>
          <w:spacing w:val="0"/>
          <w:w w:val="100"/>
          <w:position w:val="0"/>
        </w:rPr>
        <w:t>水监测：对不同的控制点和通往外环境排水口布点，不同时段采样分析。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环境自行监测方案</w:t>
      </w:r>
    </w:p>
    <w:p>
      <w:pPr>
        <w:pStyle w:val="Style10"/>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各类污染物采用国家和北京市相关污染物排放标准、现行的环境保护部发布的国家或行业环境监测方 法标准和技术规范规定的监测方法开展监测。本单位委托有资质的社会化监测机构开展监测，明确监测质 量控制要求，确保监测数据准确。手工监测方法及仪器设备情况如下：</w:t>
      </w:r>
    </w:p>
    <w:tbl>
      <w:tblPr>
        <w:tblOverlap w:val="never"/>
        <w:jc w:val="center"/>
        <w:tblLayout w:type="fixed"/>
      </w:tblPr>
      <w:tblGrid>
        <w:gridCol w:w="739"/>
        <w:gridCol w:w="874"/>
        <w:gridCol w:w="1325"/>
        <w:gridCol w:w="2822"/>
        <w:gridCol w:w="1008"/>
        <w:gridCol w:w="1579"/>
        <w:gridCol w:w="1330"/>
      </w:tblGrid>
      <w:tr>
        <w:trPr>
          <w:trHeight w:val="74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监测项目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采样方法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监测方法及依据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检出限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仪器设备名称和型 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739"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废气</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二氧化硫</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25" w:lineRule="exact"/>
              <w:ind w:left="0" w:right="0" w:firstLine="0"/>
              <w:jc w:val="left"/>
            </w:pPr>
            <w:r>
              <w:rPr>
                <w:rFonts w:ascii="Times New Roman" w:eastAsia="Times New Roman" w:hAnsi="Times New Roman" w:cs="Times New Roman"/>
                <w:color w:val="000000"/>
                <w:spacing w:val="0"/>
                <w:w w:val="100"/>
                <w:position w:val="0"/>
                <w:sz w:val="18"/>
                <w:szCs w:val="18"/>
              </w:rPr>
              <w:t xml:space="preserve">GB/T16157-1996 </w:t>
            </w:r>
            <w:r>
              <w:rPr>
                <w:color w:val="000000"/>
                <w:spacing w:val="0"/>
                <w:w w:val="100"/>
                <w:position w:val="0"/>
              </w:rPr>
              <w:t>固定污染源 排气中颗粒物和 气态污染物采样 方法</w:t>
            </w:r>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HJ/T397-2007 </w:t>
            </w:r>
            <w:r>
              <w:rPr>
                <w:color w:val="000000"/>
                <w:spacing w:val="0"/>
                <w:w w:val="100"/>
                <w:position w:val="0"/>
              </w:rPr>
              <w:t>固定源废气监测 技术规范</w:t>
            </w:r>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HJ732-2014 </w:t>
            </w:r>
            <w:r>
              <w:rPr>
                <w:color w:val="000000"/>
                <w:spacing w:val="0"/>
                <w:w w:val="100"/>
                <w:position w:val="0"/>
              </w:rPr>
              <w:t>固定 污染源废气挥发 性有机物的采样 气袋法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HJ 57-2017</w:t>
            </w:r>
            <w:r>
              <w:rPr>
                <w:color w:val="000000"/>
                <w:spacing w:val="0"/>
                <w:w w:val="100"/>
                <w:position w:val="0"/>
              </w:rPr>
              <w:t>固定污染源废气二氧化 硫的测定定电位电解法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3mg/m3</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崂应</w:t>
            </w:r>
            <w:r>
              <w:rPr>
                <w:rFonts w:ascii="Times New Roman" w:eastAsia="Times New Roman" w:hAnsi="Times New Roman" w:cs="Times New Roman"/>
                <w:color w:val="000000"/>
                <w:spacing w:val="0"/>
                <w:w w:val="100"/>
                <w:position w:val="0"/>
                <w:sz w:val="18"/>
                <w:szCs w:val="18"/>
              </w:rPr>
              <w:t>3012（08</w:t>
            </w:r>
            <w:r>
              <w:rPr>
                <w:color w:val="000000"/>
                <w:spacing w:val="0"/>
                <w:w w:val="100"/>
                <w:position w:val="0"/>
              </w:rPr>
              <w:t>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 动烟尘</w:t>
            </w:r>
            <w:r>
              <w:rPr>
                <w:color w:val="000000"/>
                <w:spacing w:val="0"/>
                <w:w w:val="100"/>
                <w:position w:val="0"/>
                <w:sz w:val="18"/>
                <w:szCs w:val="18"/>
              </w:rPr>
              <w:t>（</w:t>
            </w:r>
            <w:r>
              <w:rPr>
                <w:color w:val="000000"/>
                <w:spacing w:val="0"/>
                <w:w w:val="100"/>
                <w:position w:val="0"/>
              </w:rPr>
              <w:t>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测试仪</w:t>
            </w:r>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崂应</w:t>
            </w:r>
            <w:r>
              <w:rPr>
                <w:rFonts w:ascii="Times New Roman" w:eastAsia="Times New Roman" w:hAnsi="Times New Roman" w:cs="Times New Roman"/>
                <w:color w:val="000000"/>
                <w:spacing w:val="0"/>
                <w:w w:val="100"/>
                <w:position w:val="0"/>
                <w:sz w:val="18"/>
                <w:szCs w:val="18"/>
              </w:rPr>
              <w:t>3072</w:t>
            </w:r>
            <w:r>
              <w:rPr>
                <w:color w:val="000000"/>
                <w:spacing w:val="0"/>
                <w:w w:val="100"/>
                <w:position w:val="0"/>
              </w:rPr>
              <w:t>智能双</w:t>
            </w:r>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路烟气采样器</w:t>
            </w:r>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岛津</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紫外分</w:t>
            </w:r>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光光度计</w:t>
            </w:r>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安捷伦</w:t>
            </w:r>
            <w:r>
              <w:rPr>
                <w:rFonts w:ascii="Times New Roman" w:eastAsia="Times New Roman" w:hAnsi="Times New Roman" w:cs="Times New Roman"/>
                <w:color w:val="000000"/>
                <w:spacing w:val="0"/>
                <w:w w:val="100"/>
                <w:position w:val="0"/>
                <w:sz w:val="18"/>
                <w:szCs w:val="18"/>
              </w:rPr>
              <w:t>7890A</w:t>
            </w:r>
            <w:r>
              <w:rPr>
                <w:color w:val="000000"/>
                <w:spacing w:val="0"/>
                <w:w w:val="100"/>
                <w:position w:val="0"/>
              </w:rPr>
              <w:t>气相</w:t>
            </w:r>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色谱仪</w:t>
            </w:r>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赛默飞</w:t>
            </w:r>
            <w:r>
              <w:rPr>
                <w:rFonts w:ascii="Times New Roman" w:eastAsia="Times New Roman" w:hAnsi="Times New Roman" w:cs="Times New Roman"/>
                <w:color w:val="000000"/>
                <w:spacing w:val="0"/>
                <w:w w:val="100"/>
                <w:position w:val="0"/>
                <w:sz w:val="18"/>
                <w:szCs w:val="18"/>
              </w:rPr>
              <w:t>ISQ</w:t>
            </w:r>
            <w:r>
              <w:rPr>
                <w:color w:val="000000"/>
                <w:spacing w:val="0"/>
                <w:w w:val="100"/>
                <w:position w:val="0"/>
              </w:rPr>
              <w:t>型气质</w:t>
            </w:r>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联用仪</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岛津</w:t>
            </w:r>
            <w:r>
              <w:rPr>
                <w:rFonts w:ascii="Times New Roman" w:eastAsia="Times New Roman" w:hAnsi="Times New Roman" w:cs="Times New Roman"/>
                <w:color w:val="000000"/>
                <w:spacing w:val="0"/>
                <w:w w:val="100"/>
                <w:position w:val="0"/>
                <w:sz w:val="18"/>
                <w:szCs w:val="18"/>
              </w:rPr>
              <w:t>GC-2014C</w:t>
            </w:r>
            <w:r>
              <w:rPr>
                <w:color w:val="000000"/>
                <w:spacing w:val="0"/>
                <w:w w:val="100"/>
                <w:position w:val="0"/>
              </w:rPr>
              <w:t>型 气相色谱仪</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连续采样</w:t>
            </w:r>
          </w:p>
        </w:tc>
      </w:tr>
      <w:tr>
        <w:trPr>
          <w:trHeight w:val="73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氮氧化物</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HJ 693-2014</w:t>
            </w:r>
            <w:r>
              <w:rPr>
                <w:color w:val="000000"/>
                <w:spacing w:val="0"/>
                <w:w w:val="100"/>
                <w:position w:val="0"/>
              </w:rPr>
              <w:t>固定污染源废气氮氧 化物的测定定电位电解法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3mg/m3</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连续采样</w:t>
            </w:r>
          </w:p>
        </w:tc>
      </w:tr>
      <w:tr>
        <w:trPr>
          <w:trHeight w:val="16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苯</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HJ 584-2010</w:t>
            </w:r>
            <w:r>
              <w:rPr>
                <w:color w:val="000000"/>
                <w:spacing w:val="0"/>
                <w:w w:val="100"/>
                <w:position w:val="0"/>
              </w:rPr>
              <w:t>环境空气苯系物的测 定活性炭吸附二硫化碳解吸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气相 色谱法</w:t>
            </w:r>
            <w:r>
              <w:rPr>
                <w:rFonts w:ascii="Times New Roman" w:eastAsia="Times New Roman" w:hAnsi="Times New Roman" w:cs="Times New Roman"/>
                <w:color w:val="000000"/>
                <w:spacing w:val="0"/>
                <w:w w:val="100"/>
                <w:position w:val="0"/>
                <w:sz w:val="18"/>
                <w:szCs w:val="18"/>
              </w:rPr>
              <w:t>HJ 734-2014</w:t>
            </w:r>
            <w:r>
              <w:rPr>
                <w:color w:val="000000"/>
                <w:spacing w:val="0"/>
                <w:w w:val="100"/>
                <w:position w:val="0"/>
              </w:rPr>
              <w:t>固定污染源废 气 挥发性有机物的测定固相吸附</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热脱附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气相色谱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质谱法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0.0015mg/m</w:t>
            </w:r>
          </w:p>
          <w:p>
            <w:pPr>
              <w:pStyle w:val="Style18"/>
              <w:keepNext w:val="0"/>
              <w:keepLines w:val="0"/>
              <w:widowControl w:val="0"/>
              <w:shd w:val="clear" w:color="auto" w:fill="auto"/>
              <w:bidi w:val="0"/>
              <w:spacing w:before="0" w:after="4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18"/>
              <w:keepNext w:val="0"/>
              <w:keepLines w:val="0"/>
              <w:widowControl w:val="0"/>
              <w:shd w:val="clear" w:color="auto" w:fill="auto"/>
              <w:bidi w:val="0"/>
              <w:spacing w:before="0" w:after="3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0.004 mg/m3</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连续采样</w:t>
            </w:r>
          </w:p>
        </w:tc>
      </w:tr>
      <w:tr>
        <w:trPr>
          <w:trHeight w:val="16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甲苯二甲 苯合计</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HJ 584-2010</w:t>
            </w:r>
            <w:r>
              <w:rPr>
                <w:color w:val="000000"/>
                <w:spacing w:val="0"/>
                <w:w w:val="100"/>
                <w:position w:val="0"/>
              </w:rPr>
              <w:t>环境空气苯系物的测 定 活性炭吸附二硫化碳解吸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气相 色谱法</w:t>
            </w:r>
            <w:r>
              <w:rPr>
                <w:rFonts w:ascii="Times New Roman" w:eastAsia="Times New Roman" w:hAnsi="Times New Roman" w:cs="Times New Roman"/>
                <w:color w:val="000000"/>
                <w:spacing w:val="0"/>
                <w:w w:val="100"/>
                <w:position w:val="0"/>
                <w:sz w:val="18"/>
                <w:szCs w:val="18"/>
              </w:rPr>
              <w:t>HJ 734-2014</w:t>
            </w:r>
            <w:r>
              <w:rPr>
                <w:color w:val="000000"/>
                <w:spacing w:val="0"/>
                <w:w w:val="100"/>
                <w:position w:val="0"/>
              </w:rPr>
              <w:t>固定污染源废 气 挥发性有机物的测定固相吸附</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热脱附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气相色谱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质谱法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0.0015mg/m</w:t>
            </w:r>
          </w:p>
          <w:p>
            <w:pPr>
              <w:pStyle w:val="Style18"/>
              <w:keepNext w:val="0"/>
              <w:keepLines w:val="0"/>
              <w:widowControl w:val="0"/>
              <w:shd w:val="clear" w:color="auto" w:fill="auto"/>
              <w:bidi w:val="0"/>
              <w:spacing w:before="0" w:after="4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18"/>
              <w:keepNext w:val="0"/>
              <w:keepLines w:val="0"/>
              <w:widowControl w:val="0"/>
              <w:shd w:val="clear" w:color="auto" w:fill="auto"/>
              <w:bidi w:val="0"/>
              <w:spacing w:before="0" w:after="3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0.004 mg/m3</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连续采样</w:t>
            </w:r>
          </w:p>
        </w:tc>
      </w:tr>
      <w:tr>
        <w:trPr>
          <w:trHeight w:val="20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非甲烷总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烃</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HJ 604-2017</w:t>
            </w:r>
            <w:r>
              <w:rPr>
                <w:color w:val="000000"/>
                <w:spacing w:val="0"/>
                <w:w w:val="100"/>
                <w:position w:val="0"/>
              </w:rPr>
              <w:t>环境空气总烃、甲烷和 非甲烷总烃的测定直接进样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气相 色谱法</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HJ 38-2017</w:t>
            </w:r>
            <w:r>
              <w:rPr>
                <w:color w:val="000000"/>
                <w:spacing w:val="0"/>
                <w:w w:val="100"/>
                <w:position w:val="0"/>
              </w:rPr>
              <w:t>固定污染源废气总烃、 甲烷和非甲烷总烃的测定气相色谱 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 mg/m3</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非连续采样每</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小时等间隔采集</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个样品</w:t>
            </w:r>
          </w:p>
        </w:tc>
      </w:tr>
      <w:tr>
        <w:trPr>
          <w:trHeight w:val="44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废水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化学需氧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HJ/T 91-2002 </w:t>
            </w:r>
            <w:r>
              <w:rPr>
                <w:color w:val="000000"/>
                <w:spacing w:val="0"/>
                <w:w w:val="100"/>
                <w:position w:val="0"/>
              </w:rPr>
              <w:t>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HJ 828-2017</w:t>
            </w:r>
            <w:r>
              <w:rPr>
                <w:color w:val="000000"/>
                <w:spacing w:val="0"/>
                <w:w w:val="100"/>
                <w:position w:val="0"/>
              </w:rPr>
              <w:t>水质化学需氧量的测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rFonts w:ascii="Times New Roman" w:eastAsia="Times New Roman" w:hAnsi="Times New Roman" w:cs="Times New Roman"/>
                <w:color w:val="000000"/>
                <w:spacing w:val="0"/>
                <w:w w:val="100"/>
                <w:position w:val="0"/>
                <w:sz w:val="18"/>
                <w:szCs w:val="18"/>
              </w:rPr>
              <w:t>mg/L</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HCA-10</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标准 </w:t>
            </w:r>
            <w:r>
              <w:rPr>
                <w:rFonts w:ascii="Times New Roman" w:eastAsia="Times New Roman" w:hAnsi="Times New Roman" w:cs="Times New Roman"/>
                <w:color w:val="000000"/>
                <w:spacing w:val="0"/>
                <w:w w:val="100"/>
                <w:position w:val="0"/>
                <w:sz w:val="18"/>
                <w:szCs w:val="18"/>
              </w:rPr>
              <w:t>COD</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瞬时样</w:t>
            </w:r>
          </w:p>
        </w:tc>
      </w:tr>
    </w:tbl>
    <w:p>
      <w:pPr>
        <w:widowControl w:val="0"/>
        <w:spacing w:line="1" w:lineRule="exact"/>
      </w:pPr>
      <w:r>
        <w:br w:type="page"/>
      </w:r>
    </w:p>
    <w:tbl>
      <w:tblPr>
        <w:tblOverlap w:val="never"/>
        <w:jc w:val="center"/>
        <w:tblLayout w:type="fixed"/>
      </w:tblPr>
      <w:tblGrid>
        <w:gridCol w:w="739"/>
        <w:gridCol w:w="874"/>
        <w:gridCol w:w="1325"/>
        <w:gridCol w:w="2822"/>
        <w:gridCol w:w="1008"/>
        <w:gridCol w:w="1579"/>
        <w:gridCol w:w="1330"/>
      </w:tblGrid>
      <w:tr>
        <w:trPr>
          <w:trHeight w:val="39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量</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表水和污水监测 技术规范</w:t>
            </w:r>
          </w:p>
          <w:p>
            <w:pPr>
              <w:pStyle w:val="Style18"/>
              <w:keepNext w:val="0"/>
              <w:keepLines w:val="0"/>
              <w:widowControl w:val="0"/>
              <w:shd w:val="clear" w:color="auto" w:fill="auto"/>
              <w:bidi w:val="0"/>
              <w:spacing w:before="0" w:after="38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HJ 493-2009 </w:t>
            </w:r>
            <w:r>
              <w:rPr>
                <w:color w:val="000000"/>
                <w:spacing w:val="0"/>
                <w:w w:val="100"/>
                <w:position w:val="0"/>
              </w:rPr>
              <w:t>水 质样品的保存 和管理技术规定</w:t>
            </w:r>
          </w:p>
          <w:p>
            <w:pPr>
              <w:pStyle w:val="Style18"/>
              <w:keepNext w:val="0"/>
              <w:keepLines w:val="0"/>
              <w:widowControl w:val="0"/>
              <w:shd w:val="clear" w:color="auto" w:fill="auto"/>
              <w:bidi w:val="0"/>
              <w:spacing w:before="0" w:after="38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HJ 494-2009 </w:t>
            </w:r>
            <w:r>
              <w:rPr>
                <w:color w:val="000000"/>
                <w:spacing w:val="0"/>
                <w:w w:val="100"/>
                <w:position w:val="0"/>
              </w:rPr>
              <w:t>水 质采样技术指 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定重格酸盐法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消解器</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氨氮</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HJ 535-2009</w:t>
            </w:r>
            <w:r>
              <w:rPr>
                <w:color w:val="000000"/>
                <w:spacing w:val="0"/>
                <w:w w:val="100"/>
                <w:position w:val="0"/>
              </w:rPr>
              <w:t>水质氨氮的测定纳氏 试剂分光光度法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 mg/L</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岛津</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紫外分光</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光度计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瞬时样</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悬浮物</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GB 11901-1989</w:t>
            </w:r>
            <w:r>
              <w:rPr>
                <w:color w:val="000000"/>
                <w:spacing w:val="0"/>
                <w:w w:val="100"/>
                <w:position w:val="0"/>
              </w:rPr>
              <w:t>水质 悬浮物的测定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重量法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AL204</w:t>
            </w:r>
            <w:r>
              <w:rPr>
                <w:color w:val="000000"/>
                <w:spacing w:val="0"/>
                <w:w w:val="100"/>
                <w:position w:val="0"/>
              </w:rPr>
              <w:t>型分析天平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瞬时样</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五日生化</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需氧量</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HJ </w:t>
            </w:r>
            <w:r>
              <w:rPr>
                <w:rFonts w:ascii="Times New Roman" w:eastAsia="Times New Roman" w:hAnsi="Times New Roman" w:cs="Times New Roman"/>
                <w:color w:val="000000"/>
                <w:spacing w:val="0"/>
                <w:w w:val="100"/>
                <w:position w:val="0"/>
                <w:sz w:val="18"/>
                <w:szCs w:val="18"/>
              </w:rPr>
              <w:t xml:space="preserve">505-2009 </w:t>
            </w:r>
            <w:r>
              <w:rPr>
                <w:color w:val="000000"/>
                <w:spacing w:val="0"/>
                <w:w w:val="100"/>
                <w:position w:val="0"/>
              </w:rPr>
              <w:t>水质 五日生化需氧量 的测定稀释与接种法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 mg/L</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Orion 3-Star </w:t>
            </w:r>
            <w:r>
              <w:rPr>
                <w:color w:val="000000"/>
                <w:spacing w:val="0"/>
                <w:w w:val="100"/>
                <w:position w:val="0"/>
              </w:rPr>
              <w:t>溶解氧 测量仪</w:t>
            </w:r>
            <w:r>
              <w:rPr>
                <w:rFonts w:ascii="Times New Roman" w:eastAsia="Times New Roman" w:hAnsi="Times New Roman" w:cs="Times New Roman"/>
                <w:color w:val="000000"/>
                <w:spacing w:val="0"/>
                <w:w w:val="100"/>
                <w:position w:val="0"/>
                <w:sz w:val="18"/>
                <w:szCs w:val="18"/>
              </w:rPr>
              <w:t>MJP</w:t>
            </w:r>
            <w:r>
              <w:rPr>
                <w:color w:val="000000"/>
                <w:spacing w:val="0"/>
                <w:w w:val="100"/>
                <w:position w:val="0"/>
              </w:rPr>
              <w:t>培养箱</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瞬时样</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GB 6920-1986</w:t>
            </w:r>
            <w:r>
              <w:rPr>
                <w:color w:val="000000"/>
                <w:spacing w:val="0"/>
                <w:w w:val="100"/>
                <w:position w:val="0"/>
              </w:rPr>
              <w:t>水质</w:t>
            </w:r>
            <w:r>
              <w:rPr>
                <w:rFonts w:ascii="Times New Roman" w:eastAsia="Times New Roman" w:hAnsi="Times New Roman" w:cs="Times New Roman"/>
                <w:color w:val="000000"/>
                <w:spacing w:val="0"/>
                <w:w w:val="100"/>
                <w:position w:val="0"/>
                <w:sz w:val="18"/>
                <w:szCs w:val="18"/>
              </w:rPr>
              <w:t>PH</w:t>
            </w:r>
            <w:r>
              <w:rPr>
                <w:color w:val="000000"/>
                <w:spacing w:val="0"/>
                <w:w w:val="100"/>
                <w:position w:val="0"/>
              </w:rPr>
              <w:t>值的测定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玻璃电极法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PHS-3C </w:t>
            </w:r>
            <w:r>
              <w:rPr>
                <w:color w:val="000000"/>
                <w:spacing w:val="0"/>
                <w:w w:val="100"/>
                <w:position w:val="0"/>
              </w:rPr>
              <w:t xml:space="preserve">型 </w:t>
            </w:r>
            <w:r>
              <w:rPr>
                <w:rFonts w:ascii="Times New Roman" w:eastAsia="Times New Roman" w:hAnsi="Times New Roman" w:cs="Times New Roman"/>
                <w:color w:val="000000"/>
                <w:spacing w:val="0"/>
                <w:w w:val="100"/>
                <w:position w:val="0"/>
                <w:sz w:val="18"/>
                <w:szCs w:val="18"/>
              </w:rPr>
              <w:t xml:space="preserve">pH </w:t>
            </w:r>
            <w:r>
              <w:rPr>
                <w:color w:val="000000"/>
                <w:spacing w:val="0"/>
                <w:w w:val="100"/>
                <w:position w:val="0"/>
              </w:rPr>
              <w:t>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瞬时样</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总氮</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HJ 636-2012</w:t>
            </w:r>
            <w:r>
              <w:rPr>
                <w:color w:val="000000"/>
                <w:spacing w:val="0"/>
                <w:w w:val="100"/>
                <w:position w:val="0"/>
              </w:rPr>
              <w:t>水质总氮的测定碱性 过硫酸钾消解紫外分光光度法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 mg/L</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360" w:line="331" w:lineRule="exact"/>
              <w:ind w:left="0" w:right="0" w:firstLine="0"/>
              <w:jc w:val="both"/>
            </w:pPr>
            <w:r>
              <w:rPr>
                <w:color w:val="000000"/>
                <w:spacing w:val="0"/>
                <w:w w:val="100"/>
                <w:position w:val="0"/>
              </w:rPr>
              <w:t>岛津</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紫外分光 光度计</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YXQ-LS-505II </w:t>
            </w:r>
            <w:r>
              <w:rPr>
                <w:color w:val="000000"/>
                <w:spacing w:val="0"/>
                <w:w w:val="100"/>
                <w:position w:val="0"/>
              </w:rPr>
              <w:t>高压 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瞬时样</w:t>
            </w:r>
          </w:p>
        </w:tc>
      </w:tr>
      <w:tr>
        <w:trPr>
          <w:trHeight w:val="10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总磷</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GB 11893-1989</w:t>
            </w:r>
            <w:r>
              <w:rPr>
                <w:color w:val="000000"/>
                <w:spacing w:val="0"/>
                <w:w w:val="100"/>
                <w:position w:val="0"/>
              </w:rPr>
              <w:t>水质总磷的测定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钼酸铵分光光度法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 mg/L</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瞬时样</w:t>
            </w:r>
          </w:p>
        </w:tc>
      </w:tr>
      <w:tr>
        <w:trPr>
          <w:trHeight w:val="7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厂界噪 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连续等效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声级</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GB 12348-2008</w:t>
            </w:r>
            <w:r>
              <w:rPr>
                <w:color w:val="000000"/>
                <w:spacing w:val="0"/>
                <w:w w:val="100"/>
                <w:position w:val="0"/>
              </w:rPr>
              <w:t>工业企业厂界环境 噪声排放标准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爱华</w:t>
            </w:r>
            <w:r>
              <w:rPr>
                <w:rFonts w:ascii="Times New Roman" w:eastAsia="Times New Roman" w:hAnsi="Times New Roman" w:cs="Times New Roman"/>
                <w:color w:val="000000"/>
                <w:spacing w:val="0"/>
                <w:w w:val="100"/>
                <w:position w:val="0"/>
                <w:sz w:val="18"/>
                <w:szCs w:val="18"/>
              </w:rPr>
              <w:t>AWA6228</w:t>
            </w:r>
            <w:r>
              <w:rPr>
                <w:color w:val="000000"/>
                <w:spacing w:val="0"/>
                <w:w w:val="100"/>
                <w:position w:val="0"/>
              </w:rPr>
              <w:t>多功 能声级计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报告期内因环境问题受到行政处罚的情况</w:t>
      </w:r>
    </w:p>
    <w:p>
      <w:pPr>
        <w:widowControl w:val="0"/>
        <w:spacing w:after="79" w:line="1" w:lineRule="exact"/>
      </w:pPr>
    </w:p>
    <w:p>
      <w:pPr>
        <w:widowControl w:val="0"/>
        <w:spacing w:line="1" w:lineRule="exact"/>
      </w:pP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公司的整改措施</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北京中科彩技术有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其他应当公开的环境信息</w:t>
      </w:r>
    </w:p>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年，北京中科彩共生产</w:t>
      </w:r>
      <w:r>
        <w:rPr>
          <w:rFonts w:ascii="Times New Roman" w:eastAsia="Times New Roman" w:hAnsi="Times New Roman" w:cs="Times New Roman"/>
          <w:color w:val="000000"/>
          <w:spacing w:val="0"/>
          <w:w w:val="100"/>
          <w:position w:val="0"/>
        </w:rPr>
        <w:t>264</w:t>
      </w:r>
      <w:r>
        <w:rPr>
          <w:color w:val="000000"/>
          <w:spacing w:val="0"/>
          <w:w w:val="100"/>
          <w:position w:val="0"/>
        </w:rPr>
        <w:t>天，开展环境监测</w:t>
      </w:r>
      <w:r>
        <w:rPr>
          <w:rFonts w:ascii="Times New Roman" w:eastAsia="Times New Roman" w:hAnsi="Times New Roman" w:cs="Times New Roman"/>
          <w:color w:val="000000"/>
          <w:spacing w:val="0"/>
          <w:w w:val="100"/>
          <w:position w:val="0"/>
        </w:rPr>
        <w:t>264</w:t>
      </w:r>
      <w:r>
        <w:rPr>
          <w:color w:val="000000"/>
          <w:spacing w:val="0"/>
          <w:w w:val="100"/>
          <w:position w:val="0"/>
        </w:rPr>
        <w:t>天，其中，对企业</w:t>
      </w:r>
      <w:r>
        <w:rPr>
          <w:rFonts w:ascii="Times New Roman" w:eastAsia="Times New Roman" w:hAnsi="Times New Roman" w:cs="Times New Roman"/>
          <w:color w:val="000000"/>
          <w:spacing w:val="0"/>
          <w:w w:val="100"/>
          <w:position w:val="0"/>
        </w:rPr>
        <w:t>10</w:t>
      </w:r>
      <w:r>
        <w:rPr>
          <w:color w:val="000000"/>
          <w:spacing w:val="0"/>
          <w:w w:val="100"/>
          <w:position w:val="0"/>
        </w:rPr>
        <w:t>个废气监测点开展</w:t>
      </w:r>
      <w:r>
        <w:rPr>
          <w:rFonts w:ascii="Times New Roman" w:eastAsia="Times New Roman" w:hAnsi="Times New Roman" w:cs="Times New Roman"/>
          <w:color w:val="000000"/>
          <w:spacing w:val="0"/>
          <w:w w:val="100"/>
          <w:position w:val="0"/>
        </w:rPr>
        <w:t>10</w:t>
      </w:r>
      <w:r>
        <w:rPr>
          <w:color w:val="000000"/>
          <w:spacing w:val="0"/>
          <w:w w:val="100"/>
          <w:position w:val="0"/>
        </w:rPr>
        <w:t>次</w:t>
      </w:r>
    </w:p>
    <w:p>
      <w:pPr>
        <w:pStyle w:val="Style10"/>
        <w:keepNext w:val="0"/>
        <w:keepLines w:val="0"/>
        <w:widowControl w:val="0"/>
        <w:shd w:val="clear" w:color="auto" w:fill="auto"/>
        <w:bidi w:val="0"/>
        <w:spacing w:before="0" w:after="0" w:line="463" w:lineRule="exact"/>
        <w:ind w:left="0" w:right="0" w:firstLine="0"/>
        <w:jc w:val="left"/>
      </w:pPr>
      <w:r>
        <w:rPr>
          <w:color w:val="000000"/>
          <w:spacing w:val="0"/>
          <w:w w:val="100"/>
          <w:position w:val="0"/>
        </w:rPr>
        <w:t>监测，对</w:t>
      </w:r>
      <w:r>
        <w:rPr>
          <w:rFonts w:ascii="Times New Roman" w:eastAsia="Times New Roman" w:hAnsi="Times New Roman" w:cs="Times New Roman"/>
          <w:color w:val="000000"/>
          <w:spacing w:val="0"/>
          <w:w w:val="100"/>
          <w:position w:val="0"/>
        </w:rPr>
        <w:t>1</w:t>
      </w:r>
      <w:r>
        <w:rPr>
          <w:color w:val="000000"/>
          <w:spacing w:val="0"/>
          <w:w w:val="100"/>
          <w:position w:val="0"/>
        </w:rPr>
        <w:t>个废水监测点开展</w:t>
      </w:r>
      <w:r>
        <w:rPr>
          <w:rFonts w:ascii="Times New Roman" w:eastAsia="Times New Roman" w:hAnsi="Times New Roman" w:cs="Times New Roman"/>
          <w:color w:val="000000"/>
          <w:spacing w:val="0"/>
          <w:w w:val="100"/>
          <w:position w:val="0"/>
        </w:rPr>
        <w:t>264</w:t>
      </w:r>
      <w:r>
        <w:rPr>
          <w:color w:val="000000"/>
          <w:spacing w:val="0"/>
          <w:w w:val="100"/>
          <w:position w:val="0"/>
        </w:rPr>
        <w:t>次监测，对</w:t>
      </w:r>
      <w:r>
        <w:rPr>
          <w:rFonts w:ascii="Times New Roman" w:eastAsia="Times New Roman" w:hAnsi="Times New Roman" w:cs="Times New Roman"/>
          <w:color w:val="000000"/>
          <w:spacing w:val="0"/>
          <w:w w:val="100"/>
          <w:position w:val="0"/>
        </w:rPr>
        <w:t>4</w:t>
      </w:r>
      <w:r>
        <w:rPr>
          <w:color w:val="000000"/>
          <w:spacing w:val="0"/>
          <w:w w:val="100"/>
          <w:position w:val="0"/>
        </w:rPr>
        <w:t>个噪声监测点开展</w:t>
      </w:r>
      <w:r>
        <w:rPr>
          <w:rFonts w:ascii="Times New Roman" w:eastAsia="Times New Roman" w:hAnsi="Times New Roman" w:cs="Times New Roman"/>
          <w:color w:val="000000"/>
          <w:spacing w:val="0"/>
          <w:w w:val="100"/>
          <w:position w:val="0"/>
        </w:rPr>
        <w:t>4</w:t>
      </w:r>
      <w:r>
        <w:rPr>
          <w:color w:val="000000"/>
          <w:spacing w:val="0"/>
          <w:w w:val="100"/>
          <w:position w:val="0"/>
        </w:rPr>
        <w:t>次监测。</w:t>
      </w:r>
    </w:p>
    <w:p>
      <w:pPr>
        <w:pStyle w:val="Style10"/>
        <w:keepNext w:val="0"/>
        <w:keepLines w:val="0"/>
        <w:widowControl w:val="0"/>
        <w:shd w:val="clear" w:color="auto" w:fill="auto"/>
        <w:bidi w:val="0"/>
        <w:spacing w:before="0" w:after="0" w:line="463" w:lineRule="exact"/>
        <w:ind w:left="0" w:right="0" w:firstLine="44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.全年废气污染物排放量</w:t>
      </w:r>
    </w:p>
    <w:p>
      <w:pPr>
        <w:pStyle w:val="Style10"/>
        <w:keepNext w:val="0"/>
        <w:keepLines w:val="0"/>
        <w:widowControl w:val="0"/>
        <w:shd w:val="clear" w:color="auto" w:fill="auto"/>
        <w:bidi w:val="0"/>
        <w:spacing w:before="0" w:after="0" w:line="461" w:lineRule="exact"/>
        <w:ind w:left="0" w:right="0" w:firstLine="440"/>
        <w:jc w:val="left"/>
      </w:pPr>
      <w:r>
        <w:rPr>
          <w:color w:val="000000"/>
          <w:spacing w:val="0"/>
          <w:w w:val="100"/>
          <w:position w:val="0"/>
        </w:rPr>
        <w:t>全年废气污染物排放量</w:t>
      </w:r>
      <w:r>
        <w:rPr>
          <w:rFonts w:ascii="Times New Roman" w:eastAsia="Times New Roman" w:hAnsi="Times New Roman" w:cs="Times New Roman"/>
          <w:color w:val="000000"/>
          <w:spacing w:val="0"/>
          <w:w w:val="100"/>
          <w:position w:val="0"/>
        </w:rPr>
        <w:t>0.600</w:t>
      </w:r>
      <w:r>
        <w:rPr>
          <w:color w:val="000000"/>
          <w:spacing w:val="0"/>
          <w:w w:val="100"/>
          <w:position w:val="0"/>
        </w:rPr>
        <w:t>吨，其中二氧化硫</w:t>
      </w:r>
      <w:r>
        <w:rPr>
          <w:rFonts w:ascii="Times New Roman" w:eastAsia="Times New Roman" w:hAnsi="Times New Roman" w:cs="Times New Roman"/>
          <w:color w:val="000000"/>
          <w:spacing w:val="0"/>
          <w:w w:val="100"/>
          <w:position w:val="0"/>
        </w:rPr>
        <w:t>0.155</w:t>
      </w:r>
      <w:r>
        <w:rPr>
          <w:color w:val="000000"/>
          <w:spacing w:val="0"/>
          <w:w w:val="100"/>
          <w:position w:val="0"/>
        </w:rPr>
        <w:t>吨、氮氧化物</w:t>
      </w:r>
      <w:r>
        <w:rPr>
          <w:rFonts w:ascii="Times New Roman" w:eastAsia="Times New Roman" w:hAnsi="Times New Roman" w:cs="Times New Roman"/>
          <w:color w:val="000000"/>
          <w:spacing w:val="0"/>
          <w:w w:val="100"/>
          <w:position w:val="0"/>
        </w:rPr>
        <w:t>0.179</w:t>
      </w:r>
      <w:r>
        <w:rPr>
          <w:color w:val="000000"/>
          <w:spacing w:val="0"/>
          <w:w w:val="100"/>
          <w:position w:val="0"/>
        </w:rPr>
        <w:t>吨、苯</w:t>
      </w:r>
      <w:r>
        <w:rPr>
          <w:rFonts w:ascii="Times New Roman" w:eastAsia="Times New Roman" w:hAnsi="Times New Roman" w:cs="Times New Roman"/>
          <w:color w:val="000000"/>
          <w:spacing w:val="0"/>
          <w:w w:val="100"/>
          <w:position w:val="0"/>
        </w:rPr>
        <w:t>0.018</w:t>
      </w:r>
      <w:r>
        <w:rPr>
          <w:color w:val="000000"/>
          <w:spacing w:val="0"/>
          <w:w w:val="100"/>
          <w:position w:val="0"/>
        </w:rPr>
        <w:t>吨、甲苯二甲 苯合计</w:t>
      </w:r>
      <w:r>
        <w:rPr>
          <w:rFonts w:ascii="Times New Roman" w:eastAsia="Times New Roman" w:hAnsi="Times New Roman" w:cs="Times New Roman"/>
          <w:color w:val="000000"/>
          <w:spacing w:val="0"/>
          <w:w w:val="100"/>
          <w:position w:val="0"/>
        </w:rPr>
        <w:t>0.045</w:t>
      </w:r>
      <w:r>
        <w:rPr>
          <w:color w:val="000000"/>
          <w:spacing w:val="0"/>
          <w:w w:val="100"/>
          <w:position w:val="0"/>
        </w:rPr>
        <w:t>吨、非甲烷总烃</w:t>
      </w:r>
      <w:r>
        <w:rPr>
          <w:rFonts w:ascii="Times New Roman" w:eastAsia="Times New Roman" w:hAnsi="Times New Roman" w:cs="Times New Roman"/>
          <w:color w:val="000000"/>
          <w:spacing w:val="0"/>
          <w:w w:val="100"/>
          <w:position w:val="0"/>
        </w:rPr>
        <w:t>0.203</w:t>
      </w:r>
      <w:r>
        <w:rPr>
          <w:color w:val="000000"/>
          <w:spacing w:val="0"/>
          <w:w w:val="100"/>
          <w:position w:val="0"/>
        </w:rPr>
        <w:t>吨。</w:t>
      </w:r>
    </w:p>
    <w:p>
      <w:pPr>
        <w:pStyle w:val="Style10"/>
        <w:keepNext w:val="0"/>
        <w:keepLines w:val="0"/>
        <w:widowControl w:val="0"/>
        <w:numPr>
          <w:ilvl w:val="0"/>
          <w:numId w:val="15"/>
        </w:numPr>
        <w:shd w:val="clear" w:color="auto" w:fill="auto"/>
        <w:tabs>
          <w:tab w:pos="798" w:val="left"/>
        </w:tabs>
        <w:bidi w:val="0"/>
        <w:spacing w:before="0" w:after="0" w:line="463" w:lineRule="exact"/>
        <w:ind w:left="0" w:right="0" w:firstLine="440"/>
        <w:jc w:val="left"/>
      </w:pPr>
      <w:bookmarkStart w:id="392" w:name="bookmark392"/>
      <w:bookmarkEnd w:id="392"/>
      <w:r>
        <w:rPr>
          <w:color w:val="000000"/>
          <w:spacing w:val="0"/>
          <w:w w:val="100"/>
          <w:position w:val="0"/>
        </w:rPr>
        <w:t>全年废水污染物排放量</w:t>
      </w:r>
    </w:p>
    <w:p>
      <w:pPr>
        <w:pStyle w:val="Style1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按照各项排放指标年平均检测浓度和全年废水排放量</w:t>
      </w:r>
      <w:r>
        <w:rPr>
          <w:rFonts w:ascii="Times New Roman" w:eastAsia="Times New Roman" w:hAnsi="Times New Roman" w:cs="Times New Roman"/>
          <w:color w:val="000000"/>
          <w:spacing w:val="0"/>
          <w:w w:val="100"/>
          <w:position w:val="0"/>
        </w:rPr>
        <w:t>1854</w:t>
      </w:r>
      <w:r>
        <w:rPr>
          <w:color w:val="000000"/>
          <w:spacing w:val="0"/>
          <w:w w:val="100"/>
          <w:position w:val="0"/>
        </w:rPr>
        <w:t>吨计算，全年废水污染物排放量</w:t>
      </w:r>
      <w:r>
        <w:rPr>
          <w:rFonts w:ascii="Times New Roman" w:eastAsia="Times New Roman" w:hAnsi="Times New Roman" w:cs="Times New Roman"/>
          <w:color w:val="000000"/>
          <w:spacing w:val="0"/>
          <w:w w:val="100"/>
          <w:position w:val="0"/>
        </w:rPr>
        <w:t>0.280</w:t>
      </w:r>
      <w:r>
        <w:rPr>
          <w:color w:val="000000"/>
          <w:spacing w:val="0"/>
          <w:w w:val="100"/>
          <w:position w:val="0"/>
        </w:rPr>
        <w:t>吨， 其中化学需氧量</w:t>
      </w:r>
      <w:r>
        <w:rPr>
          <w:rFonts w:ascii="Times New Roman" w:eastAsia="Times New Roman" w:hAnsi="Times New Roman" w:cs="Times New Roman"/>
          <w:color w:val="000000"/>
          <w:spacing w:val="0"/>
          <w:w w:val="100"/>
          <w:position w:val="0"/>
        </w:rPr>
        <w:t>0.120</w:t>
      </w:r>
      <w:r>
        <w:rPr>
          <w:color w:val="000000"/>
          <w:spacing w:val="0"/>
          <w:w w:val="100"/>
          <w:position w:val="0"/>
        </w:rPr>
        <w:t>吨、氨氮</w:t>
      </w:r>
      <w:r>
        <w:rPr>
          <w:rFonts w:ascii="Times New Roman" w:eastAsia="Times New Roman" w:hAnsi="Times New Roman" w:cs="Times New Roman"/>
          <w:color w:val="000000"/>
          <w:spacing w:val="0"/>
          <w:w w:val="100"/>
          <w:position w:val="0"/>
        </w:rPr>
        <w:t>0.023</w:t>
      </w:r>
      <w:r>
        <w:rPr>
          <w:color w:val="000000"/>
          <w:spacing w:val="0"/>
          <w:w w:val="100"/>
          <w:position w:val="0"/>
        </w:rPr>
        <w:t>吨、悬浮物</w:t>
      </w:r>
      <w:r>
        <w:rPr>
          <w:rFonts w:ascii="Times New Roman" w:eastAsia="Times New Roman" w:hAnsi="Times New Roman" w:cs="Times New Roman"/>
          <w:color w:val="000000"/>
          <w:spacing w:val="0"/>
          <w:w w:val="100"/>
          <w:position w:val="0"/>
        </w:rPr>
        <w:t>0.043</w:t>
      </w:r>
      <w:r>
        <w:rPr>
          <w:color w:val="000000"/>
          <w:spacing w:val="0"/>
          <w:w w:val="100"/>
          <w:position w:val="0"/>
        </w:rPr>
        <w:t>吨、五日生化需氧量</w:t>
      </w:r>
      <w:r>
        <w:rPr>
          <w:rFonts w:ascii="Times New Roman" w:eastAsia="Times New Roman" w:hAnsi="Times New Roman" w:cs="Times New Roman"/>
          <w:color w:val="000000"/>
          <w:spacing w:val="0"/>
          <w:w w:val="100"/>
          <w:position w:val="0"/>
        </w:rPr>
        <w:t>0.034</w:t>
      </w:r>
      <w:r>
        <w:rPr>
          <w:color w:val="000000"/>
          <w:spacing w:val="0"/>
          <w:w w:val="100"/>
          <w:position w:val="0"/>
        </w:rPr>
        <w:t>吨、总氮</w:t>
      </w:r>
      <w:r>
        <w:rPr>
          <w:rFonts w:ascii="Times New Roman" w:eastAsia="Times New Roman" w:hAnsi="Times New Roman" w:cs="Times New Roman"/>
          <w:color w:val="000000"/>
          <w:spacing w:val="0"/>
          <w:w w:val="100"/>
          <w:position w:val="0"/>
        </w:rPr>
        <w:t>0.053</w:t>
      </w:r>
      <w:r>
        <w:rPr>
          <w:color w:val="000000"/>
          <w:spacing w:val="0"/>
          <w:w w:val="100"/>
          <w:position w:val="0"/>
        </w:rPr>
        <w:t>吨、总 磷</w:t>
      </w:r>
      <w:r>
        <w:rPr>
          <w:rFonts w:ascii="Times New Roman" w:eastAsia="Times New Roman" w:hAnsi="Times New Roman" w:cs="Times New Roman"/>
          <w:color w:val="000000"/>
          <w:spacing w:val="0"/>
          <w:w w:val="100"/>
          <w:position w:val="0"/>
        </w:rPr>
        <w:t>0.007</w:t>
      </w:r>
      <w:r>
        <w:rPr>
          <w:color w:val="000000"/>
          <w:spacing w:val="0"/>
          <w:w w:val="100"/>
          <w:position w:val="0"/>
        </w:rPr>
        <w:t>吨。</w:t>
      </w:r>
    </w:p>
    <w:p>
      <w:pPr>
        <w:pStyle w:val="Style10"/>
        <w:keepNext w:val="0"/>
        <w:keepLines w:val="0"/>
        <w:widowControl w:val="0"/>
        <w:numPr>
          <w:ilvl w:val="0"/>
          <w:numId w:val="15"/>
        </w:numPr>
        <w:shd w:val="clear" w:color="auto" w:fill="auto"/>
        <w:tabs>
          <w:tab w:pos="798" w:val="left"/>
        </w:tabs>
        <w:bidi w:val="0"/>
        <w:spacing w:before="0" w:after="0" w:line="463" w:lineRule="exact"/>
        <w:ind w:left="0" w:right="0" w:firstLine="440"/>
        <w:jc w:val="left"/>
      </w:pPr>
      <w:bookmarkStart w:id="393" w:name="bookmark393"/>
      <w:bookmarkEnd w:id="393"/>
      <w:r>
        <w:rPr>
          <w:color w:val="000000"/>
          <w:spacing w:val="0"/>
          <w:w w:val="100"/>
          <w:position w:val="0"/>
        </w:rPr>
        <w:t>固体废弃物的类型、产生数量，处置方式、数量以及去向</w:t>
      </w:r>
    </w:p>
    <w:p>
      <w:pPr>
        <w:pStyle w:val="Style10"/>
        <w:keepNext w:val="0"/>
        <w:keepLines w:val="0"/>
        <w:widowControl w:val="0"/>
        <w:shd w:val="clear" w:color="auto" w:fill="auto"/>
        <w:bidi w:val="0"/>
        <w:spacing w:before="0" w:after="280" w:line="461" w:lineRule="exact"/>
        <w:ind w:left="0" w:right="0" w:firstLine="440"/>
        <w:jc w:val="both"/>
      </w:pPr>
      <w:r>
        <w:rPr>
          <w:color w:val="000000"/>
          <w:spacing w:val="0"/>
          <w:w w:val="100"/>
          <w:position w:val="0"/>
        </w:rPr>
        <w:t>固体废弃物中一般工业固体废物</w:t>
      </w:r>
      <w:r>
        <w:rPr>
          <w:rFonts w:ascii="Times New Roman" w:eastAsia="Times New Roman" w:hAnsi="Times New Roman" w:cs="Times New Roman"/>
          <w:color w:val="000000"/>
          <w:spacing w:val="0"/>
          <w:w w:val="100"/>
          <w:position w:val="0"/>
        </w:rPr>
        <w:t>527.0155</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含碎票纸边</w:t>
      </w:r>
      <w:r>
        <w:rPr>
          <w:rFonts w:ascii="Times New Roman" w:eastAsia="Times New Roman" w:hAnsi="Times New Roman" w:cs="Times New Roman"/>
          <w:color w:val="000000"/>
          <w:spacing w:val="0"/>
          <w:w w:val="100"/>
          <w:position w:val="0"/>
        </w:rPr>
        <w:t>384.400</w:t>
      </w:r>
      <w:r>
        <w:rPr>
          <w:color w:val="000000"/>
          <w:spacing w:val="0"/>
          <w:w w:val="100"/>
          <w:position w:val="0"/>
        </w:rPr>
        <w:t>吨，纸质包装物</w:t>
      </w:r>
      <w:r>
        <w:rPr>
          <w:rFonts w:ascii="Times New Roman" w:eastAsia="Times New Roman" w:hAnsi="Times New Roman" w:cs="Times New Roman"/>
          <w:color w:val="000000"/>
          <w:spacing w:val="0"/>
          <w:w w:val="100"/>
          <w:position w:val="0"/>
        </w:rPr>
        <w:t>79.8865</w:t>
      </w:r>
      <w:r>
        <w:rPr>
          <w:color w:val="000000"/>
          <w:spacing w:val="0"/>
          <w:w w:val="100"/>
          <w:position w:val="0"/>
        </w:rPr>
        <w:t>吨、金属包 装物</w:t>
      </w:r>
      <w:r>
        <w:rPr>
          <w:rFonts w:ascii="Times New Roman" w:eastAsia="Times New Roman" w:hAnsi="Times New Roman" w:cs="Times New Roman"/>
          <w:color w:val="000000"/>
          <w:spacing w:val="0"/>
          <w:w w:val="100"/>
          <w:position w:val="0"/>
        </w:rPr>
        <w:t>19.460</w:t>
      </w:r>
      <w:r>
        <w:rPr>
          <w:color w:val="000000"/>
          <w:spacing w:val="0"/>
          <w:w w:val="100"/>
          <w:position w:val="0"/>
        </w:rPr>
        <w:t>吨、塑料包装物</w:t>
      </w:r>
      <w:r>
        <w:rPr>
          <w:rFonts w:ascii="Times New Roman" w:eastAsia="Times New Roman" w:hAnsi="Times New Roman" w:cs="Times New Roman"/>
          <w:color w:val="000000"/>
          <w:spacing w:val="0"/>
          <w:w w:val="100"/>
          <w:position w:val="0"/>
        </w:rPr>
        <w:t>5.929</w:t>
      </w:r>
      <w:r>
        <w:rPr>
          <w:color w:val="000000"/>
          <w:spacing w:val="0"/>
          <w:w w:val="100"/>
          <w:position w:val="0"/>
        </w:rPr>
        <w:t>吨、木托盘</w:t>
      </w:r>
      <w:r>
        <w:rPr>
          <w:rFonts w:ascii="Times New Roman" w:eastAsia="Times New Roman" w:hAnsi="Times New Roman" w:cs="Times New Roman"/>
          <w:color w:val="000000"/>
          <w:spacing w:val="0"/>
          <w:w w:val="100"/>
          <w:position w:val="0"/>
        </w:rPr>
        <w:t>37.260</w:t>
      </w:r>
      <w:r>
        <w:rPr>
          <w:color w:val="000000"/>
          <w:spacing w:val="0"/>
          <w:w w:val="100"/>
          <w:position w:val="0"/>
        </w:rPr>
        <w:t>吨、废铁</w:t>
      </w:r>
      <w:r>
        <w:rPr>
          <w:rFonts w:ascii="Times New Roman" w:eastAsia="Times New Roman" w:hAnsi="Times New Roman" w:cs="Times New Roman"/>
          <w:color w:val="000000"/>
          <w:spacing w:val="0"/>
          <w:w w:val="100"/>
          <w:position w:val="0"/>
        </w:rPr>
        <w:t>80</w:t>
      </w:r>
      <w:r>
        <w:rPr>
          <w:color w:val="000000"/>
          <w:spacing w:val="0"/>
          <w:w w:val="100"/>
          <w:position w:val="0"/>
        </w:rPr>
        <w:t>公斤</w:t>
      </w:r>
      <w:r>
        <w:rPr>
          <w:rFonts w:ascii="Times New Roman" w:eastAsia="Times New Roman" w:hAnsi="Times New Roman" w:cs="Times New Roman"/>
          <w:color w:val="000000"/>
          <w:spacing w:val="0"/>
          <w:w w:val="100"/>
          <w:position w:val="0"/>
        </w:rPr>
        <w:t>）</w:t>
      </w:r>
      <w:r>
        <w:rPr>
          <w:color w:val="000000"/>
          <w:spacing w:val="0"/>
          <w:w w:val="100"/>
          <w:position w:val="0"/>
        </w:rPr>
        <w:t xml:space="preserve">，全部交由北京超宝顺通物资回收 </w:t>
      </w:r>
      <w:r>
        <w:rPr>
          <w:color w:val="000000"/>
          <w:spacing w:val="0"/>
          <w:w w:val="100"/>
          <w:position w:val="0"/>
        </w:rPr>
        <w:t>有限公司综合利用；危险废弃物共</w:t>
      </w:r>
      <w:r>
        <w:rPr>
          <w:rFonts w:ascii="Times New Roman" w:eastAsia="Times New Roman" w:hAnsi="Times New Roman" w:cs="Times New Roman"/>
          <w:color w:val="000000"/>
          <w:spacing w:val="0"/>
          <w:w w:val="100"/>
          <w:position w:val="0"/>
        </w:rPr>
        <w:t>40.364</w:t>
      </w:r>
      <w:r>
        <w:rPr>
          <w:color w:val="000000"/>
          <w:spacing w:val="0"/>
          <w:w w:val="100"/>
          <w:position w:val="0"/>
        </w:rPr>
        <w:t>吨，其中</w:t>
      </w:r>
      <w:r>
        <w:rPr>
          <w:rFonts w:ascii="Times New Roman" w:eastAsia="Times New Roman" w:hAnsi="Times New Roman" w:cs="Times New Roman"/>
          <w:color w:val="000000"/>
          <w:spacing w:val="0"/>
          <w:w w:val="100"/>
          <w:position w:val="0"/>
        </w:rPr>
        <w:t>HW12</w:t>
      </w:r>
      <w:r>
        <w:rPr>
          <w:color w:val="000000"/>
          <w:spacing w:val="0"/>
          <w:w w:val="100"/>
          <w:position w:val="0"/>
        </w:rPr>
        <w:t>类染料、涂料废物</w:t>
      </w:r>
      <w:r>
        <w:rPr>
          <w:rFonts w:ascii="Times New Roman" w:eastAsia="Times New Roman" w:hAnsi="Times New Roman" w:cs="Times New Roman"/>
          <w:color w:val="000000"/>
          <w:spacing w:val="0"/>
          <w:w w:val="100"/>
          <w:position w:val="0"/>
        </w:rPr>
        <w:t>19.15</w:t>
      </w:r>
      <w:r>
        <w:rPr>
          <w:color w:val="000000"/>
          <w:spacing w:val="0"/>
          <w:w w:val="100"/>
          <w:position w:val="0"/>
        </w:rPr>
        <w:t>吨，</w:t>
      </w:r>
      <w:r>
        <w:rPr>
          <w:rFonts w:ascii="Times New Roman" w:eastAsia="Times New Roman" w:hAnsi="Times New Roman" w:cs="Times New Roman"/>
          <w:color w:val="000000"/>
          <w:spacing w:val="0"/>
          <w:w w:val="100"/>
          <w:position w:val="0"/>
        </w:rPr>
        <w:t>HW49</w:t>
      </w:r>
      <w:r>
        <w:rPr>
          <w:color w:val="000000"/>
          <w:spacing w:val="0"/>
          <w:w w:val="100"/>
          <w:position w:val="0"/>
        </w:rPr>
        <w:t xml:space="preserve">类其他废物 </w:t>
      </w:r>
      <w:r>
        <w:rPr>
          <w:rFonts w:ascii="Times New Roman" w:eastAsia="Times New Roman" w:hAnsi="Times New Roman" w:cs="Times New Roman"/>
          <w:color w:val="000000"/>
          <w:spacing w:val="0"/>
          <w:w w:val="100"/>
          <w:position w:val="0"/>
        </w:rPr>
        <w:t>11.764</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含废抹布包装</w:t>
      </w:r>
      <w:r>
        <w:rPr>
          <w:rFonts w:ascii="Times New Roman" w:eastAsia="Times New Roman" w:hAnsi="Times New Roman" w:cs="Times New Roman"/>
          <w:color w:val="000000"/>
          <w:spacing w:val="0"/>
          <w:w w:val="100"/>
          <w:position w:val="0"/>
        </w:rPr>
        <w:t>9.504</w:t>
      </w:r>
      <w:r>
        <w:rPr>
          <w:color w:val="000000"/>
          <w:spacing w:val="0"/>
          <w:w w:val="100"/>
          <w:position w:val="0"/>
        </w:rPr>
        <w:t>吨、废活性炭</w:t>
      </w:r>
      <w:r>
        <w:rPr>
          <w:rFonts w:ascii="Times New Roman" w:eastAsia="Times New Roman" w:hAnsi="Times New Roman" w:cs="Times New Roman"/>
          <w:color w:val="000000"/>
          <w:spacing w:val="0"/>
          <w:w w:val="100"/>
          <w:position w:val="0"/>
        </w:rPr>
        <w:t>2.26</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HW08</w:t>
      </w:r>
      <w:r>
        <w:rPr>
          <w:color w:val="000000"/>
          <w:spacing w:val="0"/>
          <w:w w:val="100"/>
          <w:position w:val="0"/>
        </w:rPr>
        <w:t>类废机油</w:t>
      </w:r>
      <w:r>
        <w:rPr>
          <w:rFonts w:ascii="Times New Roman" w:eastAsia="Times New Roman" w:hAnsi="Times New Roman" w:cs="Times New Roman"/>
          <w:color w:val="000000"/>
          <w:spacing w:val="0"/>
          <w:w w:val="100"/>
          <w:position w:val="0"/>
        </w:rPr>
        <w:t>0.37</w:t>
      </w:r>
      <w:r>
        <w:rPr>
          <w:color w:val="000000"/>
          <w:spacing w:val="0"/>
          <w:w w:val="100"/>
          <w:position w:val="0"/>
        </w:rPr>
        <w:t>吨，交由北京红树林环保科技 有限公司进行综合利用；</w:t>
      </w:r>
      <w:r>
        <w:rPr>
          <w:rFonts w:ascii="Times New Roman" w:eastAsia="Times New Roman" w:hAnsi="Times New Roman" w:cs="Times New Roman"/>
          <w:color w:val="000000"/>
          <w:spacing w:val="0"/>
          <w:w w:val="100"/>
          <w:position w:val="0"/>
        </w:rPr>
        <w:t>HW49</w:t>
      </w:r>
      <w:r>
        <w:rPr>
          <w:color w:val="000000"/>
          <w:spacing w:val="0"/>
          <w:w w:val="100"/>
          <w:position w:val="0"/>
        </w:rPr>
        <w:t>类其他废物</w:t>
      </w:r>
      <w:r>
        <w:rPr>
          <w:rFonts w:ascii="Times New Roman" w:eastAsia="Times New Roman" w:hAnsi="Times New Roman" w:cs="Times New Roman"/>
          <w:color w:val="000000"/>
          <w:spacing w:val="0"/>
          <w:w w:val="100"/>
          <w:position w:val="0"/>
        </w:rPr>
        <w:t>0.73</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废油墨桶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HW29</w:t>
      </w:r>
      <w:r>
        <w:rPr>
          <w:color w:val="000000"/>
          <w:spacing w:val="0"/>
          <w:w w:val="100"/>
          <w:position w:val="0"/>
        </w:rPr>
        <w:t>类含汞荧光灯管</w:t>
      </w:r>
      <w:r>
        <w:rPr>
          <w:rFonts w:ascii="Times New Roman" w:eastAsia="Times New Roman" w:hAnsi="Times New Roman" w:cs="Times New Roman"/>
          <w:color w:val="000000"/>
          <w:spacing w:val="0"/>
          <w:w w:val="100"/>
          <w:position w:val="0"/>
        </w:rPr>
        <w:t>0.04</w:t>
      </w:r>
      <w:r>
        <w:rPr>
          <w:color w:val="000000"/>
          <w:spacing w:val="0"/>
          <w:w w:val="100"/>
          <w:position w:val="0"/>
        </w:rPr>
        <w:t>吨、</w:t>
      </w:r>
      <w:r>
        <w:rPr>
          <w:rFonts w:ascii="Times New Roman" w:eastAsia="Times New Roman" w:hAnsi="Times New Roman" w:cs="Times New Roman"/>
          <w:color w:val="000000"/>
          <w:spacing w:val="0"/>
          <w:w w:val="100"/>
          <w:position w:val="0"/>
        </w:rPr>
        <w:t>HW31</w:t>
      </w:r>
      <w:r>
        <w:rPr>
          <w:color w:val="000000"/>
          <w:spacing w:val="0"/>
          <w:w w:val="100"/>
          <w:position w:val="0"/>
        </w:rPr>
        <w:t>类 废铅蓄电池</w:t>
      </w:r>
      <w:r>
        <w:rPr>
          <w:rFonts w:ascii="Times New Roman" w:eastAsia="Times New Roman" w:hAnsi="Times New Roman" w:cs="Times New Roman"/>
          <w:color w:val="000000"/>
          <w:spacing w:val="0"/>
          <w:w w:val="100"/>
          <w:position w:val="0"/>
        </w:rPr>
        <w:t>3.89</w:t>
      </w:r>
      <w:r>
        <w:rPr>
          <w:color w:val="000000"/>
          <w:spacing w:val="0"/>
          <w:w w:val="100"/>
          <w:position w:val="0"/>
        </w:rPr>
        <w:t>吨，交由北京生态岛科技有限责任公司进行综合利用；</w:t>
      </w:r>
      <w:r>
        <w:rPr>
          <w:rFonts w:ascii="Times New Roman" w:eastAsia="Times New Roman" w:hAnsi="Times New Roman" w:cs="Times New Roman"/>
          <w:color w:val="000000"/>
          <w:spacing w:val="0"/>
          <w:w w:val="100"/>
          <w:position w:val="0"/>
        </w:rPr>
        <w:t>HW49</w:t>
      </w:r>
      <w:r>
        <w:rPr>
          <w:color w:val="000000"/>
          <w:spacing w:val="0"/>
          <w:w w:val="100"/>
          <w:position w:val="0"/>
        </w:rPr>
        <w:t>类其他废物</w:t>
      </w:r>
      <w:r>
        <w:rPr>
          <w:rFonts w:ascii="Times New Roman" w:eastAsia="Times New Roman" w:hAnsi="Times New Roman" w:cs="Times New Roman"/>
          <w:color w:val="000000"/>
          <w:spacing w:val="0"/>
          <w:w w:val="100"/>
          <w:position w:val="0"/>
        </w:rPr>
        <w:t>4.42</w:t>
      </w:r>
      <w:r>
        <w:rPr>
          <w:color w:val="000000"/>
          <w:spacing w:val="0"/>
          <w:w w:val="100"/>
          <w:position w:val="0"/>
        </w:rPr>
        <w:t>吨(废抹 布包装)交由北京鑫兴众成环境科技有限责任公司收集转运。</w:t>
      </w:r>
    </w:p>
    <w:p>
      <w:pPr>
        <w:pStyle w:val="Style10"/>
        <w:keepNext w:val="0"/>
        <w:keepLines w:val="0"/>
        <w:widowControl w:val="0"/>
        <w:numPr>
          <w:ilvl w:val="0"/>
          <w:numId w:val="15"/>
        </w:numPr>
        <w:shd w:val="clear" w:color="auto" w:fill="auto"/>
        <w:bidi w:val="0"/>
        <w:spacing w:before="0" w:after="0" w:line="492" w:lineRule="auto"/>
        <w:ind w:left="0" w:right="0" w:firstLine="440"/>
        <w:jc w:val="both"/>
      </w:pPr>
      <w:bookmarkStart w:id="394" w:name="bookmark394"/>
      <w:bookmarkEnd w:id="394"/>
      <w:r>
        <w:rPr>
          <w:color w:val="000000"/>
          <w:spacing w:val="0"/>
          <w:w w:val="100"/>
          <w:position w:val="0"/>
        </w:rPr>
        <w:t>厂界噪声监测结果</w:t>
      </w:r>
    </w:p>
    <w:p>
      <w:pPr>
        <w:pStyle w:val="Style1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全年共监测厂界噪声</w:t>
      </w:r>
      <w:r>
        <w:rPr>
          <w:rFonts w:ascii="Times New Roman" w:eastAsia="Times New Roman" w:hAnsi="Times New Roman" w:cs="Times New Roman"/>
          <w:color w:val="000000"/>
          <w:spacing w:val="0"/>
          <w:w w:val="100"/>
          <w:position w:val="0"/>
        </w:rPr>
        <w:t>4</w:t>
      </w:r>
      <w:r>
        <w:rPr>
          <w:color w:val="000000"/>
          <w:spacing w:val="0"/>
          <w:w w:val="100"/>
          <w:position w:val="0"/>
        </w:rPr>
        <w:t>次，监测强度昼间最大值为</w:t>
      </w:r>
      <w:r>
        <w:rPr>
          <w:rFonts w:ascii="Times New Roman" w:eastAsia="Times New Roman" w:hAnsi="Times New Roman" w:cs="Times New Roman"/>
          <w:color w:val="000000"/>
          <w:spacing w:val="0"/>
          <w:w w:val="100"/>
          <w:position w:val="0"/>
        </w:rPr>
        <w:t xml:space="preserve">55dB </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，最小值为</w:t>
      </w:r>
      <w:r>
        <w:rPr>
          <w:rFonts w:ascii="Times New Roman" w:eastAsia="Times New Roman" w:hAnsi="Times New Roman" w:cs="Times New Roman"/>
          <w:color w:val="000000"/>
          <w:spacing w:val="0"/>
          <w:w w:val="100"/>
          <w:position w:val="0"/>
        </w:rPr>
        <w:t xml:space="preserve">51dB </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 xml:space="preserve">，夜间最大值为 </w:t>
      </w:r>
      <w:r>
        <w:rPr>
          <w:rFonts w:ascii="Times New Roman" w:eastAsia="Times New Roman" w:hAnsi="Times New Roman" w:cs="Times New Roman"/>
          <w:color w:val="000000"/>
          <w:spacing w:val="0"/>
          <w:w w:val="100"/>
          <w:position w:val="0"/>
        </w:rPr>
        <w:t xml:space="preserve">44dB </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，最小值为</w:t>
      </w:r>
      <w:r>
        <w:rPr>
          <w:rFonts w:ascii="Times New Roman" w:eastAsia="Times New Roman" w:hAnsi="Times New Roman" w:cs="Times New Roman"/>
          <w:color w:val="000000"/>
          <w:spacing w:val="0"/>
          <w:w w:val="100"/>
          <w:position w:val="0"/>
        </w:rPr>
        <w:t xml:space="preserve">41dB </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，达标率为</w:t>
      </w:r>
      <w:r>
        <w:rPr>
          <w:rFonts w:ascii="Times New Roman" w:eastAsia="Times New Roman" w:hAnsi="Times New Roman" w:cs="Times New Roman"/>
          <w:color w:val="000000"/>
          <w:spacing w:val="0"/>
          <w:w w:val="100"/>
          <w:position w:val="0"/>
        </w:rPr>
        <w:t>100%</w:t>
      </w:r>
      <w:r>
        <w:rPr>
          <w:color w:val="000000"/>
          <w:spacing w:val="0"/>
          <w:w w:val="100"/>
          <w:position w:val="0"/>
        </w:rPr>
        <w:t>，无超标情况。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在报告期内为减少其碳排放所采取的措施及效果</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其他环保相关信息</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tabs>
          <w:tab w:pos="517" w:val="left"/>
        </w:tabs>
        <w:bidi w:val="0"/>
        <w:spacing w:before="0" w:after="38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二</w:t>
      </w:r>
      <w:bookmarkEnd w:id="397"/>
      <w:r>
        <w:rPr>
          <w:color w:val="000000"/>
          <w:spacing w:val="0"/>
          <w:w w:val="100"/>
          <w:position w:val="0"/>
        </w:rPr>
        <w:t>、</w:t>
        <w:tab/>
        <w:t>社会责任情况</w:t>
      </w:r>
      <w:bookmarkEnd w:id="395"/>
      <w:bookmarkEnd w:id="396"/>
      <w:bookmarkEnd w:id="39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详情请查阅公司在巨潮资讯网上披露的《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年社会责任报告》。</w:t>
      </w:r>
    </w:p>
    <w:p>
      <w:pPr>
        <w:pStyle w:val="Style21"/>
        <w:keepNext/>
        <w:keepLines/>
        <w:widowControl w:val="0"/>
        <w:shd w:val="clear" w:color="auto" w:fill="auto"/>
        <w:tabs>
          <w:tab w:pos="522" w:val="left"/>
        </w:tabs>
        <w:bidi w:val="0"/>
        <w:spacing w:before="0" w:after="38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三</w:t>
      </w:r>
      <w:bookmarkEnd w:id="401"/>
      <w:r>
        <w:rPr>
          <w:color w:val="000000"/>
          <w:spacing w:val="0"/>
          <w:w w:val="100"/>
          <w:position w:val="0"/>
        </w:rPr>
        <w:t>、</w:t>
        <w:tab/>
        <w:t>巩固拓展脱贫攻坚成果、乡村振兴的情况</w:t>
      </w:r>
      <w:bookmarkEnd w:id="399"/>
      <w:bookmarkEnd w:id="400"/>
      <w:bookmarkEnd w:id="402"/>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报告期内公司未参与脱贫攻坚、乡村振兴等工作。</w:t>
      </w:r>
      <w:r>
        <w:br w:type="page"/>
      </w: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rPr>
        <w:t>第六节重要事项</w:t>
      </w:r>
    </w:p>
    <w:p>
      <w:pPr>
        <w:pStyle w:val="Style21"/>
        <w:keepNext/>
        <w:keepLines/>
        <w:widowControl w:val="0"/>
        <w:shd w:val="clear" w:color="auto" w:fill="auto"/>
        <w:bidi w:val="0"/>
        <w:spacing w:before="0" w:after="280" w:line="240" w:lineRule="auto"/>
        <w:ind w:left="0" w:right="0" w:firstLine="0"/>
        <w:jc w:val="left"/>
      </w:pPr>
      <w:bookmarkStart w:id="403" w:name="bookmark403"/>
      <w:bookmarkStart w:id="404" w:name="bookmark404"/>
      <w:bookmarkStart w:id="405" w:name="bookmark405"/>
      <w:bookmarkStart w:id="406" w:name="bookmark406"/>
      <w:bookmarkStart w:id="407" w:name="bookmark407"/>
      <w:r>
        <w:rPr>
          <w:color w:val="000000"/>
          <w:spacing w:val="0"/>
          <w:w w:val="100"/>
          <w:position w:val="0"/>
        </w:rPr>
        <w:t>一</w:t>
      </w:r>
      <w:bookmarkEnd w:id="406"/>
      <w:r>
        <w:rPr>
          <w:color w:val="000000"/>
          <w:spacing w:val="0"/>
          <w:w w:val="100"/>
          <w:position w:val="0"/>
        </w:rPr>
        <w:t>、承诺事项履行情况</w:t>
      </w:r>
      <w:bookmarkEnd w:id="404"/>
      <w:bookmarkEnd w:id="405"/>
      <w:bookmarkEnd w:id="407"/>
      <w:bookmarkEnd w:id="403"/>
    </w:p>
    <w:p>
      <w:pPr>
        <w:pStyle w:val="Style29"/>
        <w:keepNext/>
        <w:keepLines/>
        <w:widowControl w:val="0"/>
        <w:shd w:val="clear" w:color="auto" w:fill="auto"/>
        <w:bidi w:val="0"/>
        <w:spacing w:before="0" w:line="317" w:lineRule="exact"/>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1</w:t>
      </w:r>
      <w:bookmarkEnd w:id="410"/>
      <w:r>
        <w:rPr>
          <w:color w:val="000000"/>
          <w:spacing w:val="0"/>
          <w:w w:val="100"/>
          <w:position w:val="0"/>
        </w:rPr>
        <w:t>、公司实际控制人、股东、关联方、收购人以及公司等承诺相关方在报告期内履行完毕及截至报告期末尚未履 行完毕的承诺事项</w:t>
      </w:r>
      <w:bookmarkEnd w:id="408"/>
      <w:bookmarkEnd w:id="409"/>
      <w:bookmarkEnd w:id="411"/>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850"/>
        <w:gridCol w:w="989"/>
        <w:gridCol w:w="3379"/>
        <w:gridCol w:w="1584"/>
        <w:gridCol w:w="850"/>
        <w:gridCol w:w="93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寓泰控</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股、辉熠</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贸易、毛</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、确保上市公司人员独立；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、确保上市 公司资产独立完整；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、确保上市公司的财 务独立；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、确保上市公司机构独立；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确保上市公司业务独立；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352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寓泰控</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股、辉熠</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贸易、毛</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tabs>
                <w:tab w:pos="26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本公司、本人及控制的其他企业目前不 存在与鸿博股份有限公司从事相同或相似 业务而与鸿博股份构成同业竞争的情形；</w:t>
            </w:r>
          </w:p>
          <w:p>
            <w:pPr>
              <w:pStyle w:val="Style18"/>
              <w:keepNext w:val="0"/>
              <w:keepLines w:val="0"/>
              <w:widowControl w:val="0"/>
              <w:shd w:val="clear" w:color="auto" w:fill="auto"/>
              <w:tabs>
                <w:tab w:pos="25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在本公司直接或间接与上市公司保持实 质性股权控制关系期间，本公司、本人及 控制的其他企业将不直接或间接经营任何 与上市公司及其子公司经营的业务构成竞 争或可能构成竞争的业务。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、本公司、本 人保证不利用鸿博股份的控股股东身份进 行损害鸿博股份及鸿博股份中小股东利益 的经营活动。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73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寓泰控</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股、辉熠</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贸易、毛</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、本次权益变动前，本公司、本人及控制 的其他企业与鸿博股份有限公司不存在关 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、在辉熠贸易、寓泰控股作为鸿 博股份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以上股东期间，本公司、本人及 控制的其他企业，将尽量减少、避免与鸿 博股份之间不必要的关联交易。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 本公司、本人及控制的其他企业与鸿博股 份发生的关联交易确有必要且无法规避 时，将继续遵循公正、公平、公开的一般 商业原则，依照市场经济规则，按照有关 法律、法规、规范性文件和公司的有关规 定履行合法程序，依法签订协议，保证交 易价格的透明、公允、合理，在股东大会 以及董事会对有关涉及辉熠贸易、寓泰控 股、本人及所控制的其他企业与鸿博股份</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widowControl w:val="0"/>
        <w:spacing w:line="1" w:lineRule="exact"/>
      </w:pPr>
      <w:r>
        <w:br w:type="page"/>
      </w:r>
    </w:p>
    <w:tbl>
      <w:tblPr>
        <w:tblOverlap w:val="never"/>
        <w:jc w:val="center"/>
        <w:tblLayout w:type="fixed"/>
      </w:tblPr>
      <w:tblGrid>
        <w:gridCol w:w="1003"/>
        <w:gridCol w:w="850"/>
        <w:gridCol w:w="989"/>
        <w:gridCol w:w="3379"/>
        <w:gridCol w:w="1584"/>
        <w:gridCol w:w="850"/>
        <w:gridCol w:w="931"/>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的关联交易进行表决时，履行回避表决的 义务，并将督促鸿博股份及时履行信息披 露义务，保证不通过关联交易损害鸿博股 份及其他股东特别是中小股东的利益。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资产重组时</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首次公开发</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行或再融资</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公司全体 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公司发行股票并上市后涉及关联交易事项 时，全体董事将严格执行相关回避制度及 信息披露制度。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14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公司全体 董事、监 事、高级 管理人员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、承诺不得无偿或以不公平条件向其他单 位或者个人输送利益，也不采用其他方式 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、接受对本人的职务消费 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、承诺不动用公司资产从 事与履行职责无关的投资、消费活动；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承诺由董事会或薪酬委员会制订的薪酬制 度与公司填补回报措施的执行情况相挂 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、如公司未来实施股权激励，本人承 诺未来股权激励方案的行权条件将与公司 填补回报措施的执行情况相挂钩；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、若违 反上述承诺并给公司或者投资者造成损失 的，本人愿意依法承担对公司或者投资者 的补偿责任及监管机构的相应处罚。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承诺是否按 时履行</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9"/>
        <w:keepNext/>
        <w:keepLines/>
        <w:widowControl w:val="0"/>
        <w:shd w:val="clear" w:color="auto" w:fill="auto"/>
        <w:bidi w:val="0"/>
        <w:spacing w:before="0" w:after="380" w:line="322" w:lineRule="exact"/>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、公司资产或项目存在盈利预测，且报告期仍处在盈利预测期间，公司就资产或项目达到原盈利预测及其原因 做出说明</w:t>
      </w:r>
      <w:bookmarkEnd w:id="412"/>
      <w:bookmarkEnd w:id="413"/>
      <w:bookmarkEnd w:id="415"/>
    </w:p>
    <w:p>
      <w:pPr>
        <w:pStyle w:val="Style2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二</w:t>
      </w:r>
      <w:bookmarkEnd w:id="418"/>
      <w:r>
        <w:rPr>
          <w:color w:val="000000"/>
          <w:spacing w:val="0"/>
          <w:w w:val="100"/>
          <w:position w:val="0"/>
        </w:rPr>
        <w:t>、</w:t>
        <w:tab/>
        <w:t>控股股东及其他关联方对上市公司的非经营性占用资金情况</w:t>
      </w:r>
      <w:bookmarkEnd w:id="416"/>
      <w:bookmarkEnd w:id="417"/>
      <w:bookmarkEnd w:id="419"/>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1"/>
        <w:keepNext/>
        <w:keepLines/>
        <w:widowControl w:val="0"/>
        <w:shd w:val="clear" w:color="auto" w:fill="auto"/>
        <w:tabs>
          <w:tab w:pos="522" w:val="left"/>
        </w:tabs>
        <w:bidi w:val="0"/>
        <w:spacing w:before="0" w:after="38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三</w:t>
      </w:r>
      <w:bookmarkEnd w:id="422"/>
      <w:r>
        <w:rPr>
          <w:color w:val="000000"/>
          <w:spacing w:val="0"/>
          <w:w w:val="100"/>
          <w:position w:val="0"/>
        </w:rPr>
        <w:t>、</w:t>
        <w:tab/>
        <w:t>违规对外担保情况</w:t>
      </w:r>
      <w:bookmarkEnd w:id="420"/>
      <w:bookmarkEnd w:id="421"/>
      <w:bookmarkEnd w:id="423"/>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1"/>
        <w:keepNext/>
        <w:keepLines/>
        <w:widowControl w:val="0"/>
        <w:shd w:val="clear" w:color="auto" w:fill="auto"/>
        <w:tabs>
          <w:tab w:pos="522" w:val="left"/>
        </w:tabs>
        <w:bidi w:val="0"/>
        <w:spacing w:before="0" w:after="38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四</w:t>
      </w:r>
      <w:bookmarkEnd w:id="426"/>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24"/>
      <w:bookmarkEnd w:id="425"/>
      <w:bookmarkEnd w:id="427"/>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8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五</w:t>
      </w:r>
      <w:bookmarkEnd w:id="430"/>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28"/>
      <w:bookmarkEnd w:id="429"/>
      <w:bookmarkEnd w:id="431"/>
    </w:p>
    <w:p>
      <w:pPr>
        <w:pStyle w:val="Style26"/>
        <w:keepNext w:val="0"/>
        <w:keepLines w:val="0"/>
        <w:widowControl w:val="0"/>
        <w:numPr>
          <w:ilvl w:val="0"/>
          <w:numId w:val="17"/>
        </w:numPr>
        <w:shd w:val="clear" w:color="auto" w:fill="auto"/>
        <w:tabs>
          <w:tab w:pos="282" w:val="left"/>
        </w:tabs>
        <w:bidi w:val="0"/>
        <w:spacing w:before="0" w:after="380" w:line="240" w:lineRule="auto"/>
        <w:ind w:left="0" w:right="0" w:firstLine="0"/>
        <w:jc w:val="left"/>
      </w:pPr>
      <w:bookmarkStart w:id="432" w:name="bookmark432"/>
      <w:bookmarkEnd w:id="43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22" w:val="left"/>
        </w:tabs>
        <w:bidi w:val="0"/>
        <w:spacing w:before="0" w:after="38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六</w:t>
      </w:r>
      <w:bookmarkEnd w:id="435"/>
      <w:r>
        <w:rPr>
          <w:color w:val="000000"/>
          <w:spacing w:val="0"/>
          <w:w w:val="100"/>
          <w:position w:val="0"/>
        </w:rPr>
        <w:t>、</w:t>
        <w:tab/>
        <w:t>与上年度财务报告相比，会计政策、会计估计变更或重大会计差错更正的情况说明</w:t>
      </w:r>
      <w:bookmarkEnd w:id="433"/>
      <w:bookmarkEnd w:id="434"/>
      <w:bookmarkEnd w:id="436"/>
    </w:p>
    <w:p>
      <w:pPr>
        <w:pStyle w:val="Style26"/>
        <w:keepNext w:val="0"/>
        <w:keepLines w:val="0"/>
        <w:widowControl w:val="0"/>
        <w:numPr>
          <w:ilvl w:val="0"/>
          <w:numId w:val="17"/>
        </w:numPr>
        <w:shd w:val="clear" w:color="auto" w:fill="auto"/>
        <w:tabs>
          <w:tab w:pos="282" w:val="left"/>
        </w:tabs>
        <w:bidi w:val="0"/>
        <w:spacing w:before="0" w:line="240" w:lineRule="auto"/>
        <w:ind w:left="0" w:right="0" w:firstLine="0"/>
        <w:jc w:val="left"/>
      </w:pPr>
      <w:bookmarkStart w:id="437" w:name="bookmark437"/>
      <w:bookmarkEnd w:id="43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公司报告期无会计政策、会计估计变更或重大会计差错更正的情况。</w:t>
      </w:r>
    </w:p>
    <w:p>
      <w:pPr>
        <w:pStyle w:val="Style21"/>
        <w:keepNext/>
        <w:keepLines/>
        <w:widowControl w:val="0"/>
        <w:shd w:val="clear" w:color="auto" w:fill="auto"/>
        <w:tabs>
          <w:tab w:pos="522" w:val="left"/>
        </w:tabs>
        <w:bidi w:val="0"/>
        <w:spacing w:before="0" w:after="38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七</w:t>
      </w:r>
      <w:bookmarkEnd w:id="440"/>
      <w:r>
        <w:rPr>
          <w:color w:val="000000"/>
          <w:spacing w:val="0"/>
          <w:w w:val="100"/>
          <w:position w:val="0"/>
        </w:rPr>
        <w:t>、</w:t>
        <w:tab/>
        <w:t>与上年度财务报告相比，合并报表范围发生变化的情况说明</w:t>
      </w:r>
      <w:bookmarkEnd w:id="438"/>
      <w:bookmarkEnd w:id="439"/>
      <w:bookmarkEnd w:id="441"/>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附注三、公司基本情况</w:t>
      </w:r>
      <w:r>
        <w:rPr>
          <w:rFonts w:ascii="Times New Roman" w:eastAsia="Times New Roman" w:hAnsi="Times New Roman" w:cs="Times New Roman"/>
          <w:color w:val="000000"/>
          <w:spacing w:val="0"/>
          <w:w w:val="100"/>
          <w:position w:val="0"/>
          <w:sz w:val="18"/>
          <w:szCs w:val="18"/>
        </w:rPr>
        <w:t>”</w:t>
      </w:r>
    </w:p>
    <w:p>
      <w:pPr>
        <w:pStyle w:val="Style21"/>
        <w:keepNext/>
        <w:keepLines/>
        <w:widowControl w:val="0"/>
        <w:shd w:val="clear" w:color="auto" w:fill="auto"/>
        <w:tabs>
          <w:tab w:pos="522" w:val="left"/>
        </w:tabs>
        <w:bidi w:val="0"/>
        <w:spacing w:before="0" w:after="38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八</w:t>
      </w:r>
      <w:bookmarkEnd w:id="444"/>
      <w:r>
        <w:rPr>
          <w:color w:val="000000"/>
          <w:spacing w:val="0"/>
          <w:w w:val="100"/>
          <w:position w:val="0"/>
        </w:rPr>
        <w:t>、</w:t>
        <w:tab/>
        <w:t>聘任、解聘会计师事务所情况</w:t>
      </w:r>
      <w:bookmarkEnd w:id="442"/>
      <w:bookmarkEnd w:id="443"/>
      <w:bookmarkEnd w:id="445"/>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上会会计师事务所（特殊普通合伙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翟萍萍、童维维</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是否在审计期间改聘会计师事务所</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更换会计师事务所是否履行审批程序</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对改聘、变更会计师事务所情况的详细说明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因与大华所的合同期届满，综合考虑公司发展战略、未来业务拓展和审计需求等实际情况，公司聘请上会所担任公司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度审计机构</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九</w:t>
      </w:r>
      <w:bookmarkEnd w:id="448"/>
      <w:r>
        <w:rPr>
          <w:color w:val="000000"/>
          <w:spacing w:val="0"/>
          <w:w w:val="100"/>
          <w:position w:val="0"/>
        </w:rPr>
        <w:t>、年度报告披露后面临退市情况</w:t>
      </w:r>
      <w:bookmarkEnd w:id="446"/>
      <w:bookmarkEnd w:id="447"/>
      <w:bookmarkEnd w:id="449"/>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450" w:name="bookmark450"/>
      <w:bookmarkStart w:id="451" w:name="bookmark451"/>
      <w:bookmarkStart w:id="452" w:name="bookmark452"/>
      <w:r>
        <w:rPr>
          <w:color w:val="000000"/>
          <w:spacing w:val="0"/>
          <w:w w:val="100"/>
          <w:position w:val="0"/>
        </w:rPr>
        <w:t>十、破产重整相关事项</w:t>
      </w:r>
      <w:bookmarkEnd w:id="450"/>
      <w:bookmarkEnd w:id="451"/>
      <w:bookmarkEnd w:id="452"/>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80" w:line="240" w:lineRule="auto"/>
        <w:ind w:left="0" w:right="0" w:firstLine="0"/>
        <w:jc w:val="left"/>
      </w:pPr>
      <w:bookmarkStart w:id="453" w:name="bookmark453"/>
      <w:bookmarkStart w:id="454" w:name="bookmark454"/>
      <w:bookmarkStart w:id="455" w:name="bookmark455"/>
      <w:r>
        <w:rPr>
          <w:color w:val="000000"/>
          <w:spacing w:val="0"/>
          <w:w w:val="100"/>
          <w:position w:val="0"/>
        </w:rPr>
        <w:t>十一、重大诉讼、仲裁事项</w:t>
      </w:r>
      <w:bookmarkEnd w:id="453"/>
      <w:bookmarkEnd w:id="454"/>
      <w:bookmarkEnd w:id="455"/>
    </w:p>
    <w:p>
      <w:pPr>
        <w:pStyle w:val="Style26"/>
        <w:keepNext w:val="0"/>
        <w:keepLines w:val="0"/>
        <w:widowControl w:val="0"/>
        <w:numPr>
          <w:ilvl w:val="0"/>
          <w:numId w:val="17"/>
        </w:numPr>
        <w:shd w:val="clear" w:color="auto" w:fill="auto"/>
        <w:tabs>
          <w:tab w:pos="282" w:val="left"/>
        </w:tabs>
        <w:bidi w:val="0"/>
        <w:spacing w:before="0" w:line="240" w:lineRule="auto"/>
        <w:ind w:left="0" w:right="0" w:firstLine="0"/>
        <w:jc w:val="left"/>
      </w:pPr>
      <w:bookmarkStart w:id="456" w:name="bookmark456"/>
      <w:bookmarkEnd w:id="45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1"/>
        <w:keepNext/>
        <w:keepLines/>
        <w:widowControl w:val="0"/>
        <w:shd w:val="clear" w:color="auto" w:fill="auto"/>
        <w:bidi w:val="0"/>
        <w:spacing w:before="0" w:after="380" w:line="240" w:lineRule="auto"/>
        <w:ind w:left="0" w:right="0" w:firstLine="0"/>
        <w:jc w:val="left"/>
      </w:pPr>
      <w:bookmarkStart w:id="457" w:name="bookmark457"/>
      <w:bookmarkStart w:id="458" w:name="bookmark458"/>
      <w:bookmarkStart w:id="459" w:name="bookmark459"/>
      <w:r>
        <w:rPr>
          <w:color w:val="000000"/>
          <w:spacing w:val="0"/>
          <w:w w:val="100"/>
          <w:position w:val="0"/>
        </w:rPr>
        <w:t>十二、处罚及整改情况</w:t>
      </w:r>
      <w:bookmarkEnd w:id="457"/>
      <w:bookmarkEnd w:id="458"/>
      <w:bookmarkEnd w:id="459"/>
    </w:p>
    <w:p>
      <w:pPr>
        <w:pStyle w:val="Style26"/>
        <w:keepNext w:val="0"/>
        <w:keepLines w:val="0"/>
        <w:widowControl w:val="0"/>
        <w:numPr>
          <w:ilvl w:val="0"/>
          <w:numId w:val="17"/>
        </w:numPr>
        <w:shd w:val="clear" w:color="auto" w:fill="auto"/>
        <w:tabs>
          <w:tab w:pos="282" w:val="left"/>
        </w:tabs>
        <w:bidi w:val="0"/>
        <w:spacing w:before="0" w:line="240" w:lineRule="auto"/>
        <w:ind w:left="0" w:right="0" w:firstLine="0"/>
        <w:jc w:val="left"/>
      </w:pPr>
      <w:bookmarkStart w:id="460" w:name="bookmark460"/>
      <w:bookmarkEnd w:id="46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after="380" w:line="240" w:lineRule="auto"/>
        <w:ind w:left="0" w:right="0" w:firstLine="0"/>
        <w:jc w:val="left"/>
      </w:pPr>
      <w:bookmarkStart w:id="461" w:name="bookmark461"/>
      <w:bookmarkStart w:id="462" w:name="bookmark462"/>
      <w:bookmarkStart w:id="463" w:name="bookmark463"/>
      <w:r>
        <w:rPr>
          <w:color w:val="000000"/>
          <w:spacing w:val="0"/>
          <w:w w:val="100"/>
          <w:position w:val="0"/>
        </w:rPr>
        <w:t>十三、公司及其控股股东、实际控制人的诚信状况</w:t>
      </w:r>
      <w:bookmarkEnd w:id="461"/>
      <w:bookmarkEnd w:id="462"/>
      <w:bookmarkEnd w:id="463"/>
    </w:p>
    <w:p>
      <w:pPr>
        <w:pStyle w:val="Style26"/>
        <w:keepNext w:val="0"/>
        <w:keepLines w:val="0"/>
        <w:widowControl w:val="0"/>
        <w:numPr>
          <w:ilvl w:val="0"/>
          <w:numId w:val="17"/>
        </w:numPr>
        <w:shd w:val="clear" w:color="auto" w:fill="auto"/>
        <w:tabs>
          <w:tab w:pos="282" w:val="left"/>
        </w:tabs>
        <w:bidi w:val="0"/>
        <w:spacing w:before="0" w:after="380" w:line="240" w:lineRule="auto"/>
        <w:ind w:left="0" w:right="0" w:firstLine="0"/>
        <w:jc w:val="left"/>
      </w:pPr>
      <w:bookmarkStart w:id="464" w:name="bookmark464"/>
      <w:bookmarkEnd w:id="46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465" w:name="bookmark465"/>
      <w:bookmarkStart w:id="466" w:name="bookmark466"/>
      <w:bookmarkStart w:id="467" w:name="bookmark467"/>
      <w:r>
        <w:rPr>
          <w:color w:val="000000"/>
          <w:spacing w:val="0"/>
          <w:w w:val="100"/>
          <w:position w:val="0"/>
        </w:rPr>
        <w:t>十四、重大关联交易</w:t>
      </w:r>
      <w:bookmarkEnd w:id="465"/>
      <w:bookmarkEnd w:id="466"/>
      <w:bookmarkEnd w:id="467"/>
    </w:p>
    <w:p>
      <w:pPr>
        <w:pStyle w:val="Style29"/>
        <w:keepNext/>
        <w:keepLines/>
        <w:widowControl w:val="0"/>
        <w:shd w:val="clear" w:color="auto" w:fill="auto"/>
        <w:tabs>
          <w:tab w:pos="358" w:val="left"/>
        </w:tabs>
        <w:bidi w:val="0"/>
        <w:spacing w:before="0" w:after="38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1</w:t>
      </w:r>
      <w:bookmarkEnd w:id="470"/>
      <w:r>
        <w:rPr>
          <w:color w:val="000000"/>
          <w:spacing w:val="0"/>
          <w:w w:val="100"/>
          <w:position w:val="0"/>
        </w:rPr>
        <w:t>、</w:t>
        <w:tab/>
        <w:t>与日常经营相关的关联交易</w:t>
      </w:r>
      <w:bookmarkEnd w:id="468"/>
      <w:bookmarkEnd w:id="469"/>
      <w:bookmarkEnd w:id="471"/>
    </w:p>
    <w:p>
      <w:pPr>
        <w:pStyle w:val="Style26"/>
        <w:keepNext w:val="0"/>
        <w:keepLines w:val="0"/>
        <w:widowControl w:val="0"/>
        <w:numPr>
          <w:ilvl w:val="0"/>
          <w:numId w:val="17"/>
        </w:numPr>
        <w:shd w:val="clear" w:color="auto" w:fill="auto"/>
        <w:tabs>
          <w:tab w:pos="282" w:val="left"/>
        </w:tabs>
        <w:bidi w:val="0"/>
        <w:spacing w:before="0" w:line="240" w:lineRule="auto"/>
        <w:ind w:left="0" w:right="0" w:firstLine="0"/>
        <w:jc w:val="left"/>
      </w:pPr>
      <w:bookmarkStart w:id="472" w:name="bookmark472"/>
      <w:bookmarkEnd w:id="47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68" w:val="left"/>
        </w:tabs>
        <w:bidi w:val="0"/>
        <w:spacing w:before="0" w:after="38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2</w:t>
      </w:r>
      <w:bookmarkEnd w:id="475"/>
      <w:r>
        <w:rPr>
          <w:color w:val="000000"/>
          <w:spacing w:val="0"/>
          <w:w w:val="100"/>
          <w:position w:val="0"/>
        </w:rPr>
        <w:t>、</w:t>
        <w:tab/>
        <w:t>资产或股权收购、出售发生的关联交易</w:t>
      </w:r>
      <w:bookmarkEnd w:id="473"/>
      <w:bookmarkEnd w:id="474"/>
      <w:bookmarkEnd w:id="476"/>
    </w:p>
    <w:p>
      <w:pPr>
        <w:pStyle w:val="Style26"/>
        <w:keepNext w:val="0"/>
        <w:keepLines w:val="0"/>
        <w:widowControl w:val="0"/>
        <w:numPr>
          <w:ilvl w:val="0"/>
          <w:numId w:val="17"/>
        </w:numPr>
        <w:shd w:val="clear" w:color="auto" w:fill="auto"/>
        <w:tabs>
          <w:tab w:pos="282" w:val="left"/>
        </w:tabs>
        <w:bidi w:val="0"/>
        <w:spacing w:before="0" w:line="240" w:lineRule="auto"/>
        <w:ind w:left="0" w:right="0" w:firstLine="0"/>
        <w:jc w:val="left"/>
      </w:pPr>
      <w:bookmarkStart w:id="477" w:name="bookmark477"/>
      <w:bookmarkEnd w:id="47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68" w:val="left"/>
        </w:tabs>
        <w:bidi w:val="0"/>
        <w:spacing w:before="0" w:after="38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3</w:t>
      </w:r>
      <w:bookmarkEnd w:id="480"/>
      <w:r>
        <w:rPr>
          <w:color w:val="000000"/>
          <w:spacing w:val="0"/>
          <w:w w:val="100"/>
          <w:position w:val="0"/>
        </w:rPr>
        <w:t>、</w:t>
        <w:tab/>
        <w:t>共同对外投资的关联交易</w:t>
      </w:r>
      <w:bookmarkEnd w:id="478"/>
      <w:bookmarkEnd w:id="479"/>
      <w:bookmarkEnd w:id="481"/>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29"/>
        <w:keepNext/>
        <w:keepLines/>
        <w:widowControl w:val="0"/>
        <w:shd w:val="clear" w:color="auto" w:fill="auto"/>
        <w:tabs>
          <w:tab w:pos="368" w:val="left"/>
        </w:tabs>
        <w:bidi w:val="0"/>
        <w:spacing w:before="0" w:after="380" w:line="240" w:lineRule="auto"/>
        <w:ind w:left="0" w:right="0" w:firstLine="0"/>
        <w:jc w:val="both"/>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4</w:t>
      </w:r>
      <w:bookmarkEnd w:id="484"/>
      <w:r>
        <w:rPr>
          <w:color w:val="000000"/>
          <w:spacing w:val="0"/>
          <w:w w:val="100"/>
          <w:position w:val="0"/>
        </w:rPr>
        <w:t>、</w:t>
        <w:tab/>
        <w:t>关联债权债务往来</w:t>
      </w:r>
      <w:bookmarkEnd w:id="482"/>
      <w:bookmarkEnd w:id="483"/>
      <w:bookmarkEnd w:id="485"/>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29"/>
        <w:keepNext/>
        <w:keepLines/>
        <w:widowControl w:val="0"/>
        <w:shd w:val="clear" w:color="auto" w:fill="auto"/>
        <w:tabs>
          <w:tab w:pos="368" w:val="left"/>
        </w:tabs>
        <w:bidi w:val="0"/>
        <w:spacing w:before="0" w:after="380" w:line="240" w:lineRule="auto"/>
        <w:ind w:left="0" w:right="0" w:firstLine="0"/>
        <w:jc w:val="both"/>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5</w:t>
      </w:r>
      <w:bookmarkEnd w:id="488"/>
      <w:r>
        <w:rPr>
          <w:color w:val="000000"/>
          <w:spacing w:val="0"/>
          <w:w w:val="100"/>
          <w:position w:val="0"/>
        </w:rPr>
        <w:t>、</w:t>
        <w:tab/>
        <w:t>与存在关联关系的财务公司的往来情况</w:t>
      </w:r>
      <w:bookmarkEnd w:id="486"/>
      <w:bookmarkEnd w:id="487"/>
      <w:bookmarkEnd w:id="489"/>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68" w:val="left"/>
        </w:tabs>
        <w:bidi w:val="0"/>
        <w:spacing w:before="0" w:after="380" w:line="240" w:lineRule="auto"/>
        <w:ind w:left="0" w:right="0" w:firstLine="0"/>
        <w:jc w:val="both"/>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6</w:t>
      </w:r>
      <w:bookmarkEnd w:id="492"/>
      <w:r>
        <w:rPr>
          <w:color w:val="000000"/>
          <w:spacing w:val="0"/>
          <w:w w:val="100"/>
          <w:position w:val="0"/>
        </w:rPr>
        <w:t>、</w:t>
        <w:tab/>
        <w:t>公司控股的财务公司与关联方的往来情况</w:t>
      </w:r>
      <w:bookmarkEnd w:id="490"/>
      <w:bookmarkEnd w:id="491"/>
      <w:bookmarkEnd w:id="493"/>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63" w:val="left"/>
        </w:tabs>
        <w:bidi w:val="0"/>
        <w:spacing w:before="0" w:after="380" w:line="240" w:lineRule="auto"/>
        <w:ind w:left="0" w:right="0" w:firstLine="0"/>
        <w:jc w:val="both"/>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7</w:t>
      </w:r>
      <w:bookmarkEnd w:id="496"/>
      <w:r>
        <w:rPr>
          <w:color w:val="000000"/>
          <w:spacing w:val="0"/>
          <w:w w:val="100"/>
          <w:position w:val="0"/>
        </w:rPr>
        <w:t>、</w:t>
        <w:tab/>
        <w:t>其他重大关联交易</w:t>
      </w:r>
      <w:bookmarkEnd w:id="494"/>
      <w:bookmarkEnd w:id="495"/>
      <w:bookmarkEnd w:id="497"/>
    </w:p>
    <w:p>
      <w:pPr>
        <w:pStyle w:val="Style26"/>
        <w:keepNext w:val="0"/>
        <w:keepLines w:val="0"/>
        <w:widowControl w:val="0"/>
        <w:numPr>
          <w:ilvl w:val="0"/>
          <w:numId w:val="17"/>
        </w:numPr>
        <w:shd w:val="clear" w:color="auto" w:fill="auto"/>
        <w:tabs>
          <w:tab w:pos="285" w:val="left"/>
        </w:tabs>
        <w:bidi w:val="0"/>
        <w:spacing w:before="0" w:line="240" w:lineRule="auto"/>
        <w:ind w:left="0" w:right="0" w:firstLine="0"/>
        <w:jc w:val="both"/>
      </w:pPr>
      <w:bookmarkStart w:id="498" w:name="bookmark498"/>
      <w:bookmarkEnd w:id="49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1"/>
        <w:keepNext/>
        <w:keepLines/>
        <w:widowControl w:val="0"/>
        <w:shd w:val="clear" w:color="auto" w:fill="auto"/>
        <w:bidi w:val="0"/>
        <w:spacing w:before="0" w:after="380" w:line="240" w:lineRule="auto"/>
        <w:ind w:left="0" w:right="0" w:firstLine="0"/>
        <w:jc w:val="both"/>
      </w:pPr>
      <w:bookmarkStart w:id="499" w:name="bookmark499"/>
      <w:bookmarkStart w:id="500" w:name="bookmark500"/>
      <w:bookmarkStart w:id="501" w:name="bookmark501"/>
      <w:r>
        <w:rPr>
          <w:color w:val="000000"/>
          <w:spacing w:val="0"/>
          <w:w w:val="100"/>
          <w:position w:val="0"/>
        </w:rPr>
        <w:t>十五、重大合同及其履行情况</w:t>
      </w:r>
      <w:bookmarkEnd w:id="499"/>
      <w:bookmarkEnd w:id="500"/>
      <w:bookmarkEnd w:id="501"/>
    </w:p>
    <w:p>
      <w:pPr>
        <w:pStyle w:val="Style29"/>
        <w:keepNext/>
        <w:keepLines/>
        <w:widowControl w:val="0"/>
        <w:shd w:val="clear" w:color="auto" w:fill="auto"/>
        <w:tabs>
          <w:tab w:pos="358" w:val="left"/>
        </w:tabs>
        <w:bidi w:val="0"/>
        <w:spacing w:before="0" w:after="380" w:line="240" w:lineRule="auto"/>
        <w:ind w:left="0" w:right="0" w:firstLine="0"/>
        <w:jc w:val="both"/>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1</w:t>
      </w:r>
      <w:bookmarkEnd w:id="504"/>
      <w:r>
        <w:rPr>
          <w:color w:val="000000"/>
          <w:spacing w:val="0"/>
          <w:w w:val="100"/>
          <w:position w:val="0"/>
        </w:rPr>
        <w:t>、</w:t>
        <w:tab/>
        <w:t>托管、承包、租赁事项情况</w:t>
      </w:r>
      <w:bookmarkEnd w:id="502"/>
      <w:bookmarkEnd w:id="503"/>
      <w:bookmarkEnd w:id="505"/>
    </w:p>
    <w:p>
      <w:pPr>
        <w:pStyle w:val="Style34"/>
        <w:keepNext/>
        <w:keepLines/>
        <w:widowControl w:val="0"/>
        <w:shd w:val="clear" w:color="auto" w:fill="auto"/>
        <w:tabs>
          <w:tab w:pos="478" w:val="left"/>
        </w:tabs>
        <w:bidi w:val="0"/>
        <w:spacing w:before="0" w:line="240" w:lineRule="auto"/>
        <w:ind w:left="0" w:right="0" w:firstLine="0"/>
        <w:jc w:val="both"/>
      </w:pPr>
      <w:bookmarkStart w:id="506" w:name="bookmark506"/>
      <w:bookmarkStart w:id="507" w:name="bookmark507"/>
      <w:bookmarkStart w:id="508" w:name="bookmark508"/>
      <w:bookmarkStart w:id="509" w:name="bookmark509"/>
      <w:r>
        <w:rPr>
          <w:color w:val="000000"/>
          <w:spacing w:val="0"/>
          <w:w w:val="100"/>
          <w:position w:val="0"/>
        </w:rPr>
        <w:t>（</w:t>
      </w:r>
      <w:bookmarkEnd w:id="50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06"/>
      <w:bookmarkEnd w:id="507"/>
      <w:bookmarkEnd w:id="509"/>
    </w:p>
    <w:p>
      <w:pPr>
        <w:pStyle w:val="Style26"/>
        <w:keepNext w:val="0"/>
        <w:keepLines w:val="0"/>
        <w:widowControl w:val="0"/>
        <w:numPr>
          <w:ilvl w:val="0"/>
          <w:numId w:val="17"/>
        </w:numPr>
        <w:shd w:val="clear" w:color="auto" w:fill="auto"/>
        <w:tabs>
          <w:tab w:pos="285" w:val="left"/>
        </w:tabs>
        <w:bidi w:val="0"/>
        <w:spacing w:before="0" w:line="240" w:lineRule="auto"/>
        <w:ind w:left="0" w:right="0" w:firstLine="0"/>
        <w:jc w:val="both"/>
      </w:pPr>
      <w:bookmarkStart w:id="510" w:name="bookmark510"/>
      <w:bookmarkEnd w:id="51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4"/>
        <w:keepNext/>
        <w:keepLines/>
        <w:widowControl w:val="0"/>
        <w:shd w:val="clear" w:color="auto" w:fill="auto"/>
        <w:tabs>
          <w:tab w:pos="478" w:val="left"/>
        </w:tabs>
        <w:bidi w:val="0"/>
        <w:spacing w:before="0" w:line="240" w:lineRule="auto"/>
        <w:ind w:left="0" w:right="0" w:firstLine="0"/>
        <w:jc w:val="both"/>
      </w:pPr>
      <w:bookmarkStart w:id="511" w:name="bookmark511"/>
      <w:bookmarkStart w:id="512" w:name="bookmark512"/>
      <w:bookmarkStart w:id="513" w:name="bookmark513"/>
      <w:bookmarkStart w:id="514" w:name="bookmark514"/>
      <w:r>
        <w:rPr>
          <w:color w:val="000000"/>
          <w:spacing w:val="0"/>
          <w:w w:val="100"/>
          <w:position w:val="0"/>
        </w:rPr>
        <w:t>（</w:t>
      </w:r>
      <w:bookmarkEnd w:id="51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11"/>
      <w:bookmarkEnd w:id="512"/>
      <w:bookmarkEnd w:id="514"/>
    </w:p>
    <w:p>
      <w:pPr>
        <w:pStyle w:val="Style26"/>
        <w:keepNext w:val="0"/>
        <w:keepLines w:val="0"/>
        <w:widowControl w:val="0"/>
        <w:numPr>
          <w:ilvl w:val="0"/>
          <w:numId w:val="17"/>
        </w:numPr>
        <w:shd w:val="clear" w:color="auto" w:fill="auto"/>
        <w:tabs>
          <w:tab w:pos="285" w:val="left"/>
        </w:tabs>
        <w:bidi w:val="0"/>
        <w:spacing w:before="0" w:line="240" w:lineRule="auto"/>
        <w:ind w:left="0" w:right="0" w:firstLine="0"/>
        <w:jc w:val="both"/>
      </w:pPr>
      <w:bookmarkStart w:id="515" w:name="bookmark515"/>
      <w:bookmarkEnd w:id="51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4"/>
        <w:keepNext/>
        <w:keepLines/>
        <w:widowControl w:val="0"/>
        <w:shd w:val="clear" w:color="auto" w:fill="auto"/>
        <w:tabs>
          <w:tab w:pos="478" w:val="left"/>
        </w:tabs>
        <w:bidi w:val="0"/>
        <w:spacing w:before="0" w:line="240" w:lineRule="auto"/>
        <w:ind w:left="0" w:right="0" w:firstLine="0"/>
        <w:jc w:val="both"/>
      </w:pPr>
      <w:bookmarkStart w:id="516" w:name="bookmark516"/>
      <w:bookmarkStart w:id="517" w:name="bookmark517"/>
      <w:bookmarkStart w:id="518" w:name="bookmark518"/>
      <w:bookmarkStart w:id="519" w:name="bookmark519"/>
      <w:r>
        <w:rPr>
          <w:color w:val="000000"/>
          <w:spacing w:val="0"/>
          <w:w w:val="100"/>
          <w:position w:val="0"/>
        </w:rPr>
        <w:t>（</w:t>
      </w:r>
      <w:bookmarkEnd w:id="51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16"/>
      <w:bookmarkEnd w:id="517"/>
      <w:bookmarkEnd w:id="519"/>
    </w:p>
    <w:p>
      <w:pPr>
        <w:pStyle w:val="Style26"/>
        <w:keepNext w:val="0"/>
        <w:keepLines w:val="0"/>
        <w:widowControl w:val="0"/>
        <w:numPr>
          <w:ilvl w:val="0"/>
          <w:numId w:val="17"/>
        </w:numPr>
        <w:shd w:val="clear" w:color="auto" w:fill="auto"/>
        <w:tabs>
          <w:tab w:pos="285" w:val="left"/>
        </w:tabs>
        <w:bidi w:val="0"/>
        <w:spacing w:before="0" w:line="240" w:lineRule="auto"/>
        <w:ind w:left="0" w:right="0" w:firstLine="0"/>
        <w:jc w:val="both"/>
      </w:pPr>
      <w:bookmarkStart w:id="520" w:name="bookmark520"/>
      <w:bookmarkEnd w:id="52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9"/>
        <w:keepNext/>
        <w:keepLines/>
        <w:widowControl w:val="0"/>
        <w:shd w:val="clear" w:color="auto" w:fill="auto"/>
        <w:tabs>
          <w:tab w:pos="368" w:val="left"/>
        </w:tabs>
        <w:bidi w:val="0"/>
        <w:spacing w:before="0" w:after="380" w:line="240" w:lineRule="auto"/>
        <w:ind w:left="0" w:right="0" w:firstLine="0"/>
        <w:jc w:val="both"/>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2</w:t>
      </w:r>
      <w:bookmarkEnd w:id="523"/>
      <w:r>
        <w:rPr>
          <w:color w:val="000000"/>
          <w:spacing w:val="0"/>
          <w:w w:val="100"/>
          <w:position w:val="0"/>
        </w:rPr>
        <w:t>、</w:t>
        <w:tab/>
        <w:t>重大担保</w:t>
      </w:r>
      <w:bookmarkEnd w:id="521"/>
      <w:bookmarkEnd w:id="522"/>
      <w:bookmarkEnd w:id="524"/>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公司报告期不存在重大担保情况。</w:t>
      </w:r>
    </w:p>
    <w:p>
      <w:pPr>
        <w:pStyle w:val="Style29"/>
        <w:keepNext/>
        <w:keepLines/>
        <w:widowControl w:val="0"/>
        <w:shd w:val="clear" w:color="auto" w:fill="auto"/>
        <w:bidi w:val="0"/>
        <w:spacing w:before="0" w:after="38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3</w:t>
      </w:r>
      <w:bookmarkEnd w:id="527"/>
      <w:r>
        <w:rPr>
          <w:color w:val="000000"/>
          <w:spacing w:val="0"/>
          <w:w w:val="100"/>
          <w:position w:val="0"/>
        </w:rPr>
        <w:t>、委托他人进行现金资产管理情况</w:t>
      </w:r>
      <w:bookmarkEnd w:id="525"/>
      <w:bookmarkEnd w:id="526"/>
      <w:bookmarkEnd w:id="528"/>
    </w:p>
    <w:p>
      <w:pPr>
        <w:pStyle w:val="Style34"/>
        <w:keepNext/>
        <w:keepLines/>
        <w:widowControl w:val="0"/>
        <w:shd w:val="clear" w:color="auto" w:fill="auto"/>
        <w:bidi w:val="0"/>
        <w:spacing w:before="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w:t>
      </w:r>
      <w:bookmarkEnd w:id="53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29"/>
      <w:bookmarkEnd w:id="530"/>
      <w:bookmarkEnd w:id="532"/>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单位：万元</w:t>
      </w:r>
    </w:p>
    <w:tbl>
      <w:tblPr>
        <w:tblOverlap w:val="never"/>
        <w:jc w:val="center"/>
        <w:tblLayout w:type="fixed"/>
      </w:tblPr>
      <w:tblGrid>
        <w:gridCol w:w="1574"/>
        <w:gridCol w:w="1642"/>
        <w:gridCol w:w="1661"/>
        <w:gridCol w:w="1598"/>
        <w:gridCol w:w="1550"/>
        <w:gridCol w:w="156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逾期未收回理财己 计提减值金额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单项金额重大或安全性较低、流动性较差的高风险委托理财具体情况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委托理财出现预期无法收回本金或存在其他可能导致减值的情形</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474" w:lineRule="exact"/>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w:t>
      </w:r>
      <w:bookmarkEnd w:id="53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33"/>
      <w:bookmarkEnd w:id="534"/>
      <w:bookmarkEnd w:id="536"/>
    </w:p>
    <w:p>
      <w:pPr>
        <w:pStyle w:val="Style26"/>
        <w:keepNext w:val="0"/>
        <w:keepLines w:val="0"/>
        <w:widowControl w:val="0"/>
        <w:numPr>
          <w:ilvl w:val="0"/>
          <w:numId w:val="17"/>
        </w:numPr>
        <w:shd w:val="clear" w:color="auto" w:fill="auto"/>
        <w:tabs>
          <w:tab w:pos="282" w:val="left"/>
        </w:tabs>
        <w:bidi w:val="0"/>
        <w:spacing w:before="0" w:line="240" w:lineRule="auto"/>
        <w:ind w:left="0" w:right="0" w:firstLine="0"/>
        <w:jc w:val="left"/>
      </w:pPr>
      <w:bookmarkStart w:id="537" w:name="bookmark537"/>
      <w:bookmarkEnd w:id="53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after="140" w:line="494"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4</w:t>
      </w:r>
      <w:bookmarkEnd w:id="540"/>
      <w:r>
        <w:rPr>
          <w:color w:val="000000"/>
          <w:spacing w:val="0"/>
          <w:w w:val="100"/>
          <w:position w:val="0"/>
        </w:rPr>
        <w:t>、其他重大合同</w:t>
      </w:r>
      <w:bookmarkEnd w:id="538"/>
      <w:bookmarkEnd w:id="539"/>
      <w:bookmarkEnd w:id="541"/>
    </w:p>
    <w:p>
      <w:pPr>
        <w:pStyle w:val="Style26"/>
        <w:keepNext w:val="0"/>
        <w:keepLines w:val="0"/>
        <w:widowControl w:val="0"/>
        <w:numPr>
          <w:ilvl w:val="0"/>
          <w:numId w:val="17"/>
        </w:numPr>
        <w:shd w:val="clear" w:color="auto" w:fill="auto"/>
        <w:tabs>
          <w:tab w:pos="282" w:val="left"/>
        </w:tabs>
        <w:bidi w:val="0"/>
        <w:spacing w:before="0" w:line="240" w:lineRule="auto"/>
        <w:ind w:left="0" w:right="0" w:firstLine="0"/>
        <w:jc w:val="left"/>
      </w:pPr>
      <w:bookmarkStart w:id="542" w:name="bookmark542"/>
      <w:bookmarkEnd w:id="54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80" w:line="240" w:lineRule="auto"/>
        <w:ind w:left="0" w:right="0" w:firstLine="0"/>
        <w:jc w:val="left"/>
      </w:pPr>
      <w:bookmarkStart w:id="543" w:name="bookmark543"/>
      <w:bookmarkStart w:id="544" w:name="bookmark544"/>
      <w:bookmarkStart w:id="545" w:name="bookmark545"/>
      <w:r>
        <w:rPr>
          <w:color w:val="000000"/>
          <w:spacing w:val="0"/>
          <w:w w:val="100"/>
          <w:position w:val="0"/>
        </w:rPr>
        <w:t>十六、其他重大事项的说明</w:t>
      </w:r>
      <w:bookmarkEnd w:id="543"/>
      <w:bookmarkEnd w:id="544"/>
      <w:bookmarkEnd w:id="54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0"/>
        <w:keepNext w:val="0"/>
        <w:keepLines w:val="0"/>
        <w:widowControl w:val="0"/>
        <w:shd w:val="clear" w:color="auto" w:fill="auto"/>
        <w:tabs>
          <w:tab w:pos="794" w:val="left"/>
        </w:tabs>
        <w:bidi w:val="0"/>
        <w:spacing w:before="0" w:after="0" w:line="474" w:lineRule="exact"/>
        <w:ind w:left="0" w:right="0" w:firstLine="440"/>
        <w:jc w:val="both"/>
      </w:pPr>
      <w:bookmarkStart w:id="546" w:name="bookmark546"/>
      <w:r>
        <w:rPr>
          <w:color w:val="000000"/>
          <w:spacing w:val="0"/>
          <w:w w:val="100"/>
          <w:position w:val="0"/>
        </w:rPr>
        <w:t>1</w:t>
      </w:r>
      <w:bookmarkEnd w:id="546"/>
      <w:r>
        <w:rPr>
          <w:color w:val="000000"/>
          <w:spacing w:val="0"/>
          <w:w w:val="100"/>
          <w:position w:val="0"/>
        </w:rPr>
        <w:t>、</w:t>
        <w:tab/>
        <w:t>关于公司高级管理人员辞职的事项</w:t>
      </w:r>
    </w:p>
    <w:p>
      <w:pPr>
        <w:pStyle w:val="Style10"/>
        <w:keepNext w:val="0"/>
        <w:keepLines w:val="0"/>
        <w:widowControl w:val="0"/>
        <w:shd w:val="clear" w:color="auto" w:fill="auto"/>
        <w:bidi w:val="0"/>
        <w:spacing w:before="0" w:after="0" w:line="474" w:lineRule="exact"/>
        <w:ind w:left="0" w:right="0" w:firstLine="440"/>
        <w:jc w:val="left"/>
      </w:pPr>
      <w:r>
        <w:rPr>
          <w:color w:val="000000"/>
          <w:spacing w:val="0"/>
          <w:w w:val="100"/>
          <w:position w:val="0"/>
        </w:rPr>
        <w:t>公司第五届董事会于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日收到公司副总经理李云强先生、田志文先生、尹路路先生、何 爱平女士的辞职报告。李云强先生、田志文先生、尹路路先生、何爱平女士因个人原因及工作调整原因， 申请辞去公司副总经理职务。辞职后，李云强先生、田志文先生将不在公司担任任何职务；尹路路先生、 何爱平女士仍在公司担任其他职务。</w:t>
      </w:r>
    </w:p>
    <w:p>
      <w:pPr>
        <w:pStyle w:val="Style10"/>
        <w:keepNext w:val="0"/>
        <w:keepLines w:val="0"/>
        <w:widowControl w:val="0"/>
        <w:shd w:val="clear" w:color="auto" w:fill="auto"/>
        <w:tabs>
          <w:tab w:pos="808" w:val="left"/>
        </w:tabs>
        <w:bidi w:val="0"/>
        <w:spacing w:before="0" w:after="0" w:line="474" w:lineRule="exact"/>
        <w:ind w:left="0" w:right="0" w:firstLine="440"/>
        <w:jc w:val="both"/>
      </w:pPr>
      <w:bookmarkStart w:id="547" w:name="bookmark547"/>
      <w:r>
        <w:rPr>
          <w:color w:val="000000"/>
          <w:spacing w:val="0"/>
          <w:w w:val="100"/>
          <w:position w:val="0"/>
        </w:rPr>
        <w:t>2</w:t>
      </w:r>
      <w:bookmarkEnd w:id="547"/>
      <w:r>
        <w:rPr>
          <w:color w:val="000000"/>
          <w:spacing w:val="0"/>
          <w:w w:val="100"/>
          <w:position w:val="0"/>
        </w:rPr>
        <w:t>、</w:t>
        <w:tab/>
        <w:t>关于终止智能卡项目的事项</w:t>
      </w:r>
    </w:p>
    <w:p>
      <w:pPr>
        <w:pStyle w:val="Style10"/>
        <w:keepNext w:val="0"/>
        <w:keepLines w:val="0"/>
        <w:widowControl w:val="0"/>
        <w:shd w:val="clear" w:color="auto" w:fill="auto"/>
        <w:bidi w:val="0"/>
        <w:spacing w:before="0" w:after="140" w:line="474" w:lineRule="exact"/>
        <w:ind w:left="0" w:right="0" w:firstLine="440"/>
        <w:jc w:val="both"/>
      </w:pPr>
      <w:r>
        <w:rPr>
          <w:color w:val="000000"/>
          <w:spacing w:val="0"/>
          <w:w w:val="100"/>
          <w:position w:val="0"/>
        </w:rPr>
        <w:t>因不符合公司整体战略布局的安排，经</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日召开的第五届董事会第十八次会议审议通过，</w:t>
      </w:r>
    </w:p>
    <w:p>
      <w:pPr>
        <w:pStyle w:val="Style10"/>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公司终止了智能卡项目。</w:t>
      </w:r>
    </w:p>
    <w:p>
      <w:pPr>
        <w:pStyle w:val="Style10"/>
        <w:keepNext w:val="0"/>
        <w:keepLines w:val="0"/>
        <w:widowControl w:val="0"/>
        <w:shd w:val="clear" w:color="auto" w:fill="auto"/>
        <w:tabs>
          <w:tab w:pos="759" w:val="left"/>
        </w:tabs>
        <w:bidi w:val="0"/>
        <w:spacing w:before="0" w:after="0" w:line="468" w:lineRule="exact"/>
        <w:ind w:left="0" w:right="0" w:firstLine="440"/>
        <w:jc w:val="left"/>
      </w:pPr>
      <w:bookmarkStart w:id="548" w:name="bookmark548"/>
      <w:r>
        <w:rPr>
          <w:color w:val="000000"/>
          <w:spacing w:val="0"/>
          <w:w w:val="100"/>
          <w:position w:val="0"/>
        </w:rPr>
        <w:t>3</w:t>
      </w:r>
      <w:bookmarkEnd w:id="548"/>
      <w:r>
        <w:rPr>
          <w:color w:val="000000"/>
          <w:spacing w:val="0"/>
          <w:w w:val="100"/>
          <w:position w:val="0"/>
        </w:rPr>
        <w:t>、</w:t>
        <w:tab/>
        <w:t>关于公司股东协议转让部分股份的事项</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日，公司持股</w:t>
      </w:r>
      <w:r>
        <w:rPr>
          <w:color w:val="000000"/>
          <w:spacing w:val="0"/>
          <w:w w:val="100"/>
          <w:position w:val="0"/>
        </w:rPr>
        <w:t>5%</w:t>
      </w:r>
      <w:r>
        <w:rPr>
          <w:color w:val="000000"/>
          <w:spacing w:val="0"/>
          <w:w w:val="100"/>
          <w:position w:val="0"/>
        </w:rPr>
        <w:t>以上股东尤丽娟女士与上海征士博在福州签署了《股份转让协议》， 约定将其持有的公司合计</w:t>
      </w:r>
      <w:r>
        <w:rPr>
          <w:color w:val="000000"/>
          <w:spacing w:val="0"/>
          <w:w w:val="100"/>
          <w:position w:val="0"/>
        </w:rPr>
        <w:t>28,033,115</w:t>
      </w:r>
      <w:r>
        <w:rPr>
          <w:color w:val="000000"/>
          <w:spacing w:val="0"/>
          <w:w w:val="100"/>
          <w:position w:val="0"/>
        </w:rPr>
        <w:t>股股份（占公司股本总额的</w:t>
      </w:r>
      <w:r>
        <w:rPr>
          <w:color w:val="000000"/>
          <w:spacing w:val="0"/>
          <w:w w:val="100"/>
          <w:position w:val="0"/>
        </w:rPr>
        <w:t>5.6253%）</w:t>
      </w:r>
      <w:r>
        <w:rPr>
          <w:color w:val="000000"/>
          <w:spacing w:val="0"/>
          <w:w w:val="100"/>
          <w:position w:val="0"/>
        </w:rPr>
        <w:t>转让给上海征士博。本次协议 转让于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日完成过户登记手续，并于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日取得了中国证券登记结算有限责任公 司出具的《证券过户登记确认书》，过户数量</w:t>
      </w:r>
      <w:r>
        <w:rPr>
          <w:color w:val="000000"/>
          <w:spacing w:val="0"/>
          <w:w w:val="100"/>
          <w:position w:val="0"/>
        </w:rPr>
        <w:t>28, 033,115</w:t>
      </w:r>
      <w:r>
        <w:rPr>
          <w:color w:val="000000"/>
          <w:spacing w:val="0"/>
          <w:w w:val="100"/>
          <w:position w:val="0"/>
        </w:rPr>
        <w:t>股，股份性质为无限售流通股。</w:t>
      </w:r>
    </w:p>
    <w:p>
      <w:pPr>
        <w:pStyle w:val="Style10"/>
        <w:keepNext w:val="0"/>
        <w:keepLines w:val="0"/>
        <w:widowControl w:val="0"/>
        <w:shd w:val="clear" w:color="auto" w:fill="auto"/>
        <w:tabs>
          <w:tab w:pos="759" w:val="left"/>
        </w:tabs>
        <w:bidi w:val="0"/>
        <w:spacing w:before="0" w:after="0" w:line="468" w:lineRule="exact"/>
        <w:ind w:left="0" w:right="0" w:firstLine="440"/>
        <w:jc w:val="both"/>
      </w:pPr>
      <w:bookmarkStart w:id="549" w:name="bookmark549"/>
      <w:r>
        <w:rPr>
          <w:color w:val="000000"/>
          <w:spacing w:val="0"/>
          <w:w w:val="100"/>
          <w:position w:val="0"/>
        </w:rPr>
        <w:t>4</w:t>
      </w:r>
      <w:bookmarkEnd w:id="549"/>
      <w:r>
        <w:rPr>
          <w:color w:val="000000"/>
          <w:spacing w:val="0"/>
          <w:w w:val="100"/>
          <w:position w:val="0"/>
        </w:rPr>
        <w:t>、</w:t>
        <w:tab/>
        <w:t>关于持股</w:t>
      </w:r>
      <w:r>
        <w:rPr>
          <w:color w:val="000000"/>
          <w:spacing w:val="0"/>
          <w:w w:val="100"/>
          <w:position w:val="0"/>
        </w:rPr>
        <w:t>5%</w:t>
      </w:r>
      <w:r>
        <w:rPr>
          <w:color w:val="000000"/>
          <w:spacing w:val="0"/>
          <w:w w:val="100"/>
          <w:position w:val="0"/>
        </w:rPr>
        <w:t>以上股东减持股份的进展情况</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日收到股东尤丽娟女士、尤友岳先生、尤友鸾先生发来的《关于股份减持计划 的告知函》，尤丽娟女士、尤友岳先生、尤友鸾先生拟通过集中竞价、大宗交易的方式减持其持有的公司 股票，减持数量为</w:t>
      </w:r>
      <w:r>
        <w:rPr>
          <w:color w:val="000000"/>
          <w:spacing w:val="0"/>
          <w:w w:val="100"/>
          <w:position w:val="0"/>
        </w:rPr>
        <w:t>28,114,992</w:t>
      </w:r>
      <w:r>
        <w:rPr>
          <w:color w:val="000000"/>
          <w:spacing w:val="0"/>
          <w:w w:val="100"/>
          <w:position w:val="0"/>
        </w:rPr>
        <w:t>股，占公司总股本的</w:t>
      </w:r>
      <w:r>
        <w:rPr>
          <w:color w:val="000000"/>
          <w:spacing w:val="0"/>
          <w:w w:val="100"/>
          <w:position w:val="0"/>
        </w:rPr>
        <w:t>5.6417%</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日，本减持计划已提 前终止，本次减持股份完成后，尤氏家族合计持有公司股份</w:t>
      </w:r>
      <w:r>
        <w:rPr>
          <w:color w:val="000000"/>
          <w:spacing w:val="0"/>
          <w:w w:val="100"/>
          <w:position w:val="0"/>
        </w:rPr>
        <w:t>8,181,435</w:t>
      </w:r>
      <w:r>
        <w:rPr>
          <w:color w:val="000000"/>
          <w:spacing w:val="0"/>
          <w:w w:val="100"/>
          <w:position w:val="0"/>
        </w:rPr>
        <w:t>股，占公司总股本的比例为</w:t>
      </w:r>
      <w:r>
        <w:rPr>
          <w:color w:val="000000"/>
          <w:spacing w:val="0"/>
          <w:w w:val="100"/>
          <w:position w:val="0"/>
        </w:rPr>
        <w:t xml:space="preserve">1.6417%； </w:t>
      </w:r>
      <w:r>
        <w:rPr>
          <w:color w:val="000000"/>
          <w:spacing w:val="0"/>
          <w:w w:val="100"/>
          <w:position w:val="0"/>
        </w:rPr>
        <w:t>合计减持股份</w:t>
      </w:r>
      <w:r>
        <w:rPr>
          <w:color w:val="000000"/>
          <w:spacing w:val="0"/>
          <w:w w:val="100"/>
          <w:position w:val="0"/>
        </w:rPr>
        <w:t>19,933,557</w:t>
      </w:r>
      <w:r>
        <w:rPr>
          <w:color w:val="000000"/>
          <w:spacing w:val="0"/>
          <w:w w:val="100"/>
          <w:position w:val="0"/>
        </w:rPr>
        <w:t>股，占公司总股本的比例为</w:t>
      </w:r>
      <w:r>
        <w:rPr>
          <w:color w:val="000000"/>
          <w:spacing w:val="0"/>
          <w:w w:val="100"/>
          <w:position w:val="0"/>
        </w:rPr>
        <w:t>3.99996%，</w:t>
      </w:r>
      <w:r>
        <w:rPr>
          <w:color w:val="000000"/>
          <w:spacing w:val="0"/>
          <w:w w:val="100"/>
          <w:position w:val="0"/>
        </w:rPr>
        <w:t>减持股数未超过减持计划预计的数量。</w:t>
      </w:r>
    </w:p>
    <w:p>
      <w:pPr>
        <w:pStyle w:val="Style10"/>
        <w:keepNext w:val="0"/>
        <w:keepLines w:val="0"/>
        <w:widowControl w:val="0"/>
        <w:shd w:val="clear" w:color="auto" w:fill="auto"/>
        <w:tabs>
          <w:tab w:pos="759" w:val="left"/>
        </w:tabs>
        <w:bidi w:val="0"/>
        <w:spacing w:before="0" w:after="0" w:line="468" w:lineRule="exact"/>
        <w:ind w:left="0" w:right="0" w:firstLine="440"/>
        <w:jc w:val="both"/>
      </w:pPr>
      <w:bookmarkStart w:id="550" w:name="bookmark550"/>
      <w:r>
        <w:rPr>
          <w:color w:val="000000"/>
          <w:spacing w:val="0"/>
          <w:w w:val="100"/>
          <w:position w:val="0"/>
        </w:rPr>
        <w:t>5</w:t>
      </w:r>
      <w:bookmarkEnd w:id="550"/>
      <w:r>
        <w:rPr>
          <w:color w:val="000000"/>
          <w:spacing w:val="0"/>
          <w:w w:val="100"/>
          <w:position w:val="0"/>
        </w:rPr>
        <w:t>、</w:t>
        <w:tab/>
        <w:t>关于独立董事任期届满离任暨补选独立董事的事项</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公司独立董事胡穗华女士自</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28</w:t>
      </w:r>
      <w:r>
        <w:rPr>
          <w:color w:val="000000"/>
          <w:spacing w:val="0"/>
          <w:w w:val="100"/>
          <w:position w:val="0"/>
        </w:rPr>
        <w:t>日起担任公司独立董事，根据中国证监会《关于在上市公 司建立独立董事制度的指导意见》及深圳证券交易所相关规定，独立董事连任时间不得超过六年，胡穗华 女士的任期届满后不再担任公司独立董事及董事会专门委员会相关职务。为完善公司治理结构，经公司董 事会提名，并经公司董事会提名委员会对独立董事候选人的任职资格进行审核，公司于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12</w:t>
      </w:r>
      <w:r>
        <w:rPr>
          <w:color w:val="000000"/>
          <w:spacing w:val="0"/>
          <w:w w:val="100"/>
          <w:position w:val="0"/>
        </w:rPr>
        <w:t>日 召开第五届董事会第二十二次会议，审议通过《关于提名钟鸿钧先生为公司第五届董事会独立董事候选人 的议案》。公司董事会提名钟鸿钧先生为第五届董事会独立董事候选人，任期自股东大会审议通过之日起 至本届董事会届满之日止。本事项已经公司</w:t>
      </w:r>
      <w:r>
        <w:rPr>
          <w:color w:val="000000"/>
          <w:spacing w:val="0"/>
          <w:w w:val="100"/>
          <w:position w:val="0"/>
        </w:rPr>
        <w:t>2021</w:t>
      </w:r>
      <w:r>
        <w:rPr>
          <w:color w:val="000000"/>
          <w:spacing w:val="0"/>
          <w:w w:val="100"/>
          <w:position w:val="0"/>
        </w:rPr>
        <w:t>年第一次临时股东大会审议通过。</w:t>
      </w:r>
    </w:p>
    <w:p>
      <w:pPr>
        <w:pStyle w:val="Style10"/>
        <w:keepNext w:val="0"/>
        <w:keepLines w:val="0"/>
        <w:widowControl w:val="0"/>
        <w:shd w:val="clear" w:color="auto" w:fill="auto"/>
        <w:tabs>
          <w:tab w:pos="759" w:val="left"/>
        </w:tabs>
        <w:bidi w:val="0"/>
        <w:spacing w:before="0" w:after="0" w:line="468" w:lineRule="exact"/>
        <w:ind w:left="0" w:right="0" w:firstLine="440"/>
        <w:jc w:val="left"/>
      </w:pPr>
      <w:bookmarkStart w:id="551" w:name="bookmark551"/>
      <w:r>
        <w:rPr>
          <w:color w:val="000000"/>
          <w:spacing w:val="0"/>
          <w:w w:val="100"/>
          <w:position w:val="0"/>
        </w:rPr>
        <w:t>6</w:t>
      </w:r>
      <w:bookmarkEnd w:id="551"/>
      <w:r>
        <w:rPr>
          <w:color w:val="000000"/>
          <w:spacing w:val="0"/>
          <w:w w:val="100"/>
          <w:position w:val="0"/>
        </w:rPr>
        <w:t>、</w:t>
        <w:tab/>
        <w:t>关于公司非职工代表监事辞职暨补选非职工代表监事的事项</w:t>
      </w:r>
    </w:p>
    <w:p>
      <w:pPr>
        <w:pStyle w:val="Style10"/>
        <w:keepNext w:val="0"/>
        <w:keepLines w:val="0"/>
        <w:widowControl w:val="0"/>
        <w:shd w:val="clear" w:color="auto" w:fill="auto"/>
        <w:bidi w:val="0"/>
        <w:spacing w:before="0" w:after="260" w:line="470" w:lineRule="exact"/>
        <w:ind w:left="0" w:right="0" w:firstLine="440"/>
        <w:jc w:val="left"/>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日接到监事会非职工代表监事丁艳女士、陈芙蓉女士的书面辞职申请。丁艳女 士、陈芙蓉女士因工作原因辞去公司第五届监事会非职工代表监事职务，辞职后，丁艳女士、陈芙蓉女士 将不在公司担任任何职务。为保证公司监事会正常运作，根据《公司法》、《公司章程》及《监事会议事 规则》等有关规定，公司于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12</w:t>
      </w:r>
      <w:r>
        <w:rPr>
          <w:color w:val="000000"/>
          <w:spacing w:val="0"/>
          <w:w w:val="100"/>
          <w:position w:val="0"/>
        </w:rPr>
        <w:t>日召开了第五届监事会第十七次会议，审议通过了《关于补选 非职工代表监事的议案》。经监事会资格审核，决定提名许松先生、张莹女士为第五届监事会非职工代表 监事候选人，任期自股东大会审议通过之日起至第五届监事会届满之日止。本事项已经公司</w:t>
      </w:r>
      <w:r>
        <w:rPr>
          <w:color w:val="000000"/>
          <w:spacing w:val="0"/>
          <w:w w:val="100"/>
          <w:position w:val="0"/>
        </w:rPr>
        <w:t>2021</w:t>
      </w:r>
      <w:r>
        <w:rPr>
          <w:color w:val="000000"/>
          <w:spacing w:val="0"/>
          <w:w w:val="100"/>
          <w:position w:val="0"/>
        </w:rPr>
        <w:t>年第一 次临时股东大会审议通过。</w:t>
      </w:r>
    </w:p>
    <w:p>
      <w:pPr>
        <w:pStyle w:val="Style10"/>
        <w:keepNext w:val="0"/>
        <w:keepLines w:val="0"/>
        <w:widowControl w:val="0"/>
        <w:shd w:val="clear" w:color="auto" w:fill="auto"/>
        <w:bidi w:val="0"/>
        <w:spacing w:before="0" w:after="0" w:line="240" w:lineRule="auto"/>
        <w:ind w:left="0" w:right="0" w:firstLine="440"/>
        <w:jc w:val="left"/>
      </w:pPr>
      <w:bookmarkStart w:id="552" w:name="bookmark552"/>
      <w:r>
        <w:rPr>
          <w:color w:val="000000"/>
          <w:spacing w:val="0"/>
          <w:w w:val="100"/>
          <w:position w:val="0"/>
        </w:rPr>
        <w:t>7</w:t>
      </w:r>
      <w:bookmarkEnd w:id="552"/>
      <w:r>
        <w:rPr>
          <w:color w:val="000000"/>
          <w:spacing w:val="0"/>
          <w:w w:val="100"/>
          <w:position w:val="0"/>
        </w:rPr>
        <w:t>、关于修订《公司章程》的事项</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30</w:t>
      </w:r>
      <w:r>
        <w:rPr>
          <w:color w:val="000000"/>
          <w:spacing w:val="0"/>
          <w:w w:val="100"/>
          <w:position w:val="0"/>
        </w:rPr>
        <w:t>日召开第五届董事会第二十三次会议，会议审议通过了《关于修改公司章程的 议案》，根据《公司法》、《证券法</w:t>
      </w:r>
      <w:r>
        <w:rPr>
          <w:color w:val="000000"/>
          <w:spacing w:val="0"/>
          <w:w w:val="100"/>
          <w:position w:val="0"/>
        </w:rPr>
        <w:t>（2019</w:t>
      </w:r>
      <w:r>
        <w:rPr>
          <w:color w:val="000000"/>
          <w:spacing w:val="0"/>
          <w:w w:val="100"/>
          <w:position w:val="0"/>
        </w:rPr>
        <w:t>年修订）》、《深圳证券交易所上市公司规范运作指引</w:t>
      </w:r>
      <w:r>
        <w:rPr>
          <w:color w:val="000000"/>
          <w:spacing w:val="0"/>
          <w:w w:val="100"/>
          <w:position w:val="0"/>
        </w:rPr>
        <w:t xml:space="preserve">（2020 </w:t>
      </w:r>
      <w:r>
        <w:rPr>
          <w:color w:val="000000"/>
          <w:spacing w:val="0"/>
          <w:w w:val="100"/>
          <w:position w:val="0"/>
        </w:rPr>
        <w:t xml:space="preserve">年修订）》等的有关要求，结合公司实际情况，对《公司章程》中的部分条款进行修改，本事项已经公司 </w:t>
      </w:r>
      <w:r>
        <w:rPr>
          <w:color w:val="000000"/>
          <w:spacing w:val="0"/>
          <w:w w:val="100"/>
          <w:position w:val="0"/>
        </w:rPr>
        <w:t>2021</w:t>
      </w:r>
      <w:r>
        <w:rPr>
          <w:color w:val="000000"/>
          <w:spacing w:val="0"/>
          <w:w w:val="100"/>
          <w:position w:val="0"/>
        </w:rPr>
        <w:t>年第二次临时股东大会审议通过。</w:t>
      </w:r>
    </w:p>
    <w:p>
      <w:pPr>
        <w:pStyle w:val="Style10"/>
        <w:keepNext w:val="0"/>
        <w:keepLines w:val="0"/>
        <w:widowControl w:val="0"/>
        <w:shd w:val="clear" w:color="auto" w:fill="auto"/>
        <w:bidi w:val="0"/>
        <w:spacing w:before="0" w:after="0" w:line="471" w:lineRule="exact"/>
        <w:ind w:left="0" w:right="0" w:firstLine="440"/>
        <w:jc w:val="left"/>
      </w:pPr>
      <w:bookmarkStart w:id="553" w:name="bookmark553"/>
      <w:r>
        <w:rPr>
          <w:color w:val="000000"/>
          <w:spacing w:val="0"/>
          <w:w w:val="100"/>
          <w:position w:val="0"/>
        </w:rPr>
        <w:t>8</w:t>
      </w:r>
      <w:bookmarkEnd w:id="553"/>
      <w:r>
        <w:rPr>
          <w:color w:val="000000"/>
          <w:spacing w:val="0"/>
          <w:w w:val="100"/>
          <w:position w:val="0"/>
        </w:rPr>
        <w:t>、关于公司参与投资设立河南濮郡金勤产业投资基金一期合伙企业（有限合伙）的事项</w:t>
      </w:r>
    </w:p>
    <w:p>
      <w:pPr>
        <w:pStyle w:val="Style10"/>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日召开第五届董事会第二十六次会议审议通过了《关于公司参与投资设立河 南濮郡金勤产业投资基金一期（有限合伙）的议案》，同意公司以自有资金出资</w:t>
      </w:r>
      <w:r>
        <w:rPr>
          <w:color w:val="000000"/>
          <w:spacing w:val="0"/>
          <w:w w:val="100"/>
          <w:position w:val="0"/>
        </w:rPr>
        <w:t>15,000</w:t>
      </w:r>
      <w:r>
        <w:rPr>
          <w:color w:val="000000"/>
          <w:spacing w:val="0"/>
          <w:w w:val="100"/>
          <w:position w:val="0"/>
        </w:rPr>
        <w:t>万元作为有限合 伙人参与投资河南濮郡金勤产业投资基金一期合伙企业（有限合伙）。</w:t>
      </w:r>
    </w:p>
    <w:p>
      <w:pPr>
        <w:pStyle w:val="Style21"/>
        <w:keepNext/>
        <w:keepLines/>
        <w:widowControl w:val="0"/>
        <w:shd w:val="clear" w:color="auto" w:fill="auto"/>
        <w:bidi w:val="0"/>
        <w:spacing w:before="0" w:after="380" w:line="240" w:lineRule="auto"/>
        <w:ind w:left="0" w:right="0" w:firstLine="0"/>
        <w:jc w:val="both"/>
      </w:pPr>
      <w:bookmarkStart w:id="554" w:name="bookmark554"/>
      <w:bookmarkStart w:id="555" w:name="bookmark555"/>
      <w:bookmarkStart w:id="556" w:name="bookmark556"/>
      <w:r>
        <w:rPr>
          <w:color w:val="000000"/>
          <w:spacing w:val="0"/>
          <w:w w:val="100"/>
          <w:position w:val="0"/>
        </w:rPr>
        <w:t>十七、公司子公司重大事项</w:t>
      </w:r>
      <w:bookmarkEnd w:id="554"/>
      <w:bookmarkEnd w:id="555"/>
      <w:bookmarkEnd w:id="556"/>
    </w:p>
    <w:p>
      <w:pPr>
        <w:pStyle w:val="Style26"/>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rPr>
        <w:t>第七节股份变动及股东情况</w:t>
      </w:r>
    </w:p>
    <w:p>
      <w:pPr>
        <w:pStyle w:val="Style21"/>
        <w:keepNext/>
        <w:keepLines/>
        <w:widowControl w:val="0"/>
        <w:shd w:val="clear" w:color="auto" w:fill="auto"/>
        <w:bidi w:val="0"/>
        <w:spacing w:before="0" w:after="380" w:line="240" w:lineRule="auto"/>
        <w:ind w:left="0" w:right="0" w:firstLine="0"/>
        <w:jc w:val="left"/>
      </w:pPr>
      <w:bookmarkStart w:id="557" w:name="bookmark557"/>
      <w:bookmarkStart w:id="558" w:name="bookmark558"/>
      <w:bookmarkStart w:id="559" w:name="bookmark559"/>
      <w:bookmarkStart w:id="560" w:name="bookmark560"/>
      <w:bookmarkStart w:id="561" w:name="bookmark561"/>
      <w:r>
        <w:rPr>
          <w:color w:val="000000"/>
          <w:spacing w:val="0"/>
          <w:w w:val="100"/>
          <w:position w:val="0"/>
        </w:rPr>
        <w:t>一</w:t>
      </w:r>
      <w:bookmarkEnd w:id="560"/>
      <w:r>
        <w:rPr>
          <w:color w:val="000000"/>
          <w:spacing w:val="0"/>
          <w:w w:val="100"/>
          <w:position w:val="0"/>
        </w:rPr>
        <w:t>、股份变动情况</w:t>
      </w:r>
      <w:bookmarkEnd w:id="558"/>
      <w:bookmarkEnd w:id="559"/>
      <w:bookmarkEnd w:id="561"/>
      <w:bookmarkEnd w:id="557"/>
    </w:p>
    <w:p>
      <w:pPr>
        <w:pStyle w:val="Style29"/>
        <w:keepNext/>
        <w:keepLines/>
        <w:widowControl w:val="0"/>
        <w:shd w:val="clear" w:color="auto" w:fill="auto"/>
        <w:bidi w:val="0"/>
        <w:spacing w:before="0" w:after="38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、股份变动情况</w:t>
      </w:r>
      <w:bookmarkEnd w:id="562"/>
      <w:bookmarkEnd w:id="563"/>
      <w:bookmarkEnd w:id="565"/>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公积金转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498,254,6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498,270,9</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498,254,6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498,270,9</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498,344,2</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498,344,2</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 xml:space="preserve">不适用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公司董事、监事、高级管理人员所持股份自任职之日起每年按其前一年度末所持股份的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锁定为高管锁定股。</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、限售股份变动情况</w:t>
      </w:r>
      <w:bookmarkEnd w:id="566"/>
      <w:bookmarkEnd w:id="567"/>
      <w:bookmarkEnd w:id="569"/>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二</w:t>
      </w:r>
      <w:bookmarkEnd w:id="572"/>
      <w:r>
        <w:rPr>
          <w:color w:val="000000"/>
          <w:spacing w:val="0"/>
          <w:w w:val="100"/>
          <w:position w:val="0"/>
        </w:rPr>
        <w:t>、</w:t>
        <w:tab/>
        <w:t>证券发行与上市情况</w:t>
      </w:r>
      <w:bookmarkEnd w:id="570"/>
      <w:bookmarkEnd w:id="571"/>
      <w:bookmarkEnd w:id="573"/>
    </w:p>
    <w:p>
      <w:pPr>
        <w:pStyle w:val="Style29"/>
        <w:keepNext/>
        <w:keepLines/>
        <w:widowControl w:val="0"/>
        <w:shd w:val="clear" w:color="auto" w:fill="auto"/>
        <w:tabs>
          <w:tab w:pos="358" w:val="left"/>
        </w:tabs>
        <w:bidi w:val="0"/>
        <w:spacing w:before="0" w:after="38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1</w:t>
      </w:r>
      <w:bookmarkEnd w:id="576"/>
      <w:r>
        <w:rPr>
          <w:color w:val="000000"/>
          <w:spacing w:val="0"/>
          <w:w w:val="100"/>
          <w:position w:val="0"/>
        </w:rPr>
        <w:t>、</w:t>
        <w:tab/>
        <w:t>报告期内证券发行（不含优先股）情况</w:t>
      </w:r>
      <w:bookmarkEnd w:id="574"/>
      <w:bookmarkEnd w:id="575"/>
      <w:bookmarkEnd w:id="577"/>
    </w:p>
    <w:p>
      <w:pPr>
        <w:pStyle w:val="Style26"/>
        <w:keepNext w:val="0"/>
        <w:keepLines w:val="0"/>
        <w:widowControl w:val="0"/>
        <w:numPr>
          <w:ilvl w:val="0"/>
          <w:numId w:val="19"/>
        </w:numPr>
        <w:shd w:val="clear" w:color="auto" w:fill="auto"/>
        <w:tabs>
          <w:tab w:pos="282" w:val="left"/>
        </w:tabs>
        <w:bidi w:val="0"/>
        <w:spacing w:before="0" w:after="380" w:line="240" w:lineRule="auto"/>
        <w:ind w:left="0" w:right="0" w:firstLine="0"/>
        <w:jc w:val="left"/>
      </w:pPr>
      <w:bookmarkStart w:id="578" w:name="bookmark578"/>
      <w:bookmarkEnd w:id="57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68" w:val="left"/>
        </w:tabs>
        <w:bidi w:val="0"/>
        <w:spacing w:before="0" w:after="38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2</w:t>
      </w:r>
      <w:bookmarkEnd w:id="581"/>
      <w:r>
        <w:rPr>
          <w:color w:val="000000"/>
          <w:spacing w:val="0"/>
          <w:w w:val="100"/>
          <w:position w:val="0"/>
        </w:rPr>
        <w:t>、</w:t>
        <w:tab/>
        <w:t>公司股份总数及股东结构的变动、公司资产和负债结构的变动情况说明</w:t>
      </w:r>
      <w:bookmarkEnd w:id="579"/>
      <w:bookmarkEnd w:id="580"/>
      <w:bookmarkEnd w:id="582"/>
    </w:p>
    <w:p>
      <w:pPr>
        <w:pStyle w:val="Style26"/>
        <w:keepNext w:val="0"/>
        <w:keepLines w:val="0"/>
        <w:widowControl w:val="0"/>
        <w:numPr>
          <w:ilvl w:val="0"/>
          <w:numId w:val="19"/>
        </w:numPr>
        <w:shd w:val="clear" w:color="auto" w:fill="auto"/>
        <w:tabs>
          <w:tab w:pos="282" w:val="left"/>
        </w:tabs>
        <w:bidi w:val="0"/>
        <w:spacing w:before="0" w:after="380" w:line="240" w:lineRule="auto"/>
        <w:ind w:left="0" w:right="0" w:firstLine="0"/>
        <w:jc w:val="left"/>
      </w:pPr>
      <w:bookmarkStart w:id="583" w:name="bookmark583"/>
      <w:bookmarkEnd w:id="58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68" w:val="left"/>
        </w:tabs>
        <w:bidi w:val="0"/>
        <w:spacing w:before="0" w:after="38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3</w:t>
      </w:r>
      <w:bookmarkEnd w:id="586"/>
      <w:r>
        <w:rPr>
          <w:color w:val="000000"/>
          <w:spacing w:val="0"/>
          <w:w w:val="100"/>
          <w:position w:val="0"/>
        </w:rPr>
        <w:t>、</w:t>
        <w:tab/>
        <w:t>现存的内部职工股情况</w:t>
      </w:r>
      <w:bookmarkEnd w:id="584"/>
      <w:bookmarkEnd w:id="585"/>
      <w:bookmarkEnd w:id="587"/>
    </w:p>
    <w:p>
      <w:pPr>
        <w:pStyle w:val="Style26"/>
        <w:keepNext w:val="0"/>
        <w:keepLines w:val="0"/>
        <w:widowControl w:val="0"/>
        <w:numPr>
          <w:ilvl w:val="0"/>
          <w:numId w:val="19"/>
        </w:numPr>
        <w:shd w:val="clear" w:color="auto" w:fill="auto"/>
        <w:tabs>
          <w:tab w:pos="282" w:val="left"/>
        </w:tabs>
        <w:bidi w:val="0"/>
        <w:spacing w:before="0" w:after="380" w:line="240" w:lineRule="auto"/>
        <w:ind w:left="0" w:right="0" w:firstLine="0"/>
        <w:jc w:val="left"/>
      </w:pPr>
      <w:bookmarkStart w:id="588" w:name="bookmark588"/>
      <w:bookmarkEnd w:id="58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22" w:val="left"/>
        </w:tabs>
        <w:bidi w:val="0"/>
        <w:spacing w:before="0" w:after="38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三</w:t>
      </w:r>
      <w:bookmarkEnd w:id="591"/>
      <w:r>
        <w:rPr>
          <w:color w:val="000000"/>
          <w:spacing w:val="0"/>
          <w:w w:val="100"/>
          <w:position w:val="0"/>
        </w:rPr>
        <w:t>、</w:t>
        <w:tab/>
        <w:t>股东和实际控制人情况</w:t>
      </w:r>
      <w:bookmarkEnd w:id="589"/>
      <w:bookmarkEnd w:id="590"/>
      <w:bookmarkEnd w:id="592"/>
    </w:p>
    <w:p>
      <w:pPr>
        <w:pStyle w:val="Style29"/>
        <w:keepNext/>
        <w:keepLines/>
        <w:widowControl w:val="0"/>
        <w:shd w:val="clear" w:color="auto" w:fill="auto"/>
        <w:bidi w:val="0"/>
        <w:spacing w:before="0" w:after="38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color w:val="000000"/>
          <w:spacing w:val="0"/>
          <w:w w:val="100"/>
          <w:position w:val="0"/>
        </w:rPr>
        <w:t>、公司股东数量及持股情况</w:t>
      </w:r>
      <w:bookmarkEnd w:id="593"/>
      <w:bookmarkEnd w:id="594"/>
      <w:bookmarkEnd w:id="596"/>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单位：股</w:t>
      </w:r>
    </w:p>
    <w:tbl>
      <w:tblPr>
        <w:tblOverlap w:val="never"/>
        <w:jc w:val="center"/>
        <w:tblLayout w:type="fixed"/>
      </w:tblPr>
      <w:tblGrid>
        <w:gridCol w:w="1210"/>
        <w:gridCol w:w="269"/>
        <w:gridCol w:w="926"/>
        <w:gridCol w:w="485"/>
        <w:gridCol w:w="806"/>
        <w:gridCol w:w="768"/>
        <w:gridCol w:w="331"/>
        <w:gridCol w:w="456"/>
        <w:gridCol w:w="787"/>
        <w:gridCol w:w="221"/>
        <w:gridCol w:w="619"/>
        <w:gridCol w:w="442"/>
        <w:gridCol w:w="907"/>
        <w:gridCol w:w="422"/>
        <w:gridCol w:w="936"/>
      </w:tblGrid>
      <w:tr>
        <w:trPr>
          <w:trHeight w:val="165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28,513</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28,915</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报告期末</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河南寓泰控股有 限公司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71,263,78</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71,263,78</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40,940,000</w:t>
            </w:r>
          </w:p>
        </w:tc>
      </w:tr>
      <w:tr>
        <w:trPr>
          <w:trHeight w:val="710"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河南辉熠贸易有 限公司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1037"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上海征士博企业 管理合伙企业（有 限合伙）</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28,033,11</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28,033,11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28,033,11</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上海烜鼎资产管 理有限公司一烜 鼎星辰</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号私募 证券投资基金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9,966,800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9,966,800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源鸿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6,883,406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3,716,062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6,883,406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尤丽娟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6,203,135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-28,033,1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6,203,135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3,450,200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2,257,061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傅永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3,423,442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3,068,542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3,423,442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殷伟民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3,036,115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3,036,115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周克明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2,180,900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78"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18"/>
              <w:keepNext w:val="0"/>
              <w:keepLines w:val="0"/>
              <w:widowControl w:val="0"/>
              <w:numPr>
                <w:ilvl w:val="0"/>
                <w:numId w:val="21"/>
              </w:numPr>
              <w:shd w:val="clear" w:color="auto" w:fill="auto"/>
              <w:tabs>
                <w:tab w:pos="139" w:val="left"/>
              </w:tabs>
              <w:bidi w:val="0"/>
              <w:spacing w:before="0" w:after="0" w:line="317" w:lineRule="exact"/>
              <w:ind w:left="0" w:right="0" w:firstLine="0"/>
              <w:jc w:val="both"/>
            </w:pPr>
            <w:r>
              <w:rPr>
                <w:color w:val="000000"/>
                <w:spacing w:val="0"/>
                <w:w w:val="100"/>
                <w:position w:val="0"/>
              </w:rPr>
              <w:t>本公司前十名股东中河南寓泰控股有限公司、河南辉熠贸易有限公司系同一实际控 制人毛伟先生控制的关联企业。</w:t>
            </w:r>
          </w:p>
          <w:p>
            <w:pPr>
              <w:pStyle w:val="Style18"/>
              <w:keepNext w:val="0"/>
              <w:keepLines w:val="0"/>
              <w:widowControl w:val="0"/>
              <w:numPr>
                <w:ilvl w:val="0"/>
                <w:numId w:val="21"/>
              </w:numPr>
              <w:shd w:val="clear" w:color="auto" w:fill="auto"/>
              <w:tabs>
                <w:tab w:pos="154" w:val="left"/>
              </w:tabs>
              <w:bidi w:val="0"/>
              <w:spacing w:before="0" w:after="0" w:line="317" w:lineRule="exact"/>
              <w:ind w:left="0" w:right="0" w:firstLine="0"/>
              <w:jc w:val="both"/>
            </w:pPr>
            <w:r>
              <w:rPr>
                <w:color w:val="000000"/>
                <w:spacing w:val="0"/>
                <w:w w:val="100"/>
                <w:position w:val="0"/>
              </w:rPr>
              <w:t>除上述股东外，公司未知其他股东之间是否存在关联关系或属于《上市公司收购管 理办法》中规定的一致行动人。</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公司回购专用证券账户持有</w:t>
            </w:r>
            <w:r>
              <w:rPr>
                <w:rFonts w:ascii="Times New Roman" w:eastAsia="Times New Roman" w:hAnsi="Times New Roman" w:cs="Times New Roman"/>
                <w:color w:val="000000"/>
                <w:spacing w:val="0"/>
                <w:w w:val="100"/>
                <w:position w:val="0"/>
                <w:sz w:val="18"/>
                <w:szCs w:val="18"/>
              </w:rPr>
              <w:t>5,155,550</w:t>
            </w:r>
            <w:r>
              <w:rPr>
                <w:color w:val="000000"/>
                <w:spacing w:val="0"/>
                <w:w w:val="100"/>
                <w:position w:val="0"/>
              </w:rPr>
              <w:t>股股份，占公司总股本的比例为</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,按要求 未纳入前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名股东列示。</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河南寓泰控股有限公司</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71,263,785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71,263,785</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河南辉熠贸易有限公司</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上海征士博企业管理合伙企业（有限 合伙）</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28,033,115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28,033,115</w:t>
            </w: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上海烜鼎资产管理有限公司一烜鼎 星辰</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号私募证券投资基金</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9,966,800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9,966,800</w:t>
            </w:r>
          </w:p>
        </w:tc>
      </w:tr>
      <w:tr>
        <w:trPr>
          <w:trHeight w:val="398"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源鸿</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6,883,406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6,883,406</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尤丽娟</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6,203,135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6,203,135</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3,450,200</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傅永</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3,423,442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3,423,442</w:t>
            </w:r>
          </w:p>
        </w:tc>
      </w:tr>
      <w:tr>
        <w:trPr>
          <w:trHeight w:val="398"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殷伟民</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3,036,115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3,036,115</w:t>
            </w:r>
          </w:p>
        </w:tc>
      </w:tr>
      <w:tr>
        <w:trPr>
          <w:trHeight w:val="413"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周克明</w:t>
            </w:r>
          </w:p>
        </w:tc>
        <w:tc>
          <w:tcPr>
            <w:gridSpan w:val="5"/>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2,180,900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2,180,900</w:t>
            </w:r>
          </w:p>
        </w:tc>
      </w:tr>
    </w:tbl>
    <w:p>
      <w:pPr>
        <w:widowControl w:val="0"/>
        <w:spacing w:line="1" w:lineRule="exact"/>
      </w:pPr>
      <w:r>
        <w:br w:type="page"/>
      </w:r>
    </w:p>
    <w:tbl>
      <w:tblPr>
        <w:tblOverlap w:val="never"/>
        <w:jc w:val="center"/>
        <w:tblLayout w:type="fixed"/>
      </w:tblPr>
      <w:tblGrid>
        <w:gridCol w:w="2890"/>
        <w:gridCol w:w="6696"/>
      </w:tblGrid>
      <w:tr>
        <w:trPr>
          <w:trHeight w:val="138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tcBorders>
              <w:top w:val="single" w:sz="4"/>
              <w:left w:val="single" w:sz="4"/>
              <w:right w:val="single" w:sz="4"/>
            </w:tcBorders>
            <w:shd w:val="clear" w:color="auto" w:fill="FFFFFF"/>
            <w:vAlign w:val="center"/>
          </w:tcPr>
          <w:p>
            <w:pPr>
              <w:pStyle w:val="Style18"/>
              <w:keepNext w:val="0"/>
              <w:keepLines w:val="0"/>
              <w:widowControl w:val="0"/>
              <w:numPr>
                <w:ilvl w:val="0"/>
                <w:numId w:val="23"/>
              </w:numPr>
              <w:shd w:val="clear" w:color="auto" w:fill="auto"/>
              <w:tabs>
                <w:tab w:pos="139" w:val="left"/>
              </w:tabs>
              <w:bidi w:val="0"/>
              <w:spacing w:before="0" w:after="0" w:line="317" w:lineRule="exact"/>
              <w:ind w:left="0" w:right="0" w:firstLine="0"/>
              <w:jc w:val="both"/>
            </w:pPr>
            <w:r>
              <w:rPr>
                <w:color w:val="000000"/>
                <w:spacing w:val="0"/>
                <w:w w:val="100"/>
                <w:position w:val="0"/>
              </w:rPr>
              <w:t>本公司前十名股东中河南寓泰控股有限公司、河南辉熠贸易有限公司系同一实际控 制人毛伟先生控制的关联企业。</w:t>
            </w:r>
          </w:p>
          <w:p>
            <w:pPr>
              <w:pStyle w:val="Style18"/>
              <w:keepNext w:val="0"/>
              <w:keepLines w:val="0"/>
              <w:widowControl w:val="0"/>
              <w:numPr>
                <w:ilvl w:val="0"/>
                <w:numId w:val="23"/>
              </w:numPr>
              <w:shd w:val="clear" w:color="auto" w:fill="auto"/>
              <w:tabs>
                <w:tab w:pos="154" w:val="left"/>
              </w:tabs>
              <w:bidi w:val="0"/>
              <w:spacing w:before="0" w:after="0" w:line="317" w:lineRule="exact"/>
              <w:ind w:left="0" w:right="0" w:firstLine="0"/>
              <w:jc w:val="both"/>
            </w:pPr>
            <w:r>
              <w:rPr>
                <w:color w:val="000000"/>
                <w:spacing w:val="0"/>
                <w:w w:val="100"/>
                <w:position w:val="0"/>
              </w:rPr>
              <w:t>除上述股东外，公司未知其他股东之间是否存在关联关系或属于《上市公司收购管 理办法》中规定的一致行动人。</w:t>
            </w:r>
          </w:p>
        </w:tc>
      </w:tr>
      <w:tr>
        <w:trPr>
          <w:trHeight w:val="369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tabs>
                <w:tab w:pos="240" w:val="left"/>
              </w:tabs>
              <w:bidi w:val="0"/>
              <w:spacing w:before="0" w:after="40" w:line="30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名无限售流通股东之河南寓泰控股有限公司通过信用证券账户持有本公司股 份</w:t>
            </w:r>
            <w:r>
              <w:rPr>
                <w:rFonts w:ascii="Times New Roman" w:eastAsia="Times New Roman" w:hAnsi="Times New Roman" w:cs="Times New Roman"/>
                <w:color w:val="000000"/>
                <w:spacing w:val="0"/>
                <w:w w:val="100"/>
                <w:position w:val="0"/>
                <w:sz w:val="18"/>
                <w:szCs w:val="18"/>
              </w:rPr>
              <w:t>30,263,785</w:t>
            </w:r>
            <w:r>
              <w:rPr>
                <w:color w:val="000000"/>
                <w:spacing w:val="0"/>
                <w:w w:val="100"/>
                <w:position w:val="0"/>
              </w:rPr>
              <w:t>股，通过普通证券账户持有公司股份</w:t>
            </w:r>
            <w:r>
              <w:rPr>
                <w:rFonts w:ascii="Times New Roman" w:eastAsia="Times New Roman" w:hAnsi="Times New Roman" w:cs="Times New Roman"/>
                <w:color w:val="000000"/>
                <w:spacing w:val="0"/>
                <w:w w:val="100"/>
                <w:position w:val="0"/>
                <w:sz w:val="18"/>
                <w:szCs w:val="18"/>
              </w:rPr>
              <w:t>41,000,000</w:t>
            </w:r>
            <w:r>
              <w:rPr>
                <w:color w:val="000000"/>
                <w:spacing w:val="0"/>
                <w:w w:val="100"/>
                <w:position w:val="0"/>
              </w:rPr>
              <w:t xml:space="preserve">股，合计持有本公司股 份 </w:t>
            </w:r>
            <w:r>
              <w:rPr>
                <w:rFonts w:ascii="Times New Roman" w:eastAsia="Times New Roman" w:hAnsi="Times New Roman" w:cs="Times New Roman"/>
                <w:color w:val="000000"/>
                <w:spacing w:val="0"/>
                <w:w w:val="100"/>
                <w:position w:val="0"/>
                <w:sz w:val="18"/>
                <w:szCs w:val="18"/>
              </w:rPr>
              <w:t xml:space="preserve">71,263,785 </w:t>
            </w:r>
            <w:r>
              <w:rPr>
                <w:color w:val="000000"/>
                <w:spacing w:val="0"/>
                <w:w w:val="100"/>
                <w:position w:val="0"/>
              </w:rPr>
              <w:t>股。</w:t>
            </w:r>
          </w:p>
          <w:p>
            <w:pPr>
              <w:pStyle w:val="Style18"/>
              <w:keepNext w:val="0"/>
              <w:keepLines w:val="0"/>
              <w:widowControl w:val="0"/>
              <w:shd w:val="clear" w:color="auto" w:fill="auto"/>
              <w:tabs>
                <w:tab w:pos="278"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名无限售流通股东之刘春通过信用证券账户持有本公司股份</w:t>
            </w:r>
            <w:r>
              <w:rPr>
                <w:rFonts w:ascii="Times New Roman" w:eastAsia="Times New Roman" w:hAnsi="Times New Roman" w:cs="Times New Roman"/>
                <w:color w:val="000000"/>
                <w:spacing w:val="0"/>
                <w:w w:val="100"/>
                <w:position w:val="0"/>
                <w:sz w:val="18"/>
                <w:szCs w:val="18"/>
              </w:rPr>
              <w:t>3,450,200</w:t>
            </w:r>
            <w:r>
              <w:rPr>
                <w:color w:val="000000"/>
                <w:spacing w:val="0"/>
                <w:w w:val="100"/>
                <w:position w:val="0"/>
              </w:rPr>
              <w:t>股， 通过普通证券账户持有公司股份</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股，合计持有本公司股份</w:t>
            </w:r>
            <w:r>
              <w:rPr>
                <w:rFonts w:ascii="Times New Roman" w:eastAsia="Times New Roman" w:hAnsi="Times New Roman" w:cs="Times New Roman"/>
                <w:color w:val="000000"/>
                <w:spacing w:val="0"/>
                <w:w w:val="100"/>
                <w:position w:val="0"/>
                <w:sz w:val="18"/>
                <w:szCs w:val="18"/>
              </w:rPr>
              <w:t>3,450,200</w:t>
            </w:r>
            <w:r>
              <w:rPr>
                <w:color w:val="000000"/>
                <w:spacing w:val="0"/>
                <w:w w:val="100"/>
                <w:position w:val="0"/>
              </w:rPr>
              <w:t>股。</w:t>
            </w:r>
          </w:p>
          <w:p>
            <w:pPr>
              <w:pStyle w:val="Style18"/>
              <w:keepNext w:val="0"/>
              <w:keepLines w:val="0"/>
              <w:widowControl w:val="0"/>
              <w:shd w:val="clear" w:color="auto" w:fill="auto"/>
              <w:tabs>
                <w:tab w:pos="269"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名无限售流通股东之傅永通过信用证券账户持有本公司股份</w:t>
            </w:r>
            <w:r>
              <w:rPr>
                <w:rFonts w:ascii="Times New Roman" w:eastAsia="Times New Roman" w:hAnsi="Times New Roman" w:cs="Times New Roman"/>
                <w:color w:val="000000"/>
                <w:spacing w:val="0"/>
                <w:w w:val="100"/>
                <w:position w:val="0"/>
                <w:sz w:val="18"/>
                <w:szCs w:val="18"/>
              </w:rPr>
              <w:t>3,423,442</w:t>
            </w:r>
            <w:r>
              <w:rPr>
                <w:color w:val="000000"/>
                <w:spacing w:val="0"/>
                <w:w w:val="100"/>
                <w:position w:val="0"/>
              </w:rPr>
              <w:t>股， 通过普通证券账户持有公司股份</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股，合计持有本公司股份</w:t>
            </w:r>
            <w:r>
              <w:rPr>
                <w:rFonts w:ascii="Times New Roman" w:eastAsia="Times New Roman" w:hAnsi="Times New Roman" w:cs="Times New Roman"/>
                <w:color w:val="000000"/>
                <w:spacing w:val="0"/>
                <w:w w:val="100"/>
                <w:position w:val="0"/>
                <w:sz w:val="18"/>
                <w:szCs w:val="18"/>
              </w:rPr>
              <w:t>3,423,442</w:t>
            </w:r>
            <w:r>
              <w:rPr>
                <w:color w:val="000000"/>
                <w:spacing w:val="0"/>
                <w:w w:val="100"/>
                <w:position w:val="0"/>
              </w:rPr>
              <w:t>股。</w:t>
            </w:r>
          </w:p>
          <w:p>
            <w:pPr>
              <w:pStyle w:val="Style18"/>
              <w:keepNext w:val="0"/>
              <w:keepLines w:val="0"/>
              <w:widowControl w:val="0"/>
              <w:shd w:val="clear" w:color="auto" w:fill="auto"/>
              <w:tabs>
                <w:tab w:pos="250"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名无限售流通股东之殷伟民通过信用证券账户持有本公司股份</w:t>
            </w:r>
            <w:r>
              <w:rPr>
                <w:rFonts w:ascii="Times New Roman" w:eastAsia="Times New Roman" w:hAnsi="Times New Roman" w:cs="Times New Roman"/>
                <w:color w:val="000000"/>
                <w:spacing w:val="0"/>
                <w:w w:val="100"/>
                <w:position w:val="0"/>
                <w:sz w:val="18"/>
                <w:szCs w:val="18"/>
              </w:rPr>
              <w:t>3,036,115</w:t>
            </w:r>
            <w:r>
              <w:rPr>
                <w:color w:val="000000"/>
                <w:spacing w:val="0"/>
                <w:w w:val="100"/>
                <w:position w:val="0"/>
              </w:rPr>
              <w:t>股， 通过普通证券账户持有公司股份</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股，合计持有本公司股份</w:t>
            </w:r>
            <w:r>
              <w:rPr>
                <w:rFonts w:ascii="Times New Roman" w:eastAsia="Times New Roman" w:hAnsi="Times New Roman" w:cs="Times New Roman"/>
                <w:color w:val="000000"/>
                <w:spacing w:val="0"/>
                <w:w w:val="100"/>
                <w:position w:val="0"/>
                <w:sz w:val="18"/>
                <w:szCs w:val="18"/>
              </w:rPr>
              <w:t>3,036,115</w:t>
            </w:r>
            <w:r>
              <w:rPr>
                <w:color w:val="000000"/>
                <w:spacing w:val="0"/>
                <w:w w:val="100"/>
                <w:position w:val="0"/>
              </w:rPr>
              <w:t>股。</w:t>
            </w:r>
          </w:p>
          <w:p>
            <w:pPr>
              <w:pStyle w:val="Style18"/>
              <w:keepNext w:val="0"/>
              <w:keepLines w:val="0"/>
              <w:widowControl w:val="0"/>
              <w:shd w:val="clear" w:color="auto" w:fill="auto"/>
              <w:tabs>
                <w:tab w:pos="269" w:val="left"/>
              </w:tabs>
              <w:bidi w:val="0"/>
              <w:spacing w:before="0" w:after="40" w:line="30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名无限售流通股东之周克明通过信用证券账户持有本公司股份</w:t>
            </w:r>
            <w:r>
              <w:rPr>
                <w:rFonts w:ascii="Times New Roman" w:eastAsia="Times New Roman" w:hAnsi="Times New Roman" w:cs="Times New Roman"/>
                <w:color w:val="000000"/>
                <w:spacing w:val="0"/>
                <w:w w:val="100"/>
                <w:position w:val="0"/>
                <w:sz w:val="18"/>
                <w:szCs w:val="18"/>
              </w:rPr>
              <w:t>114,300</w:t>
            </w:r>
            <w:r>
              <w:rPr>
                <w:color w:val="000000"/>
                <w:spacing w:val="0"/>
                <w:w w:val="100"/>
                <w:position w:val="0"/>
              </w:rPr>
              <w:t>股， 通过普通证券账户持有公司股份</w:t>
            </w:r>
            <w:r>
              <w:rPr>
                <w:rFonts w:ascii="Times New Roman" w:eastAsia="Times New Roman" w:hAnsi="Times New Roman" w:cs="Times New Roman"/>
                <w:color w:val="000000"/>
                <w:spacing w:val="0"/>
                <w:w w:val="100"/>
                <w:position w:val="0"/>
                <w:sz w:val="18"/>
                <w:szCs w:val="18"/>
              </w:rPr>
              <w:t>2,066,600</w:t>
            </w:r>
            <w:r>
              <w:rPr>
                <w:color w:val="000000"/>
                <w:spacing w:val="0"/>
                <w:w w:val="100"/>
                <w:position w:val="0"/>
              </w:rPr>
              <w:t>股，合计持有本公司股份</w:t>
            </w:r>
            <w:r>
              <w:rPr>
                <w:rFonts w:ascii="Times New Roman" w:eastAsia="Times New Roman" w:hAnsi="Times New Roman" w:cs="Times New Roman"/>
                <w:color w:val="000000"/>
                <w:spacing w:val="0"/>
                <w:w w:val="100"/>
                <w:position w:val="0"/>
                <w:sz w:val="18"/>
                <w:szCs w:val="18"/>
              </w:rPr>
              <w:t>2,180,900</w:t>
            </w:r>
            <w:r>
              <w:rPr>
                <w:color w:val="000000"/>
                <w:spacing w:val="0"/>
                <w:w w:val="100"/>
                <w:position w:val="0"/>
              </w:rPr>
              <w:t>股。</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38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2</w:t>
      </w:r>
      <w:bookmarkEnd w:id="599"/>
      <w:r>
        <w:rPr>
          <w:color w:val="000000"/>
          <w:spacing w:val="0"/>
          <w:w w:val="100"/>
          <w:position w:val="0"/>
        </w:rPr>
        <w:t>、公司控股股东情况</w:t>
      </w:r>
      <w:bookmarkEnd w:id="597"/>
      <w:bookmarkEnd w:id="598"/>
      <w:bookmarkEnd w:id="600"/>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8"/>
        <w:gridCol w:w="1723"/>
        <w:gridCol w:w="1877"/>
        <w:gridCol w:w="209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河南辉熠贸易有限公司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91410296MA40QCL29</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建筑材料、工程机械设备、 机电设备、电子产品、计 算机软硬件、环保产品、 五金交电、日用百货的批 发及零售。</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38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3</w:t>
      </w:r>
      <w:bookmarkEnd w:id="603"/>
      <w:r>
        <w:rPr>
          <w:color w:val="000000"/>
          <w:spacing w:val="0"/>
          <w:w w:val="100"/>
          <w:position w:val="0"/>
        </w:rPr>
        <w:t>、公司实际控制人及其一致行动人</w:t>
      </w:r>
      <w:bookmarkEnd w:id="601"/>
      <w:bookmarkEnd w:id="602"/>
      <w:bookmarkEnd w:id="60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实际控制人类型：自然人</w:t>
      </w:r>
      <w:r>
        <w:br w:type="page"/>
      </w:r>
    </w:p>
    <w:tbl>
      <w:tblPr>
        <w:tblOverlap w:val="never"/>
        <w:jc w:val="center"/>
        <w:tblLayout w:type="fixed"/>
      </w:tblPr>
      <w:tblGrid>
        <w:gridCol w:w="2765"/>
        <w:gridCol w:w="1646"/>
        <w:gridCol w:w="1651"/>
        <w:gridCol w:w="352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河南寓泰控股有限公司法人、执行董事兼总经理，河南辉熠贸易有限公司法人、执行董 事兼总经理，开封市方迪汽车商贸园区开发有限公司监事，开封市寓泰酒店管理有限公 司执行董事、总经理，开封市新伟电子科技股份有限公司董事长，河南禄捷电子科技中 心（有限合伙）执行事务合伙人。</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公司与实际控制人之间的产权及控制关系的方框图</w:t>
      </w:r>
    </w:p>
    <w:p>
      <w:pPr>
        <w:widowControl w:val="0"/>
        <w:jc w:val="left"/>
        <w:rPr>
          <w:sz w:val="2"/>
          <w:szCs w:val="2"/>
        </w:rPr>
      </w:pPr>
      <w:r>
        <w:drawing>
          <wp:inline>
            <wp:extent cx="4596130" cy="388302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4596130" cy="3883025"/>
                    </a:xfrm>
                    <a:prstGeom prst="rect"/>
                  </pic:spPr>
                </pic:pic>
              </a:graphicData>
            </a:graphic>
          </wp:inline>
        </w:drawing>
      </w:r>
    </w:p>
    <w:p>
      <w:pPr>
        <w:widowControl w:val="0"/>
        <w:spacing w:after="13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4</w:t>
      </w:r>
      <w:bookmarkEnd w:id="607"/>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5"/>
      <w:bookmarkEnd w:id="606"/>
      <w:bookmarkEnd w:id="608"/>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5</w:t>
      </w:r>
      <w:bookmarkEnd w:id="61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09"/>
      <w:bookmarkEnd w:id="610"/>
      <w:bookmarkEnd w:id="612"/>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6</w:t>
      </w:r>
      <w:bookmarkEnd w:id="615"/>
      <w:r>
        <w:rPr>
          <w:color w:val="000000"/>
          <w:spacing w:val="0"/>
          <w:w w:val="100"/>
          <w:position w:val="0"/>
        </w:rPr>
        <w:t>、控股股东、实际控制人、重组方及其他承诺主体股份限制减持情况</w:t>
      </w:r>
      <w:bookmarkEnd w:id="613"/>
      <w:bookmarkEnd w:id="614"/>
      <w:bookmarkEnd w:id="616"/>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四</w:t>
      </w:r>
      <w:bookmarkEnd w:id="619"/>
      <w:r>
        <w:rPr>
          <w:color w:val="000000"/>
          <w:spacing w:val="0"/>
          <w:w w:val="100"/>
          <w:position w:val="0"/>
        </w:rPr>
        <w:t>、股份回购在报告期的具体实施情况</w:t>
      </w:r>
      <w:bookmarkEnd w:id="617"/>
      <w:bookmarkEnd w:id="618"/>
      <w:bookmarkEnd w:id="620"/>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26"/>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311" w:right="1052" w:bottom="1445" w:left="105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4" name="Shape 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第八节优先股相关情况</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第八节优先股相关情况</w:t>
                      </w:r>
                    </w:p>
                  </w:txbxContent>
                </v:textbox>
                <w10:wrap type="topAndBottom" anchorx="page"/>
              </v:shape>
            </w:pict>
          </mc:Fallback>
        </mc:AlternateContent>
      </w:r>
    </w:p>
    <w:p>
      <w:pPr>
        <w:pStyle w:val="Style26"/>
        <w:keepNext w:val="0"/>
        <w:keepLines w:val="0"/>
        <w:widowControl w:val="0"/>
        <w:shd w:val="clear" w:color="auto" w:fill="auto"/>
        <w:bidi w:val="0"/>
        <w:spacing w:before="0" w:line="240" w:lineRule="auto"/>
        <w:ind w:left="0" w:right="0" w:firstLine="0"/>
        <w:jc w:val="left"/>
      </w:pPr>
      <w:bookmarkStart w:id="621" w:name="bookmark62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21"/>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0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26"/>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22" w:name="bookmark62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22"/>
    </w:p>
    <w:p>
      <w:pPr>
        <w:pStyle w:val="Style8"/>
        <w:keepNext w:val="0"/>
        <w:keepLines w:val="0"/>
        <w:framePr w:w="3091" w:h="389" w:wrap="none" w:vAnchor="text" w:hAnchor="page" w:x="4403" w:y="21"/>
        <w:widowControl w:val="0"/>
        <w:shd w:val="clear" w:color="auto" w:fill="auto"/>
        <w:bidi w:val="0"/>
        <w:spacing w:before="0" w:after="0" w:line="240" w:lineRule="auto"/>
        <w:ind w:left="0" w:right="0" w:firstLine="0"/>
        <w:jc w:val="center"/>
      </w:pPr>
      <w:r>
        <w:rPr>
          <w:color w:val="000000"/>
          <w:spacing w:val="0"/>
          <w:w w:val="100"/>
          <w:position w:val="0"/>
        </w:rPr>
        <w:t>第九节债券相关情况</w:t>
      </w: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8"/>
        <w:keepNext w:val="0"/>
        <w:keepLines w:val="0"/>
        <w:widowControl w:val="0"/>
        <w:shd w:val="clear" w:color="auto" w:fill="auto"/>
        <w:bidi w:val="0"/>
        <w:spacing w:before="680" w:after="540" w:line="240" w:lineRule="auto"/>
        <w:ind w:left="0" w:right="0" w:firstLine="0"/>
        <w:jc w:val="center"/>
      </w:pPr>
      <w:r>
        <w:rPr>
          <w:color w:val="000000"/>
          <w:spacing w:val="0"/>
          <w:w w:val="100"/>
          <w:position w:val="0"/>
        </w:rPr>
        <w:t>第十节财务报告</w:t>
      </w:r>
    </w:p>
    <w:p>
      <w:pPr>
        <w:pStyle w:val="Style21"/>
        <w:keepNext/>
        <w:keepLines/>
        <w:widowControl w:val="0"/>
        <w:shd w:val="clear" w:color="auto" w:fill="auto"/>
        <w:bidi w:val="0"/>
        <w:spacing w:before="0" w:after="320" w:line="240" w:lineRule="auto"/>
        <w:ind w:left="0" w:right="0" w:firstLine="0"/>
        <w:jc w:val="both"/>
      </w:pPr>
      <w:bookmarkStart w:id="623" w:name="bookmark623"/>
      <w:bookmarkStart w:id="624" w:name="bookmark624"/>
      <w:bookmarkStart w:id="625" w:name="bookmark625"/>
      <w:bookmarkStart w:id="626" w:name="bookmark626"/>
      <w:bookmarkStart w:id="627" w:name="bookmark627"/>
      <w:r>
        <w:rPr>
          <w:color w:val="000000"/>
          <w:spacing w:val="0"/>
          <w:w w:val="100"/>
          <w:position w:val="0"/>
        </w:rPr>
        <w:t>一</w:t>
      </w:r>
      <w:bookmarkEnd w:id="626"/>
      <w:r>
        <w:rPr>
          <w:color w:val="000000"/>
          <w:spacing w:val="0"/>
          <w:w w:val="100"/>
          <w:position w:val="0"/>
        </w:rPr>
        <w:t>、审计报告</w:t>
      </w:r>
      <w:bookmarkEnd w:id="624"/>
      <w:bookmarkEnd w:id="625"/>
      <w:bookmarkEnd w:id="627"/>
      <w:bookmarkEnd w:id="62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上会会计师事务所(特殊普通合伙)</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上会师报字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2834</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翟萍萍、童维维</w:t>
            </w:r>
          </w:p>
        </w:tc>
      </w:tr>
      <w:tr>
        <w:trPr>
          <w:trHeight w:val="758"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审计报告正文</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鸿博股份有限公司全体股东：</w:t>
            </w:r>
          </w:p>
        </w:tc>
      </w:tr>
    </w:tbl>
    <w:p>
      <w:pPr>
        <w:pStyle w:val="Style10"/>
        <w:keepNext w:val="0"/>
        <w:keepLines w:val="0"/>
        <w:widowControl w:val="0"/>
        <w:shd w:val="clear" w:color="auto" w:fill="auto"/>
        <w:tabs>
          <w:tab w:pos="909" w:val="left"/>
        </w:tabs>
        <w:bidi w:val="0"/>
        <w:spacing w:before="0" w:after="0" w:line="468" w:lineRule="exact"/>
        <w:ind w:left="0" w:right="0" w:firstLine="440"/>
        <w:jc w:val="both"/>
      </w:pPr>
      <w:bookmarkStart w:id="628" w:name="bookmark628"/>
      <w:r>
        <w:rPr>
          <w:color w:val="000000"/>
          <w:spacing w:val="0"/>
          <w:w w:val="100"/>
          <w:position w:val="0"/>
        </w:rPr>
        <w:t>一</w:t>
      </w:r>
      <w:bookmarkEnd w:id="628"/>
      <w:r>
        <w:rPr>
          <w:color w:val="000000"/>
          <w:spacing w:val="0"/>
          <w:w w:val="100"/>
          <w:position w:val="0"/>
        </w:rPr>
        <w:t>、</w:t>
        <w:tab/>
        <w:t>审计意见</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我们审计了鸿博股份有限公司(以下简称“鸿博股份”</w:t>
      </w:r>
      <w:r>
        <w:rPr>
          <w:color w:val="000000"/>
          <w:spacing w:val="0"/>
          <w:w w:val="100"/>
          <w:position w:val="0"/>
        </w:rPr>
        <w:t>)</w:t>
      </w:r>
      <w:r>
        <w:rPr>
          <w:color w:val="000000"/>
          <w:spacing w:val="0"/>
          <w:w w:val="100"/>
          <w:position w:val="0"/>
        </w:rPr>
        <w:t>财务报表，包括</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 及公司资产负债表，</w:t>
      </w:r>
      <w:r>
        <w:rPr>
          <w:color w:val="000000"/>
          <w:spacing w:val="0"/>
          <w:w w:val="100"/>
          <w:position w:val="0"/>
        </w:rPr>
        <w:t>2021</w:t>
      </w:r>
      <w:r>
        <w:rPr>
          <w:color w:val="000000"/>
          <w:spacing w:val="0"/>
          <w:w w:val="100"/>
          <w:position w:val="0"/>
        </w:rPr>
        <w:t>年度的合并及公司利润表、合并及公司现金流量表、合并及公司所有者权益变动 表以及相关财务报表附注。</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我们认为，后附的财务报表在所有重大方面按照企业会计准则的规定编制，公允反映了鸿博股份</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日的合并及公司财务状况以及</w:t>
      </w:r>
      <w:r>
        <w:rPr>
          <w:color w:val="000000"/>
          <w:spacing w:val="0"/>
          <w:w w:val="100"/>
          <w:position w:val="0"/>
        </w:rPr>
        <w:t>2021</w:t>
      </w:r>
      <w:r>
        <w:rPr>
          <w:color w:val="000000"/>
          <w:spacing w:val="0"/>
          <w:w w:val="100"/>
          <w:position w:val="0"/>
        </w:rPr>
        <w:t>年度的合并及公司经营成果和现金流量。</w:t>
      </w:r>
    </w:p>
    <w:p>
      <w:pPr>
        <w:pStyle w:val="Style10"/>
        <w:keepNext w:val="0"/>
        <w:keepLines w:val="0"/>
        <w:widowControl w:val="0"/>
        <w:shd w:val="clear" w:color="auto" w:fill="auto"/>
        <w:tabs>
          <w:tab w:pos="909" w:val="left"/>
        </w:tabs>
        <w:bidi w:val="0"/>
        <w:spacing w:before="0" w:after="0" w:line="468" w:lineRule="exact"/>
        <w:ind w:left="0" w:right="0" w:firstLine="440"/>
        <w:jc w:val="both"/>
      </w:pPr>
      <w:bookmarkStart w:id="629" w:name="bookmark629"/>
      <w:r>
        <w:rPr>
          <w:color w:val="000000"/>
          <w:spacing w:val="0"/>
          <w:w w:val="100"/>
          <w:position w:val="0"/>
        </w:rPr>
        <w:t>二</w:t>
      </w:r>
      <w:bookmarkEnd w:id="629"/>
      <w:r>
        <w:rPr>
          <w:color w:val="000000"/>
          <w:spacing w:val="0"/>
          <w:w w:val="100"/>
          <w:position w:val="0"/>
        </w:rPr>
        <w:t>、</w:t>
        <w:tab/>
        <w:t>形成审计意见的基础</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的责任”部分进一步阐述了我们在这些准则下的责任。按照中国注册会计师职业道德守则，我们独立于鸿 博股份，并履行了职业道德方面的其他责任。我们相信，我们获取的审计证据是充分、适当的，为发表审 计意见提供了基础。</w:t>
      </w:r>
    </w:p>
    <w:p>
      <w:pPr>
        <w:pStyle w:val="Style10"/>
        <w:keepNext w:val="0"/>
        <w:keepLines w:val="0"/>
        <w:widowControl w:val="0"/>
        <w:shd w:val="clear" w:color="auto" w:fill="auto"/>
        <w:tabs>
          <w:tab w:pos="914" w:val="left"/>
        </w:tabs>
        <w:bidi w:val="0"/>
        <w:spacing w:before="0" w:after="0" w:line="468" w:lineRule="exact"/>
        <w:ind w:left="0" w:right="0" w:firstLine="440"/>
        <w:jc w:val="both"/>
      </w:pPr>
      <w:bookmarkStart w:id="630" w:name="bookmark630"/>
      <w:r>
        <w:rPr>
          <w:color w:val="000000"/>
          <w:spacing w:val="0"/>
          <w:w w:val="100"/>
          <w:position w:val="0"/>
        </w:rPr>
        <w:t>三</w:t>
      </w:r>
      <w:bookmarkEnd w:id="630"/>
      <w:r>
        <w:rPr>
          <w:color w:val="000000"/>
          <w:spacing w:val="0"/>
          <w:w w:val="100"/>
          <w:position w:val="0"/>
        </w:rPr>
        <w:t>、</w:t>
        <w:tab/>
        <w:t>关键审计事项</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财务报表整体进行审计并形成审计意见为背景，我们不对这些事项单独发表意见。我们在审计中识别出的 关键审计事项如下：</w:t>
      </w:r>
    </w:p>
    <w:p>
      <w:pPr>
        <w:pStyle w:val="Style10"/>
        <w:keepNext w:val="0"/>
        <w:keepLines w:val="0"/>
        <w:widowControl w:val="0"/>
        <w:shd w:val="clear" w:color="auto" w:fill="auto"/>
        <w:bidi w:val="0"/>
        <w:spacing w:before="0" w:after="0" w:line="468" w:lineRule="exact"/>
        <w:ind w:left="0" w:right="0" w:firstLine="440"/>
        <w:jc w:val="both"/>
      </w:pPr>
      <w:bookmarkStart w:id="631" w:name="bookmark631"/>
      <w:r>
        <w:rPr>
          <w:color w:val="000000"/>
          <w:spacing w:val="0"/>
          <w:w w:val="100"/>
          <w:position w:val="0"/>
        </w:rPr>
        <w:t>1</w:t>
      </w:r>
      <w:bookmarkEnd w:id="631"/>
      <w:r>
        <w:rPr>
          <w:color w:val="000000"/>
          <w:spacing w:val="0"/>
          <w:w w:val="100"/>
          <w:position w:val="0"/>
        </w:rPr>
        <w:t>、收入确认</w:t>
      </w:r>
    </w:p>
    <w:p>
      <w:pPr>
        <w:pStyle w:val="Style10"/>
        <w:keepNext w:val="0"/>
        <w:keepLines w:val="0"/>
        <w:widowControl w:val="0"/>
        <w:numPr>
          <w:ilvl w:val="0"/>
          <w:numId w:val="25"/>
        </w:numPr>
        <w:shd w:val="clear" w:color="auto" w:fill="auto"/>
        <w:bidi w:val="0"/>
        <w:spacing w:before="0" w:after="0" w:line="468" w:lineRule="exact"/>
        <w:ind w:left="0" w:right="0" w:firstLine="440"/>
        <w:jc w:val="both"/>
      </w:pPr>
      <w:bookmarkStart w:id="632" w:name="bookmark632"/>
      <w:bookmarkEnd w:id="632"/>
      <w:r>
        <w:rPr>
          <w:color w:val="000000"/>
          <w:spacing w:val="0"/>
          <w:w w:val="100"/>
          <w:position w:val="0"/>
        </w:rPr>
        <w:t>关键审计事项</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收入相关会计政策及披露信息析请参阅本财务报表附注四注释</w:t>
      </w:r>
      <w:r>
        <w:rPr>
          <w:color w:val="000000"/>
          <w:spacing w:val="0"/>
          <w:w w:val="100"/>
          <w:position w:val="0"/>
        </w:rPr>
        <w:t>31</w:t>
      </w:r>
      <w:r>
        <w:rPr>
          <w:color w:val="000000"/>
          <w:spacing w:val="0"/>
          <w:w w:val="100"/>
          <w:position w:val="0"/>
        </w:rPr>
        <w:t>、附注六注释</w:t>
      </w:r>
      <w:r>
        <w:rPr>
          <w:color w:val="000000"/>
          <w:spacing w:val="0"/>
          <w:w w:val="100"/>
          <w:position w:val="0"/>
        </w:rPr>
        <w:t>39</w:t>
      </w:r>
      <w:r>
        <w:rPr>
          <w:color w:val="000000"/>
          <w:spacing w:val="0"/>
          <w:w w:val="100"/>
          <w:position w:val="0"/>
        </w:rPr>
        <w:t>所述。</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2021</w:t>
      </w:r>
      <w:r>
        <w:rPr>
          <w:color w:val="000000"/>
          <w:spacing w:val="0"/>
          <w:w w:val="100"/>
          <w:position w:val="0"/>
        </w:rPr>
        <w:t>年度，鸿博股份营业收入</w:t>
      </w:r>
      <w:r>
        <w:rPr>
          <w:color w:val="000000"/>
          <w:spacing w:val="0"/>
          <w:w w:val="100"/>
          <w:position w:val="0"/>
        </w:rPr>
        <w:t>574,429,448.81</w:t>
      </w:r>
      <w:r>
        <w:rPr>
          <w:color w:val="000000"/>
          <w:spacing w:val="0"/>
          <w:w w:val="100"/>
          <w:position w:val="0"/>
        </w:rPr>
        <w:t>元，同比增幅</w:t>
      </w:r>
      <w:r>
        <w:rPr>
          <w:color w:val="000000"/>
          <w:spacing w:val="0"/>
          <w:w w:val="100"/>
          <w:position w:val="0"/>
        </w:rPr>
        <w:t>21.23%，</w:t>
      </w:r>
      <w:r>
        <w:rPr>
          <w:color w:val="000000"/>
          <w:spacing w:val="0"/>
          <w:w w:val="100"/>
          <w:position w:val="0"/>
        </w:rPr>
        <w:t xml:space="preserve">本期新增大宗商品贸易收入 </w:t>
      </w:r>
      <w:r>
        <w:rPr>
          <w:color w:val="000000"/>
          <w:spacing w:val="0"/>
          <w:w w:val="100"/>
          <w:position w:val="0"/>
        </w:rPr>
        <w:t>3,621,711.73</w:t>
      </w:r>
      <w:r>
        <w:rPr>
          <w:color w:val="000000"/>
          <w:spacing w:val="0"/>
          <w:w w:val="100"/>
          <w:position w:val="0"/>
        </w:rPr>
        <w:t>元(净额法)。营业收入是主要利润来源，影响公司的关键业绩指标。收入确认的真实性、 准确性和完整性对利润影响较大。因此我们将收入确认作为关键审计事项。</w:t>
      </w:r>
    </w:p>
    <w:p>
      <w:pPr>
        <w:pStyle w:val="Style10"/>
        <w:keepNext w:val="0"/>
        <w:keepLines w:val="0"/>
        <w:widowControl w:val="0"/>
        <w:numPr>
          <w:ilvl w:val="0"/>
          <w:numId w:val="25"/>
        </w:numPr>
        <w:shd w:val="clear" w:color="auto" w:fill="auto"/>
        <w:bidi w:val="0"/>
        <w:spacing w:before="0" w:after="0" w:line="472" w:lineRule="exact"/>
        <w:ind w:left="0" w:right="0" w:firstLine="440"/>
        <w:jc w:val="left"/>
      </w:pPr>
      <w:bookmarkStart w:id="633" w:name="bookmark633"/>
      <w:bookmarkEnd w:id="633"/>
      <w:r>
        <w:rPr>
          <w:color w:val="000000"/>
          <w:spacing w:val="0"/>
          <w:w w:val="100"/>
          <w:position w:val="0"/>
        </w:rPr>
        <w:t>审计应对</w:t>
      </w:r>
    </w:p>
    <w:p>
      <w:pPr>
        <w:pStyle w:val="Style10"/>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我们对于收入确认所实施的重要审计程序包括：</w:t>
      </w:r>
    </w:p>
    <w:p>
      <w:pPr>
        <w:pStyle w:val="Style10"/>
        <w:keepNext w:val="0"/>
        <w:keepLines w:val="0"/>
        <w:widowControl w:val="0"/>
        <w:numPr>
          <w:ilvl w:val="0"/>
          <w:numId w:val="27"/>
        </w:numPr>
        <w:shd w:val="clear" w:color="auto" w:fill="auto"/>
        <w:tabs>
          <w:tab w:pos="832" w:val="left"/>
        </w:tabs>
        <w:bidi w:val="0"/>
        <w:spacing w:before="0" w:after="0" w:line="472" w:lineRule="exact"/>
        <w:ind w:left="0" w:right="0" w:firstLine="440"/>
        <w:jc w:val="left"/>
      </w:pPr>
      <w:bookmarkStart w:id="634" w:name="bookmark634"/>
      <w:bookmarkEnd w:id="634"/>
      <w:r>
        <w:rPr>
          <w:color w:val="000000"/>
          <w:spacing w:val="0"/>
          <w:w w:val="100"/>
          <w:position w:val="0"/>
        </w:rPr>
        <w:t>对与收入确认相关的关键内部控制的设计和执行进行了解和测试，评价其是否合理且有效；</w:t>
      </w:r>
    </w:p>
    <w:p>
      <w:pPr>
        <w:pStyle w:val="Style10"/>
        <w:keepNext w:val="0"/>
        <w:keepLines w:val="0"/>
        <w:widowControl w:val="0"/>
        <w:numPr>
          <w:ilvl w:val="0"/>
          <w:numId w:val="27"/>
        </w:numPr>
        <w:shd w:val="clear" w:color="auto" w:fill="auto"/>
        <w:tabs>
          <w:tab w:pos="814" w:val="left"/>
        </w:tabs>
        <w:bidi w:val="0"/>
        <w:spacing w:before="0" w:after="0" w:line="472" w:lineRule="exact"/>
        <w:ind w:left="0" w:right="0" w:firstLine="440"/>
        <w:jc w:val="left"/>
      </w:pPr>
      <w:bookmarkStart w:id="635" w:name="bookmark635"/>
      <w:bookmarkEnd w:id="635"/>
      <w:r>
        <w:rPr>
          <w:color w:val="000000"/>
          <w:spacing w:val="0"/>
          <w:w w:val="100"/>
          <w:position w:val="0"/>
        </w:rPr>
        <w:t>了解公司不同销售模式下的收入确认政策，检查销售合同，核查收入确认时点的恰当性，确认是否 存在提前或延迟确认收入的情况；</w:t>
      </w:r>
    </w:p>
    <w:p>
      <w:pPr>
        <w:pStyle w:val="Style10"/>
        <w:keepNext w:val="0"/>
        <w:keepLines w:val="0"/>
        <w:widowControl w:val="0"/>
        <w:numPr>
          <w:ilvl w:val="0"/>
          <w:numId w:val="27"/>
        </w:numPr>
        <w:shd w:val="clear" w:color="auto" w:fill="auto"/>
        <w:tabs>
          <w:tab w:pos="795" w:val="left"/>
        </w:tabs>
        <w:bidi w:val="0"/>
        <w:spacing w:before="0" w:after="0" w:line="472" w:lineRule="exact"/>
        <w:ind w:left="0" w:right="0" w:firstLine="440"/>
        <w:jc w:val="left"/>
      </w:pPr>
      <w:bookmarkStart w:id="636" w:name="bookmark636"/>
      <w:bookmarkEnd w:id="636"/>
      <w:r>
        <w:rPr>
          <w:color w:val="000000"/>
          <w:spacing w:val="0"/>
          <w:w w:val="100"/>
          <w:position w:val="0"/>
        </w:rPr>
        <w:t>对收入执行分析性程序，包括：各期收入、毛利率波动分析，评价收入相关指标变动合理性，并与 同行业可比公司进行比较；</w:t>
      </w:r>
    </w:p>
    <w:p>
      <w:pPr>
        <w:pStyle w:val="Style10"/>
        <w:keepNext w:val="0"/>
        <w:keepLines w:val="0"/>
        <w:widowControl w:val="0"/>
        <w:numPr>
          <w:ilvl w:val="0"/>
          <w:numId w:val="27"/>
        </w:numPr>
        <w:shd w:val="clear" w:color="auto" w:fill="auto"/>
        <w:tabs>
          <w:tab w:pos="837" w:val="left"/>
        </w:tabs>
        <w:bidi w:val="0"/>
        <w:spacing w:before="0" w:after="0" w:line="472" w:lineRule="exact"/>
        <w:ind w:left="0" w:right="0" w:firstLine="440"/>
        <w:jc w:val="left"/>
      </w:pPr>
      <w:bookmarkStart w:id="637" w:name="bookmark637"/>
      <w:bookmarkEnd w:id="637"/>
      <w:r>
        <w:rPr>
          <w:color w:val="000000"/>
          <w:spacing w:val="0"/>
          <w:w w:val="100"/>
          <w:position w:val="0"/>
        </w:rPr>
        <w:t>获取主要客户和新增大额客户工商资料、背景资料等，核查客户和交易的真实性；</w:t>
      </w:r>
    </w:p>
    <w:p>
      <w:pPr>
        <w:pStyle w:val="Style10"/>
        <w:keepNext w:val="0"/>
        <w:keepLines w:val="0"/>
        <w:widowControl w:val="0"/>
        <w:numPr>
          <w:ilvl w:val="0"/>
          <w:numId w:val="27"/>
        </w:numPr>
        <w:shd w:val="clear" w:color="auto" w:fill="auto"/>
        <w:tabs>
          <w:tab w:pos="814" w:val="left"/>
        </w:tabs>
        <w:bidi w:val="0"/>
        <w:spacing w:before="0" w:after="0" w:line="472" w:lineRule="exact"/>
        <w:ind w:left="0" w:right="0" w:firstLine="440"/>
        <w:jc w:val="left"/>
      </w:pPr>
      <w:bookmarkStart w:id="638" w:name="bookmark638"/>
      <w:bookmarkEnd w:id="638"/>
      <w:r>
        <w:rPr>
          <w:color w:val="000000"/>
          <w:spacing w:val="0"/>
          <w:w w:val="100"/>
          <w:position w:val="0"/>
        </w:rPr>
        <w:t>从销售收入的会计记录和出库记录中选取样本，检查销售相关的合同订单、出库单、销售发票、货 运单、签收单、对账记录和收款凭证等信息，根据客户交易的金额挑选样本执行函证程序，核实销售收入 的真实性；</w:t>
      </w:r>
    </w:p>
    <w:p>
      <w:pPr>
        <w:pStyle w:val="Style10"/>
        <w:keepNext w:val="0"/>
        <w:keepLines w:val="0"/>
        <w:widowControl w:val="0"/>
        <w:numPr>
          <w:ilvl w:val="0"/>
          <w:numId w:val="27"/>
        </w:numPr>
        <w:shd w:val="clear" w:color="auto" w:fill="auto"/>
        <w:tabs>
          <w:tab w:pos="790" w:val="left"/>
        </w:tabs>
        <w:bidi w:val="0"/>
        <w:spacing w:before="0" w:after="0" w:line="472" w:lineRule="exact"/>
        <w:ind w:left="0" w:right="0" w:firstLine="440"/>
        <w:jc w:val="left"/>
      </w:pPr>
      <w:bookmarkStart w:id="639" w:name="bookmark639"/>
      <w:bookmarkEnd w:id="639"/>
      <w:r>
        <w:rPr>
          <w:color w:val="000000"/>
          <w:spacing w:val="0"/>
          <w:w w:val="100"/>
          <w:position w:val="0"/>
        </w:rPr>
        <w:t>选取资产负债表日前后一个月金额较大的销售记录，检查订单、出库单、货运单、签收单、对账单 以及发票中记录的信息，评价销售收入是否被记录于恰当的会计期间。</w:t>
      </w:r>
    </w:p>
    <w:p>
      <w:pPr>
        <w:pStyle w:val="Style10"/>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对于大宗商品贸易收入我们执行的主要审计程序包括：</w:t>
      </w:r>
    </w:p>
    <w:p>
      <w:pPr>
        <w:pStyle w:val="Style10"/>
        <w:keepNext w:val="0"/>
        <w:keepLines w:val="0"/>
        <w:widowControl w:val="0"/>
        <w:numPr>
          <w:ilvl w:val="0"/>
          <w:numId w:val="29"/>
        </w:numPr>
        <w:shd w:val="clear" w:color="auto" w:fill="auto"/>
        <w:tabs>
          <w:tab w:pos="832" w:val="left"/>
        </w:tabs>
        <w:bidi w:val="0"/>
        <w:spacing w:before="0" w:after="0" w:line="472" w:lineRule="exact"/>
        <w:ind w:left="0" w:right="0" w:firstLine="440"/>
        <w:jc w:val="left"/>
      </w:pPr>
      <w:bookmarkStart w:id="640" w:name="bookmark640"/>
      <w:bookmarkEnd w:id="640"/>
      <w:r>
        <w:rPr>
          <w:color w:val="000000"/>
          <w:spacing w:val="0"/>
          <w:w w:val="100"/>
          <w:position w:val="0"/>
        </w:rPr>
        <w:t>核查贸易业务上下游工商资料，包括但不限于股权结构、业务范围、公司规模等；</w:t>
      </w:r>
    </w:p>
    <w:p>
      <w:pPr>
        <w:pStyle w:val="Style10"/>
        <w:keepNext w:val="0"/>
        <w:keepLines w:val="0"/>
        <w:widowControl w:val="0"/>
        <w:numPr>
          <w:ilvl w:val="0"/>
          <w:numId w:val="29"/>
        </w:numPr>
        <w:shd w:val="clear" w:color="auto" w:fill="auto"/>
        <w:tabs>
          <w:tab w:pos="837" w:val="left"/>
        </w:tabs>
        <w:bidi w:val="0"/>
        <w:spacing w:before="0" w:after="0" w:line="472" w:lineRule="exact"/>
        <w:ind w:left="0" w:right="0" w:firstLine="440"/>
        <w:jc w:val="left"/>
      </w:pPr>
      <w:bookmarkStart w:id="641" w:name="bookmark641"/>
      <w:bookmarkEnd w:id="641"/>
      <w:r>
        <w:rPr>
          <w:color w:val="000000"/>
          <w:spacing w:val="0"/>
          <w:w w:val="100"/>
          <w:position w:val="0"/>
        </w:rPr>
        <w:t>检查报告期内发生的交易资料包括但不限于合同、发票、货物流转记录、流水记录等；</w:t>
      </w:r>
    </w:p>
    <w:p>
      <w:pPr>
        <w:pStyle w:val="Style10"/>
        <w:keepNext w:val="0"/>
        <w:keepLines w:val="0"/>
        <w:widowControl w:val="0"/>
        <w:numPr>
          <w:ilvl w:val="0"/>
          <w:numId w:val="29"/>
        </w:numPr>
        <w:shd w:val="clear" w:color="auto" w:fill="auto"/>
        <w:tabs>
          <w:tab w:pos="837" w:val="left"/>
        </w:tabs>
        <w:bidi w:val="0"/>
        <w:spacing w:before="0" w:after="0" w:line="472" w:lineRule="exact"/>
        <w:ind w:left="0" w:right="0" w:firstLine="440"/>
        <w:jc w:val="left"/>
      </w:pPr>
      <w:bookmarkStart w:id="642" w:name="bookmark642"/>
      <w:bookmarkEnd w:id="642"/>
      <w:r>
        <w:rPr>
          <w:color w:val="000000"/>
          <w:spacing w:val="0"/>
          <w:w w:val="100"/>
          <w:position w:val="0"/>
        </w:rPr>
        <w:t>对负责贸易业务的公司有关领导进行访谈，了解贸易业务背景、公司意图等；</w:t>
      </w:r>
    </w:p>
    <w:p>
      <w:pPr>
        <w:pStyle w:val="Style10"/>
        <w:keepNext w:val="0"/>
        <w:keepLines w:val="0"/>
        <w:widowControl w:val="0"/>
        <w:numPr>
          <w:ilvl w:val="0"/>
          <w:numId w:val="29"/>
        </w:numPr>
        <w:shd w:val="clear" w:color="auto" w:fill="auto"/>
        <w:tabs>
          <w:tab w:pos="837" w:val="left"/>
        </w:tabs>
        <w:bidi w:val="0"/>
        <w:spacing w:before="0" w:after="0" w:line="472" w:lineRule="exact"/>
        <w:ind w:left="0" w:right="0" w:firstLine="440"/>
        <w:jc w:val="left"/>
      </w:pPr>
      <w:bookmarkStart w:id="643" w:name="bookmark643"/>
      <w:bookmarkEnd w:id="643"/>
      <w:r>
        <w:rPr>
          <w:color w:val="000000"/>
          <w:spacing w:val="0"/>
          <w:w w:val="100"/>
          <w:position w:val="0"/>
        </w:rPr>
        <w:t>通过公共查询确认贸易上下游是否和公司控股股东及实际控制人存在关联关系；</w:t>
      </w:r>
    </w:p>
    <w:p>
      <w:pPr>
        <w:pStyle w:val="Style10"/>
        <w:keepNext w:val="0"/>
        <w:keepLines w:val="0"/>
        <w:widowControl w:val="0"/>
        <w:numPr>
          <w:ilvl w:val="0"/>
          <w:numId w:val="29"/>
        </w:numPr>
        <w:shd w:val="clear" w:color="auto" w:fill="auto"/>
        <w:tabs>
          <w:tab w:pos="837" w:val="left"/>
        </w:tabs>
        <w:bidi w:val="0"/>
        <w:spacing w:before="0" w:after="0" w:line="472" w:lineRule="exact"/>
        <w:ind w:left="0" w:right="0" w:firstLine="440"/>
        <w:jc w:val="left"/>
      </w:pPr>
      <w:bookmarkStart w:id="644" w:name="bookmark644"/>
      <w:bookmarkEnd w:id="644"/>
      <w:r>
        <w:rPr>
          <w:color w:val="000000"/>
          <w:spacing w:val="0"/>
          <w:w w:val="100"/>
          <w:position w:val="0"/>
        </w:rPr>
        <w:t>对本期大额贸易业务客户和供应商实施走访和函证；</w:t>
      </w:r>
    </w:p>
    <w:p>
      <w:pPr>
        <w:pStyle w:val="Style10"/>
        <w:keepNext w:val="0"/>
        <w:keepLines w:val="0"/>
        <w:widowControl w:val="0"/>
        <w:numPr>
          <w:ilvl w:val="0"/>
          <w:numId w:val="29"/>
        </w:numPr>
        <w:shd w:val="clear" w:color="auto" w:fill="auto"/>
        <w:tabs>
          <w:tab w:pos="837" w:val="left"/>
        </w:tabs>
        <w:bidi w:val="0"/>
        <w:spacing w:before="0" w:after="0" w:line="472" w:lineRule="exact"/>
        <w:ind w:left="0" w:right="0" w:firstLine="440"/>
        <w:jc w:val="both"/>
      </w:pPr>
      <w:bookmarkStart w:id="645" w:name="bookmark645"/>
      <w:bookmarkEnd w:id="645"/>
      <w:r>
        <w:rPr>
          <w:color w:val="000000"/>
          <w:spacing w:val="0"/>
          <w:w w:val="100"/>
          <w:position w:val="0"/>
        </w:rPr>
        <w:t>检查期后事项。</w:t>
      </w:r>
    </w:p>
    <w:p>
      <w:pPr>
        <w:pStyle w:val="Style10"/>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基于已执行的审计工作，我们认为，鸿博股份管理层关于收入确认的金额是合理的。</w:t>
      </w:r>
    </w:p>
    <w:p>
      <w:pPr>
        <w:pStyle w:val="Style10"/>
        <w:keepNext w:val="0"/>
        <w:keepLines w:val="0"/>
        <w:widowControl w:val="0"/>
        <w:shd w:val="clear" w:color="auto" w:fill="auto"/>
        <w:bidi w:val="0"/>
        <w:spacing w:before="0" w:after="0" w:line="472" w:lineRule="exact"/>
        <w:ind w:left="0" w:right="0" w:firstLine="440"/>
        <w:jc w:val="both"/>
      </w:pPr>
      <w:bookmarkStart w:id="646" w:name="bookmark646"/>
      <w:r>
        <w:rPr>
          <w:color w:val="000000"/>
          <w:spacing w:val="0"/>
          <w:w w:val="100"/>
          <w:position w:val="0"/>
        </w:rPr>
        <w:t>2</w:t>
      </w:r>
      <w:bookmarkEnd w:id="646"/>
      <w:r>
        <w:rPr>
          <w:color w:val="000000"/>
          <w:spacing w:val="0"/>
          <w:w w:val="100"/>
          <w:position w:val="0"/>
        </w:rPr>
        <w:t>、货币资金的真实性</w:t>
      </w:r>
    </w:p>
    <w:p>
      <w:pPr>
        <w:pStyle w:val="Style10"/>
        <w:keepNext w:val="0"/>
        <w:keepLines w:val="0"/>
        <w:widowControl w:val="0"/>
        <w:numPr>
          <w:ilvl w:val="0"/>
          <w:numId w:val="31"/>
        </w:numPr>
        <w:shd w:val="clear" w:color="auto" w:fill="auto"/>
        <w:bidi w:val="0"/>
        <w:spacing w:before="0" w:after="0" w:line="472" w:lineRule="exact"/>
        <w:ind w:left="0" w:right="0" w:firstLine="440"/>
        <w:jc w:val="both"/>
      </w:pPr>
      <w:bookmarkStart w:id="647" w:name="bookmark647"/>
      <w:bookmarkEnd w:id="647"/>
      <w:r>
        <w:rPr>
          <w:color w:val="000000"/>
          <w:spacing w:val="0"/>
          <w:w w:val="100"/>
          <w:position w:val="0"/>
        </w:rPr>
        <w:t>关键审计事项</w:t>
      </w:r>
    </w:p>
    <w:p>
      <w:pPr>
        <w:pStyle w:val="Style10"/>
        <w:keepNext w:val="0"/>
        <w:keepLines w:val="0"/>
        <w:widowControl w:val="0"/>
        <w:shd w:val="clear" w:color="auto" w:fill="auto"/>
        <w:bidi w:val="0"/>
        <w:spacing w:before="0" w:after="0" w:line="472" w:lineRule="exact"/>
        <w:ind w:left="0" w:right="0" w:firstLine="440"/>
        <w:jc w:val="left"/>
      </w:pPr>
      <w:r>
        <w:rPr>
          <w:color w:val="000000"/>
          <w:spacing w:val="0"/>
          <w:w w:val="100"/>
          <w:position w:val="0"/>
        </w:rPr>
        <w:t>货币资金真实性的确定相关会计政策及披露信息析请参阅本财务报表附注四注释</w:t>
      </w:r>
      <w:r>
        <w:rPr>
          <w:color w:val="000000"/>
          <w:spacing w:val="0"/>
          <w:w w:val="100"/>
          <w:position w:val="0"/>
        </w:rPr>
        <w:t>8</w:t>
      </w:r>
      <w:r>
        <w:rPr>
          <w:color w:val="000000"/>
          <w:spacing w:val="0"/>
          <w:w w:val="100"/>
          <w:position w:val="0"/>
        </w:rPr>
        <w:t>、附注六注释</w:t>
      </w:r>
      <w:r>
        <w:rPr>
          <w:color w:val="000000"/>
          <w:spacing w:val="0"/>
          <w:w w:val="100"/>
          <w:position w:val="0"/>
        </w:rPr>
        <w:t>1</w:t>
      </w:r>
      <w:r>
        <w:rPr>
          <w:color w:val="000000"/>
          <w:spacing w:val="0"/>
          <w:w w:val="100"/>
          <w:position w:val="0"/>
        </w:rPr>
        <w:t>所 述。</w:t>
      </w:r>
    </w:p>
    <w:p>
      <w:pPr>
        <w:pStyle w:val="Style10"/>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日，鸿博股份货币资金期末余额为</w:t>
      </w:r>
      <w:r>
        <w:rPr>
          <w:color w:val="000000"/>
          <w:spacing w:val="0"/>
          <w:w w:val="100"/>
          <w:position w:val="0"/>
        </w:rPr>
        <w:t xml:space="preserve">1, 040, 954, </w:t>
      </w:r>
      <w:r>
        <w:rPr>
          <w:color w:val="000000"/>
          <w:spacing w:val="0"/>
          <w:w w:val="100"/>
          <w:position w:val="0"/>
        </w:rPr>
        <w:t xml:space="preserve">947. </w:t>
      </w:r>
      <w:r>
        <w:rPr>
          <w:color w:val="000000"/>
          <w:spacing w:val="0"/>
          <w:w w:val="100"/>
          <w:position w:val="0"/>
        </w:rPr>
        <w:t>36</w:t>
      </w:r>
      <w:r>
        <w:rPr>
          <w:color w:val="000000"/>
          <w:spacing w:val="0"/>
          <w:w w:val="100"/>
          <w:position w:val="0"/>
        </w:rPr>
        <w:t>元，占总资产的比例</w:t>
      </w:r>
      <w:r>
        <w:rPr>
          <w:color w:val="000000"/>
          <w:spacing w:val="0"/>
          <w:w w:val="100"/>
          <w:position w:val="0"/>
        </w:rPr>
        <w:t xml:space="preserve">43.06%， </w:t>
      </w:r>
      <w:r>
        <w:rPr>
          <w:color w:val="000000"/>
          <w:spacing w:val="0"/>
          <w:w w:val="100"/>
          <w:position w:val="0"/>
        </w:rPr>
        <w:t>其中募集资金账户</w:t>
      </w:r>
      <w:r>
        <w:rPr>
          <w:color w:val="000000"/>
          <w:spacing w:val="0"/>
          <w:w w:val="100"/>
          <w:position w:val="0"/>
        </w:rPr>
        <w:t xml:space="preserve">483,768,361. </w:t>
      </w:r>
      <w:r>
        <w:rPr>
          <w:color w:val="000000"/>
          <w:spacing w:val="0"/>
          <w:w w:val="100"/>
          <w:position w:val="0"/>
        </w:rPr>
        <w:t>64</w:t>
      </w:r>
      <w:r>
        <w:rPr>
          <w:color w:val="000000"/>
          <w:spacing w:val="0"/>
          <w:w w:val="100"/>
          <w:position w:val="0"/>
        </w:rPr>
        <w:t>元，由于涉及金额重大，对报告期资产质量产生重大影响，因此我们 将货币资金的真实性作为关键审计事项。</w:t>
      </w:r>
    </w:p>
    <w:p>
      <w:pPr>
        <w:pStyle w:val="Style10"/>
        <w:keepNext w:val="0"/>
        <w:keepLines w:val="0"/>
        <w:widowControl w:val="0"/>
        <w:numPr>
          <w:ilvl w:val="0"/>
          <w:numId w:val="31"/>
        </w:numPr>
        <w:shd w:val="clear" w:color="auto" w:fill="auto"/>
        <w:bidi w:val="0"/>
        <w:spacing w:before="0" w:after="0" w:line="472" w:lineRule="exact"/>
        <w:ind w:left="0" w:right="0" w:firstLine="440"/>
        <w:jc w:val="both"/>
      </w:pPr>
      <w:bookmarkStart w:id="648" w:name="bookmark648"/>
      <w:bookmarkEnd w:id="648"/>
      <w:r>
        <w:rPr>
          <w:color w:val="000000"/>
          <w:spacing w:val="0"/>
          <w:w w:val="100"/>
          <w:position w:val="0"/>
        </w:rPr>
        <w:t>审计应对</w:t>
      </w:r>
    </w:p>
    <w:p>
      <w:pPr>
        <w:pStyle w:val="Style10"/>
        <w:keepNext w:val="0"/>
        <w:keepLines w:val="0"/>
        <w:widowControl w:val="0"/>
        <w:numPr>
          <w:ilvl w:val="0"/>
          <w:numId w:val="33"/>
        </w:numPr>
        <w:shd w:val="clear" w:color="auto" w:fill="auto"/>
        <w:tabs>
          <w:tab w:pos="800" w:val="left"/>
        </w:tabs>
        <w:bidi w:val="0"/>
        <w:spacing w:before="0" w:after="0" w:line="472" w:lineRule="exact"/>
        <w:ind w:left="0" w:right="0" w:firstLine="440"/>
        <w:jc w:val="both"/>
      </w:pPr>
      <w:bookmarkStart w:id="649" w:name="bookmark649"/>
      <w:bookmarkEnd w:id="649"/>
      <w:r>
        <w:rPr>
          <w:color w:val="000000"/>
          <w:spacing w:val="0"/>
          <w:w w:val="100"/>
          <w:position w:val="0"/>
        </w:rPr>
        <w:t>了解并评估了公司与货币资金管理相关的内部控制，包括对公司大额资金的审批与使用、公章管理、 网上银行管理、收付款管理、对外担保、对外投资审批等事项；</w:t>
      </w:r>
    </w:p>
    <w:p>
      <w:pPr>
        <w:pStyle w:val="Style10"/>
        <w:keepNext w:val="0"/>
        <w:keepLines w:val="0"/>
        <w:widowControl w:val="0"/>
        <w:numPr>
          <w:ilvl w:val="0"/>
          <w:numId w:val="33"/>
        </w:numPr>
        <w:shd w:val="clear" w:color="auto" w:fill="auto"/>
        <w:tabs>
          <w:tab w:pos="814" w:val="left"/>
        </w:tabs>
        <w:bidi w:val="0"/>
        <w:spacing w:before="0" w:after="0" w:line="472" w:lineRule="exact"/>
        <w:ind w:left="0" w:right="0" w:firstLine="440"/>
        <w:jc w:val="both"/>
      </w:pPr>
      <w:bookmarkStart w:id="650" w:name="bookmark650"/>
      <w:bookmarkEnd w:id="650"/>
      <w:r>
        <w:rPr>
          <w:color w:val="000000"/>
          <w:spacing w:val="0"/>
          <w:w w:val="100"/>
          <w:position w:val="0"/>
        </w:rPr>
        <w:t>项目组亲自前往银行获取《已开立银行结算账户清单》、银行对账单及《企业信用报告》，或视频 监控公司财务人员网银导出银行对账单及信用报告。根据《已开立银行结算账户清单》，核对银行存款账 户的存在和完整性，核对是否存在被其他方实际使用的情况；</w:t>
      </w:r>
    </w:p>
    <w:p>
      <w:pPr>
        <w:pStyle w:val="Style10"/>
        <w:keepNext w:val="0"/>
        <w:keepLines w:val="0"/>
        <w:widowControl w:val="0"/>
        <w:numPr>
          <w:ilvl w:val="0"/>
          <w:numId w:val="33"/>
        </w:numPr>
        <w:shd w:val="clear" w:color="auto" w:fill="auto"/>
        <w:tabs>
          <w:tab w:pos="800" w:val="left"/>
        </w:tabs>
        <w:bidi w:val="0"/>
        <w:spacing w:before="0" w:after="0" w:line="472" w:lineRule="exact"/>
        <w:ind w:left="0" w:right="0" w:firstLine="440"/>
        <w:jc w:val="both"/>
      </w:pPr>
      <w:bookmarkStart w:id="651" w:name="bookmark651"/>
      <w:bookmarkEnd w:id="651"/>
      <w:r>
        <w:rPr>
          <w:color w:val="000000"/>
          <w:spacing w:val="0"/>
          <w:w w:val="100"/>
          <w:position w:val="0"/>
        </w:rPr>
        <w:t>获取了公司编制的货币资金明细表，并与取得的银行对账单进行核对，核对后实施银行函证程序， 函证包括零余额账户和当年度销户的账户，同时对销户账户收集相关销户证明；</w:t>
      </w:r>
    </w:p>
    <w:p>
      <w:pPr>
        <w:pStyle w:val="Style10"/>
        <w:keepNext w:val="0"/>
        <w:keepLines w:val="0"/>
        <w:widowControl w:val="0"/>
        <w:numPr>
          <w:ilvl w:val="0"/>
          <w:numId w:val="33"/>
        </w:numPr>
        <w:shd w:val="clear" w:color="auto" w:fill="auto"/>
        <w:tabs>
          <w:tab w:pos="837" w:val="left"/>
        </w:tabs>
        <w:bidi w:val="0"/>
        <w:spacing w:before="0" w:after="0" w:line="472" w:lineRule="exact"/>
        <w:ind w:left="0" w:right="0" w:firstLine="440"/>
        <w:jc w:val="left"/>
      </w:pPr>
      <w:bookmarkStart w:id="652" w:name="bookmark652"/>
      <w:bookmarkEnd w:id="652"/>
      <w:r>
        <w:rPr>
          <w:color w:val="000000"/>
          <w:spacing w:val="0"/>
          <w:w w:val="100"/>
          <w:position w:val="0"/>
        </w:rPr>
        <w:t>对大额的资金流水予以关注并核查，关注是否存在异常；</w:t>
      </w:r>
    </w:p>
    <w:p>
      <w:pPr>
        <w:pStyle w:val="Style10"/>
        <w:keepNext w:val="0"/>
        <w:keepLines w:val="0"/>
        <w:widowControl w:val="0"/>
        <w:numPr>
          <w:ilvl w:val="0"/>
          <w:numId w:val="33"/>
        </w:numPr>
        <w:shd w:val="clear" w:color="auto" w:fill="auto"/>
        <w:tabs>
          <w:tab w:pos="837" w:val="left"/>
        </w:tabs>
        <w:bidi w:val="0"/>
        <w:spacing w:before="0" w:after="0" w:line="472" w:lineRule="exact"/>
        <w:ind w:left="0" w:right="0" w:firstLine="440"/>
        <w:jc w:val="left"/>
      </w:pPr>
      <w:bookmarkStart w:id="653" w:name="bookmark653"/>
      <w:bookmarkEnd w:id="653"/>
      <w:r>
        <w:rPr>
          <w:color w:val="000000"/>
          <w:spacing w:val="0"/>
          <w:w w:val="100"/>
          <w:position w:val="0"/>
        </w:rPr>
        <w:t>重点检查上市公司与控股股东之间的资金往来，关注是否存在关联方资金占用。</w:t>
      </w:r>
    </w:p>
    <w:p>
      <w:pPr>
        <w:pStyle w:val="Style10"/>
        <w:keepNext w:val="0"/>
        <w:keepLines w:val="0"/>
        <w:widowControl w:val="0"/>
        <w:numPr>
          <w:ilvl w:val="0"/>
          <w:numId w:val="33"/>
        </w:numPr>
        <w:shd w:val="clear" w:color="auto" w:fill="auto"/>
        <w:tabs>
          <w:tab w:pos="800" w:val="left"/>
        </w:tabs>
        <w:bidi w:val="0"/>
        <w:spacing w:before="0" w:after="0" w:line="472" w:lineRule="exact"/>
        <w:ind w:left="0" w:right="0" w:firstLine="440"/>
        <w:jc w:val="both"/>
      </w:pPr>
      <w:bookmarkStart w:id="654" w:name="bookmark654"/>
      <w:bookmarkEnd w:id="654"/>
      <w:r>
        <w:rPr>
          <w:color w:val="000000"/>
          <w:spacing w:val="0"/>
          <w:w w:val="100"/>
          <w:position w:val="0"/>
        </w:rPr>
        <w:t>严格执行银行函证和信用报告核对程序，确认银行询证函回函信息，核对《企业信用报告》中列示 的担保、融资等情况与账面记录是否一致，确认银行账户的余额及受限情况，确认公司是否存在对外担保 的情形。</w:t>
      </w:r>
    </w:p>
    <w:p>
      <w:pPr>
        <w:pStyle w:val="Style10"/>
        <w:keepNext w:val="0"/>
        <w:keepLines w:val="0"/>
        <w:widowControl w:val="0"/>
        <w:numPr>
          <w:ilvl w:val="0"/>
          <w:numId w:val="33"/>
        </w:numPr>
        <w:shd w:val="clear" w:color="auto" w:fill="auto"/>
        <w:tabs>
          <w:tab w:pos="837" w:val="left"/>
        </w:tabs>
        <w:bidi w:val="0"/>
        <w:spacing w:before="0" w:after="0" w:line="472" w:lineRule="exact"/>
        <w:ind w:left="0" w:right="0" w:firstLine="440"/>
        <w:jc w:val="left"/>
      </w:pPr>
      <w:bookmarkStart w:id="655" w:name="bookmark655"/>
      <w:bookmarkEnd w:id="655"/>
      <w:r>
        <w:rPr>
          <w:color w:val="000000"/>
          <w:spacing w:val="0"/>
          <w:w w:val="100"/>
          <w:position w:val="0"/>
        </w:rPr>
        <w:t>检查和评价货币资金的列报和披露是否准确和恰当。</w:t>
      </w:r>
    </w:p>
    <w:p>
      <w:pPr>
        <w:pStyle w:val="Style10"/>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对于募集资金账户，我们实施了以下程序：</w:t>
      </w:r>
    </w:p>
    <w:p>
      <w:pPr>
        <w:pStyle w:val="Style10"/>
        <w:keepNext w:val="0"/>
        <w:keepLines w:val="0"/>
        <w:widowControl w:val="0"/>
        <w:numPr>
          <w:ilvl w:val="0"/>
          <w:numId w:val="35"/>
        </w:numPr>
        <w:shd w:val="clear" w:color="auto" w:fill="auto"/>
        <w:tabs>
          <w:tab w:pos="832" w:val="left"/>
        </w:tabs>
        <w:bidi w:val="0"/>
        <w:spacing w:before="0" w:after="0" w:line="472" w:lineRule="exact"/>
        <w:ind w:left="0" w:right="0" w:firstLine="440"/>
        <w:jc w:val="left"/>
      </w:pPr>
      <w:bookmarkStart w:id="656" w:name="bookmark656"/>
      <w:bookmarkEnd w:id="656"/>
      <w:r>
        <w:rPr>
          <w:color w:val="000000"/>
          <w:spacing w:val="0"/>
          <w:w w:val="100"/>
          <w:position w:val="0"/>
        </w:rPr>
        <w:t>询问管理层关于募集资金使用的情况以及募集资金使用情况报告的编制情况。</w:t>
      </w:r>
    </w:p>
    <w:p>
      <w:pPr>
        <w:pStyle w:val="Style10"/>
        <w:keepNext w:val="0"/>
        <w:keepLines w:val="0"/>
        <w:widowControl w:val="0"/>
        <w:numPr>
          <w:ilvl w:val="0"/>
          <w:numId w:val="35"/>
        </w:numPr>
        <w:shd w:val="clear" w:color="auto" w:fill="auto"/>
        <w:tabs>
          <w:tab w:pos="837" w:val="left"/>
        </w:tabs>
        <w:bidi w:val="0"/>
        <w:spacing w:before="0" w:after="0" w:line="472" w:lineRule="exact"/>
        <w:ind w:left="0" w:right="0" w:firstLine="440"/>
        <w:jc w:val="left"/>
      </w:pPr>
      <w:bookmarkStart w:id="657" w:name="bookmark657"/>
      <w:bookmarkEnd w:id="657"/>
      <w:r>
        <w:rPr>
          <w:color w:val="000000"/>
          <w:spacing w:val="0"/>
          <w:w w:val="100"/>
          <w:position w:val="0"/>
        </w:rPr>
        <w:t>了解、评估及测试与募集资金使用及报告编制有关的内部控制。</w:t>
      </w:r>
    </w:p>
    <w:p>
      <w:pPr>
        <w:pStyle w:val="Style10"/>
        <w:keepNext w:val="0"/>
        <w:keepLines w:val="0"/>
        <w:widowControl w:val="0"/>
        <w:numPr>
          <w:ilvl w:val="0"/>
          <w:numId w:val="35"/>
        </w:numPr>
        <w:shd w:val="clear" w:color="auto" w:fill="auto"/>
        <w:tabs>
          <w:tab w:pos="837" w:val="left"/>
        </w:tabs>
        <w:bidi w:val="0"/>
        <w:spacing w:before="0" w:after="0" w:line="472" w:lineRule="exact"/>
        <w:ind w:left="0" w:right="0" w:firstLine="440"/>
        <w:jc w:val="left"/>
      </w:pPr>
      <w:bookmarkStart w:id="658" w:name="bookmark658"/>
      <w:bookmarkEnd w:id="658"/>
      <w:r>
        <w:rPr>
          <w:color w:val="000000"/>
          <w:spacing w:val="0"/>
          <w:w w:val="100"/>
          <w:position w:val="0"/>
        </w:rPr>
        <w:t>对实际投资金额实施细节测试，检查相关投资记录的文件记录。</w:t>
      </w:r>
    </w:p>
    <w:p>
      <w:pPr>
        <w:pStyle w:val="Style10"/>
        <w:keepNext w:val="0"/>
        <w:keepLines w:val="0"/>
        <w:widowControl w:val="0"/>
        <w:numPr>
          <w:ilvl w:val="0"/>
          <w:numId w:val="35"/>
        </w:numPr>
        <w:shd w:val="clear" w:color="auto" w:fill="auto"/>
        <w:tabs>
          <w:tab w:pos="837" w:val="left"/>
        </w:tabs>
        <w:bidi w:val="0"/>
        <w:spacing w:before="0" w:after="0" w:line="472" w:lineRule="exact"/>
        <w:ind w:left="0" w:right="0" w:firstLine="440"/>
        <w:jc w:val="left"/>
      </w:pPr>
      <w:bookmarkStart w:id="659" w:name="bookmark659"/>
      <w:bookmarkEnd w:id="659"/>
      <w:r>
        <w:rPr>
          <w:color w:val="000000"/>
          <w:spacing w:val="0"/>
          <w:w w:val="100"/>
          <w:position w:val="0"/>
        </w:rPr>
        <w:t>检查公司已披露的募集资金使用情况信息是否与公司募集资金使用情况一致。</w:t>
      </w:r>
    </w:p>
    <w:p>
      <w:pPr>
        <w:pStyle w:val="Style10"/>
        <w:keepNext w:val="0"/>
        <w:keepLines w:val="0"/>
        <w:widowControl w:val="0"/>
        <w:numPr>
          <w:ilvl w:val="0"/>
          <w:numId w:val="35"/>
        </w:numPr>
        <w:shd w:val="clear" w:color="auto" w:fill="auto"/>
        <w:tabs>
          <w:tab w:pos="837" w:val="left"/>
        </w:tabs>
        <w:bidi w:val="0"/>
        <w:spacing w:before="0" w:after="0" w:line="472" w:lineRule="exact"/>
        <w:ind w:left="0" w:right="0" w:firstLine="440"/>
        <w:jc w:val="left"/>
      </w:pPr>
      <w:bookmarkStart w:id="660" w:name="bookmark660"/>
      <w:bookmarkEnd w:id="660"/>
      <w:r>
        <w:rPr>
          <w:color w:val="000000"/>
          <w:spacing w:val="0"/>
          <w:w w:val="100"/>
          <w:position w:val="0"/>
        </w:rPr>
        <w:t>对募集资金账户实施函证，重点关注募集资金账户是否存在质押等情况。</w:t>
      </w:r>
    </w:p>
    <w:p>
      <w:pPr>
        <w:pStyle w:val="Style10"/>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基于已执行的审计工作，我们认为，鸿博股份的货币资金是真实的。</w:t>
      </w:r>
    </w:p>
    <w:p>
      <w:pPr>
        <w:pStyle w:val="Style10"/>
        <w:keepNext w:val="0"/>
        <w:keepLines w:val="0"/>
        <w:widowControl w:val="0"/>
        <w:shd w:val="clear" w:color="auto" w:fill="auto"/>
        <w:bidi w:val="0"/>
        <w:spacing w:before="0" w:after="0" w:line="472" w:lineRule="exact"/>
        <w:ind w:left="0" w:right="0" w:firstLine="440"/>
        <w:jc w:val="both"/>
      </w:pPr>
      <w:bookmarkStart w:id="661" w:name="bookmark661"/>
      <w:r>
        <w:rPr>
          <w:color w:val="000000"/>
          <w:spacing w:val="0"/>
          <w:w w:val="100"/>
          <w:position w:val="0"/>
        </w:rPr>
        <w:t>四</w:t>
      </w:r>
      <w:bookmarkEnd w:id="661"/>
      <w:r>
        <w:rPr>
          <w:color w:val="000000"/>
          <w:spacing w:val="0"/>
          <w:w w:val="100"/>
          <w:position w:val="0"/>
        </w:rPr>
        <w:t>、其他信息</w:t>
      </w:r>
    </w:p>
    <w:p>
      <w:pPr>
        <w:pStyle w:val="Style10"/>
        <w:keepNext w:val="0"/>
        <w:keepLines w:val="0"/>
        <w:widowControl w:val="0"/>
        <w:shd w:val="clear" w:color="auto" w:fill="auto"/>
        <w:bidi w:val="0"/>
        <w:spacing w:before="0" w:after="0" w:line="472" w:lineRule="exact"/>
        <w:ind w:left="0" w:right="0" w:firstLine="440"/>
        <w:jc w:val="left"/>
      </w:pPr>
      <w:r>
        <w:rPr>
          <w:color w:val="000000"/>
          <w:spacing w:val="0"/>
          <w:w w:val="100"/>
          <w:position w:val="0"/>
        </w:rPr>
        <w:t>鸿博股份管理层对其他信息负责。其他信息包括</w:t>
      </w:r>
      <w:r>
        <w:rPr>
          <w:color w:val="000000"/>
          <w:spacing w:val="0"/>
          <w:w w:val="100"/>
          <w:position w:val="0"/>
        </w:rPr>
        <w:t>2021</w:t>
      </w:r>
      <w:r>
        <w:rPr>
          <w:color w:val="000000"/>
          <w:spacing w:val="0"/>
          <w:w w:val="100"/>
          <w:position w:val="0"/>
        </w:rPr>
        <w:t>年年度报告报告中涵盖的信息，但不包括财务 报表和我们的审计报告。</w:t>
      </w:r>
    </w:p>
    <w:p>
      <w:pPr>
        <w:pStyle w:val="Style10"/>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我们对财务报表发表的审计意见不涵盖其他信息，我们也不对其他信息发表任何形式的鉴证结论。</w:t>
      </w:r>
    </w:p>
    <w:p>
      <w:pPr>
        <w:pStyle w:val="Style10"/>
        <w:keepNext w:val="0"/>
        <w:keepLines w:val="0"/>
        <w:widowControl w:val="0"/>
        <w:shd w:val="clear" w:color="auto" w:fill="auto"/>
        <w:bidi w:val="0"/>
        <w:spacing w:before="0" w:after="0" w:line="472" w:lineRule="exact"/>
        <w:ind w:left="0" w:right="0" w:firstLine="440"/>
        <w:jc w:val="left"/>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10"/>
        <w:keepNext w:val="0"/>
        <w:keepLines w:val="0"/>
        <w:widowControl w:val="0"/>
        <w:shd w:val="clear" w:color="auto" w:fill="auto"/>
        <w:bidi w:val="0"/>
        <w:spacing w:before="0" w:after="220" w:line="472" w:lineRule="exact"/>
        <w:ind w:left="0" w:right="0" w:firstLine="440"/>
        <w:jc w:val="left"/>
      </w:pPr>
      <w:r>
        <w:rPr>
          <w:color w:val="000000"/>
          <w:spacing w:val="0"/>
          <w:w w:val="100"/>
          <w:position w:val="0"/>
        </w:rPr>
        <w:t>基于我们已执行的工作，如果我们确定其他信息存在重大错报，我们应当报告该事实。在这方面，我 们无任何事项需要报告。</w:t>
      </w:r>
    </w:p>
    <w:p>
      <w:pPr>
        <w:pStyle w:val="Style10"/>
        <w:keepNext w:val="0"/>
        <w:keepLines w:val="0"/>
        <w:widowControl w:val="0"/>
        <w:shd w:val="clear" w:color="auto" w:fill="auto"/>
        <w:bidi w:val="0"/>
        <w:spacing w:before="0" w:after="0" w:line="240" w:lineRule="auto"/>
        <w:ind w:left="0" w:right="0" w:firstLine="440"/>
        <w:jc w:val="left"/>
      </w:pPr>
      <w:bookmarkStart w:id="662" w:name="bookmark662"/>
      <w:r>
        <w:rPr>
          <w:color w:val="000000"/>
          <w:spacing w:val="0"/>
          <w:w w:val="100"/>
          <w:position w:val="0"/>
        </w:rPr>
        <w:t>五</w:t>
      </w:r>
      <w:bookmarkEnd w:id="662"/>
      <w:r>
        <w:rPr>
          <w:color w:val="000000"/>
          <w:spacing w:val="0"/>
          <w:w w:val="100"/>
          <w:position w:val="0"/>
        </w:rPr>
        <w:t>、管理层和治理层对财务报表的责任</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鸿博股份管理层负责按照企业会计准则的规定编制财务报表，使其实现公允反映，并设计、执行和维 护必要的内部控制，以使财务报表不存在由于舞弊或错误导致的重大错报。</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在编制财务报表时，管理层负责评估鸿博股份的持续经营能力，披露与持续经营相关的事项（如适用） 并运用持续经营假设，除非管理层计划清算鸿博股份、终止运营或别无其他现实的选择。</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治理层负责监督鸿博股份的财务报告过程。</w:t>
      </w:r>
    </w:p>
    <w:p>
      <w:pPr>
        <w:pStyle w:val="Style10"/>
        <w:keepNext w:val="0"/>
        <w:keepLines w:val="0"/>
        <w:widowControl w:val="0"/>
        <w:shd w:val="clear" w:color="auto" w:fill="auto"/>
        <w:bidi w:val="0"/>
        <w:spacing w:before="0" w:after="0" w:line="470" w:lineRule="exact"/>
        <w:ind w:left="0" w:right="0" w:firstLine="440"/>
        <w:jc w:val="both"/>
      </w:pPr>
      <w:bookmarkStart w:id="663" w:name="bookmark663"/>
      <w:r>
        <w:rPr>
          <w:color w:val="000000"/>
          <w:spacing w:val="0"/>
          <w:w w:val="100"/>
          <w:position w:val="0"/>
        </w:rPr>
        <w:t>六</w:t>
      </w:r>
      <w:bookmarkEnd w:id="663"/>
      <w:r>
        <w:rPr>
          <w:color w:val="000000"/>
          <w:spacing w:val="0"/>
          <w:w w:val="100"/>
          <w:position w:val="0"/>
        </w:rPr>
        <w:t>、注册会计师对财务报表审计的责任</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10"/>
        <w:keepNext w:val="0"/>
        <w:keepLines w:val="0"/>
        <w:widowControl w:val="0"/>
        <w:shd w:val="clear" w:color="auto" w:fill="auto"/>
        <w:tabs>
          <w:tab w:pos="771" w:val="left"/>
        </w:tabs>
        <w:bidi w:val="0"/>
        <w:spacing w:before="0" w:after="0" w:line="470" w:lineRule="exact"/>
        <w:ind w:left="0" w:right="0" w:firstLine="440"/>
        <w:jc w:val="both"/>
      </w:pPr>
      <w:bookmarkStart w:id="664" w:name="bookmark664"/>
      <w:r>
        <w:rPr>
          <w:color w:val="000000"/>
          <w:spacing w:val="0"/>
          <w:w w:val="100"/>
          <w:position w:val="0"/>
        </w:rPr>
        <w:t>1</w:t>
      </w:r>
      <w:bookmarkEnd w:id="664"/>
      <w:r>
        <w:rPr>
          <w:color w:val="000000"/>
          <w:spacing w:val="0"/>
          <w:w w:val="100"/>
          <w:position w:val="0"/>
        </w:rPr>
        <w:t>、</w:t>
        <w:tab/>
        <w:t>识别和评估由于舞弊或错误导致的财务报表重大错报风险，设计和实施审计程序以应对这些风险，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Style10"/>
        <w:keepNext w:val="0"/>
        <w:keepLines w:val="0"/>
        <w:widowControl w:val="0"/>
        <w:shd w:val="clear" w:color="auto" w:fill="auto"/>
        <w:tabs>
          <w:tab w:pos="788" w:val="left"/>
        </w:tabs>
        <w:bidi w:val="0"/>
        <w:spacing w:before="0" w:after="0" w:line="470" w:lineRule="exact"/>
        <w:ind w:left="0" w:right="0" w:firstLine="440"/>
        <w:jc w:val="both"/>
      </w:pPr>
      <w:bookmarkStart w:id="665" w:name="bookmark665"/>
      <w:r>
        <w:rPr>
          <w:color w:val="000000"/>
          <w:spacing w:val="0"/>
          <w:w w:val="100"/>
          <w:position w:val="0"/>
        </w:rPr>
        <w:t>2</w:t>
      </w:r>
      <w:bookmarkEnd w:id="665"/>
      <w:r>
        <w:rPr>
          <w:color w:val="000000"/>
          <w:spacing w:val="0"/>
          <w:w w:val="100"/>
          <w:position w:val="0"/>
        </w:rPr>
        <w:t>、</w:t>
        <w:tab/>
        <w:t>了解与审计相关的内部控制，以设计恰当的审计程序。</w:t>
      </w:r>
    </w:p>
    <w:p>
      <w:pPr>
        <w:pStyle w:val="Style10"/>
        <w:keepNext w:val="0"/>
        <w:keepLines w:val="0"/>
        <w:widowControl w:val="0"/>
        <w:shd w:val="clear" w:color="auto" w:fill="auto"/>
        <w:tabs>
          <w:tab w:pos="788" w:val="left"/>
        </w:tabs>
        <w:bidi w:val="0"/>
        <w:spacing w:before="0" w:after="0" w:line="470" w:lineRule="exact"/>
        <w:ind w:left="0" w:right="0" w:firstLine="440"/>
        <w:jc w:val="both"/>
      </w:pPr>
      <w:bookmarkStart w:id="666" w:name="bookmark666"/>
      <w:r>
        <w:rPr>
          <w:color w:val="000000"/>
          <w:spacing w:val="0"/>
          <w:w w:val="100"/>
          <w:position w:val="0"/>
        </w:rPr>
        <w:t>3</w:t>
      </w:r>
      <w:bookmarkEnd w:id="666"/>
      <w:r>
        <w:rPr>
          <w:color w:val="000000"/>
          <w:spacing w:val="0"/>
          <w:w w:val="100"/>
          <w:position w:val="0"/>
        </w:rPr>
        <w:t>、</w:t>
        <w:tab/>
        <w:t>评价管理层选用会计政策的恰当性和作出会计估计及相关披露的合理性。</w:t>
      </w:r>
    </w:p>
    <w:p>
      <w:pPr>
        <w:pStyle w:val="Style10"/>
        <w:keepNext w:val="0"/>
        <w:keepLines w:val="0"/>
        <w:widowControl w:val="0"/>
        <w:shd w:val="clear" w:color="auto" w:fill="auto"/>
        <w:tabs>
          <w:tab w:pos="771" w:val="left"/>
        </w:tabs>
        <w:bidi w:val="0"/>
        <w:spacing w:before="0" w:after="0" w:line="470" w:lineRule="exact"/>
        <w:ind w:left="0" w:right="0" w:firstLine="440"/>
        <w:jc w:val="both"/>
      </w:pPr>
      <w:bookmarkStart w:id="667" w:name="bookmark667"/>
      <w:r>
        <w:rPr>
          <w:color w:val="000000"/>
          <w:spacing w:val="0"/>
          <w:w w:val="100"/>
          <w:position w:val="0"/>
        </w:rPr>
        <w:t>4</w:t>
      </w:r>
      <w:bookmarkEnd w:id="667"/>
      <w:r>
        <w:rPr>
          <w:color w:val="000000"/>
          <w:spacing w:val="0"/>
          <w:w w:val="100"/>
          <w:position w:val="0"/>
        </w:rPr>
        <w:t>、</w:t>
        <w:tab/>
        <w:t>对管理层使用持续经营假设的恰当性得出结论。同时，根据获取的审计证据，就可能导致对鸿博 股份持续经营能力产生重大疑虑的事项或情况是否存在重大不确定性得出结论。如果我们得出结论认为存 在重大不确定性，审计准则要求我们在审计报告中提请报表使用者注意财务报表中的相关披露；如果披露 不充分，我们应当发表非无保留意见。我们的结论基于截至审计报告日可获得的信息。然而，未来的事项 或情况可能导致鸿博股份不能持续经营。</w:t>
      </w:r>
    </w:p>
    <w:p>
      <w:pPr>
        <w:pStyle w:val="Style10"/>
        <w:keepNext w:val="0"/>
        <w:keepLines w:val="0"/>
        <w:widowControl w:val="0"/>
        <w:shd w:val="clear" w:color="auto" w:fill="auto"/>
        <w:tabs>
          <w:tab w:pos="771" w:val="left"/>
        </w:tabs>
        <w:bidi w:val="0"/>
        <w:spacing w:before="0" w:after="0" w:line="470" w:lineRule="exact"/>
        <w:ind w:left="0" w:right="0" w:firstLine="440"/>
        <w:jc w:val="both"/>
      </w:pPr>
      <w:bookmarkStart w:id="668" w:name="bookmark668"/>
      <w:r>
        <w:rPr>
          <w:color w:val="000000"/>
          <w:spacing w:val="0"/>
          <w:w w:val="100"/>
          <w:position w:val="0"/>
        </w:rPr>
        <w:t>5</w:t>
      </w:r>
      <w:bookmarkEnd w:id="668"/>
      <w:r>
        <w:rPr>
          <w:color w:val="000000"/>
          <w:spacing w:val="0"/>
          <w:w w:val="100"/>
          <w:position w:val="0"/>
        </w:rPr>
        <w:t>、</w:t>
        <w:tab/>
        <w:t>评价财务报表的总体列报、结构和内容（包括披露），并评价财务报表是否公允反映相关交易和事 项。</w:t>
      </w:r>
    </w:p>
    <w:p>
      <w:pPr>
        <w:pStyle w:val="Style10"/>
        <w:keepNext w:val="0"/>
        <w:keepLines w:val="0"/>
        <w:widowControl w:val="0"/>
        <w:shd w:val="clear" w:color="auto" w:fill="auto"/>
        <w:tabs>
          <w:tab w:pos="771" w:val="left"/>
        </w:tabs>
        <w:bidi w:val="0"/>
        <w:spacing w:before="0" w:after="0" w:line="470" w:lineRule="exact"/>
        <w:ind w:left="0" w:right="0" w:firstLine="440"/>
        <w:jc w:val="both"/>
      </w:pPr>
      <w:bookmarkStart w:id="669" w:name="bookmark669"/>
      <w:r>
        <w:rPr>
          <w:color w:val="000000"/>
          <w:spacing w:val="0"/>
          <w:w w:val="100"/>
          <w:position w:val="0"/>
        </w:rPr>
        <w:t>6</w:t>
      </w:r>
      <w:bookmarkEnd w:id="669"/>
      <w:r>
        <w:rPr>
          <w:color w:val="000000"/>
          <w:spacing w:val="0"/>
          <w:w w:val="100"/>
          <w:position w:val="0"/>
        </w:rPr>
        <w:t>、</w:t>
        <w:tab/>
        <w:t>就鸿博股份中实体或业务活动的财务信息获取充分、适当的审计证据，以对合并财务报表发表审 计意见。我们负责指导、监督和执行集团审计，并对审计意见承担全部责任。</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我们还就已遵守与独立性相关的职业道德要求向治理层提供声明，并与治理层沟通可能被合理认为影 </w:t>
      </w:r>
      <w:r>
        <w:rPr>
          <w:color w:val="000000"/>
          <w:spacing w:val="0"/>
          <w:w w:val="100"/>
          <w:position w:val="0"/>
        </w:rPr>
        <w:t>响我们独立性的所有关系和其他事项，以及相关的防范措施（如适用）。</w:t>
      </w:r>
    </w:p>
    <w:p>
      <w:pPr>
        <w:pStyle w:val="Style10"/>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1"/>
        <w:keepNext/>
        <w:keepLines/>
        <w:widowControl w:val="0"/>
        <w:shd w:val="clear" w:color="auto" w:fill="auto"/>
        <w:bidi w:val="0"/>
        <w:spacing w:before="0" w:after="380" w:line="240" w:lineRule="auto"/>
        <w:ind w:left="0" w:right="0" w:firstLine="0"/>
        <w:jc w:val="left"/>
      </w:pPr>
      <w:bookmarkStart w:id="670" w:name="bookmark670"/>
      <w:bookmarkStart w:id="671" w:name="bookmark671"/>
      <w:bookmarkStart w:id="672" w:name="bookmark672"/>
      <w:bookmarkStart w:id="673" w:name="bookmark673"/>
      <w:r>
        <w:rPr>
          <w:color w:val="000000"/>
          <w:spacing w:val="0"/>
          <w:w w:val="100"/>
          <w:position w:val="0"/>
        </w:rPr>
        <w:t>二</w:t>
      </w:r>
      <w:bookmarkEnd w:id="672"/>
      <w:r>
        <w:rPr>
          <w:color w:val="000000"/>
          <w:spacing w:val="0"/>
          <w:w w:val="100"/>
          <w:position w:val="0"/>
        </w:rPr>
        <w:t>、财务报表</w:t>
      </w:r>
      <w:bookmarkEnd w:id="670"/>
      <w:bookmarkEnd w:id="671"/>
      <w:bookmarkEnd w:id="67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after="120" w:line="48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color w:val="000000"/>
          <w:spacing w:val="0"/>
          <w:w w:val="100"/>
          <w:position w:val="0"/>
        </w:rPr>
        <w:t>、合并资产负债表</w:t>
      </w:r>
      <w:bookmarkEnd w:id="674"/>
      <w:bookmarkEnd w:id="675"/>
      <w:bookmarkEnd w:id="677"/>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编制单位：鸿博股份有限公司</w:t>
      </w:r>
    </w:p>
    <w:p>
      <w:pPr>
        <w:pStyle w:val="Style45"/>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1,040,954,947.36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926,780,292.82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172,981,230.65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69,795,091.24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666,958.23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14,233,159.58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4,075,840.58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15,878,955.53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20,993,327.59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77,808,086.75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109,056,467.22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7,240,562.48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5,616,783.81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1,379,116,347.35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1,136,984,761.49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369,183,027.22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368,186,169.46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16,761,492.30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19,580,692.38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428,424,720.09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467,197,104.76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251,837.10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392,831.55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22,678,062.11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50,370,706.52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52,681,488.32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57,632,744.00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40,359,243.33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15,326,712.22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23,975,735.51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37,749,125.28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28,870,534.45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118,980.00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1,038,543,426.84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1,001,362,779.76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2,417,659,774.19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2,138,347,541.25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313,406,138.89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123,158,231.94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26,368,629.20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23,100,129.15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75,349,913.61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58,519,859.25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9,423.33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13,896,472.64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27,783,678.61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21,142,926.55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24,253,668.50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14,469,084.07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9,491,468.24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29,331,174.99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40,853,773.41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13,654,020.94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23,275,000.00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11,391,405.96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2,241,735.80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106,880.78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507,597,481.71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307,277,113.21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50,065,972.22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15,025,514.90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16,124,974.51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10,442,914.10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9,616,300.78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10,351,655.69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35,478,718.65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34,777,891.86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126,311,481.06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55,572,461.65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633,908,962.77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362,849,574.86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498,344,263.00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498,344,263.00</w:t>
            </w:r>
          </w:p>
        </w:tc>
      </w:tr>
    </w:tbl>
    <w:p>
      <w:pPr>
        <w:widowControl w:val="0"/>
        <w:spacing w:line="1" w:lineRule="exact"/>
      </w:pPr>
      <w:r>
        <w:br w:type="page"/>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586" w:h="5640" w:hSpace="10" w:vSpace="317"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5640" w:hSpace="10" w:vSpace="317" w:wrap="notBeside" w:vAnchor="text" w:hAnchor="text" w:x="10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framePr w:w="9586" w:h="5640" w:hSpace="10" w:vSpace="317"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5640" w:hSpace="10" w:vSpace="317" w:wrap="notBeside" w:vAnchor="text" w:hAnchor="text" w:x="10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framePr w:w="9586" w:h="5640" w:hSpace="10" w:vSpace="317"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5640" w:hSpace="10" w:vSpace="317" w:wrap="notBeside" w:vAnchor="text" w:hAnchor="text" w:x="10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875,577,669.05</w:t>
            </w:r>
          </w:p>
        </w:tc>
        <w:tc>
          <w:tcPr>
            <w:tcBorders>
              <w:top w:val="single" w:sz="4"/>
              <w:left w:val="single" w:sz="4"/>
              <w:right w:val="single" w:sz="4"/>
            </w:tcBorders>
            <w:shd w:val="clear" w:color="auto" w:fill="FFFFFF"/>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875,577,669.05</w:t>
            </w:r>
          </w:p>
        </w:tc>
      </w:tr>
      <w:tr>
        <w:trPr>
          <w:trHeight w:val="398" w:hRule="exact"/>
        </w:trPr>
        <w:tc>
          <w:tcPr>
            <w:tcBorders>
              <w:top w:val="single" w:sz="4"/>
              <w:left w:val="single" w:sz="4"/>
            </w:tcBorders>
            <w:shd w:val="clear" w:color="auto" w:fill="D3D3D3"/>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40,518,032.85</w:t>
            </w:r>
          </w:p>
        </w:tc>
        <w:tc>
          <w:tcPr>
            <w:tcBorders>
              <w:top w:val="single" w:sz="4"/>
              <w:left w:val="single" w:sz="4"/>
              <w:right w:val="single" w:sz="4"/>
            </w:tcBorders>
            <w:shd w:val="clear" w:color="auto" w:fill="FFFFFF"/>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40,518,032.85</w:t>
            </w:r>
          </w:p>
        </w:tc>
      </w:tr>
      <w:tr>
        <w:trPr>
          <w:trHeight w:val="403" w:hRule="exact"/>
        </w:trPr>
        <w:tc>
          <w:tcPr>
            <w:tcBorders>
              <w:top w:val="single" w:sz="4"/>
              <w:left w:val="single" w:sz="4"/>
            </w:tcBorders>
            <w:shd w:val="clear" w:color="auto" w:fill="D3D3D3"/>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9586" w:h="5640" w:hSpace="10" w:vSpace="317"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5640" w:hSpace="10" w:vSpace="317" w:wrap="notBeside" w:vAnchor="text" w:hAnchor="text" w:x="10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framePr w:w="9586" w:h="5640" w:hSpace="10" w:vSpace="317"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5640" w:hSpace="10" w:vSpace="317" w:wrap="notBeside" w:vAnchor="text" w:hAnchor="text" w:x="10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65,354,147.44</w:t>
            </w:r>
          </w:p>
        </w:tc>
        <w:tc>
          <w:tcPr>
            <w:tcBorders>
              <w:top w:val="single" w:sz="4"/>
              <w:left w:val="single" w:sz="4"/>
              <w:right w:val="single" w:sz="4"/>
            </w:tcBorders>
            <w:shd w:val="clear" w:color="auto" w:fill="FFFFFF"/>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65,405,955.59</w:t>
            </w:r>
          </w:p>
        </w:tc>
      </w:tr>
      <w:tr>
        <w:trPr>
          <w:trHeight w:val="398" w:hRule="exact"/>
        </w:trPr>
        <w:tc>
          <w:tcPr>
            <w:tcBorders>
              <w:top w:val="single" w:sz="4"/>
              <w:left w:val="single" w:sz="4"/>
            </w:tcBorders>
            <w:shd w:val="clear" w:color="auto" w:fill="D3D3D3"/>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86" w:h="5640" w:hSpace="10" w:vSpace="317"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5640" w:hSpace="10" w:vSpace="317" w:wrap="notBeside" w:vAnchor="text" w:hAnchor="text" w:x="10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288,414,596.91</w:t>
            </w:r>
          </w:p>
        </w:tc>
        <w:tc>
          <w:tcPr>
            <w:tcBorders>
              <w:top w:val="single" w:sz="4"/>
              <w:left w:val="single" w:sz="4"/>
              <w:right w:val="single" w:sz="4"/>
            </w:tcBorders>
            <w:shd w:val="clear" w:color="auto" w:fill="FFFFFF"/>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281,083,267.13</w:t>
            </w:r>
          </w:p>
        </w:tc>
      </w:tr>
      <w:tr>
        <w:trPr>
          <w:trHeight w:val="403" w:hRule="exact"/>
        </w:trPr>
        <w:tc>
          <w:tcPr>
            <w:tcBorders>
              <w:top w:val="single" w:sz="4"/>
              <w:left w:val="single" w:sz="4"/>
            </w:tcBorders>
            <w:shd w:val="clear" w:color="auto" w:fill="D3D3D3"/>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1,687,172,643.55</w:t>
            </w:r>
          </w:p>
        </w:tc>
        <w:tc>
          <w:tcPr>
            <w:tcBorders>
              <w:top w:val="single" w:sz="4"/>
              <w:left w:val="single" w:sz="4"/>
              <w:right w:val="single" w:sz="4"/>
            </w:tcBorders>
            <w:shd w:val="clear" w:color="auto" w:fill="FFFFFF"/>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1,679,893,121.92</w:t>
            </w:r>
          </w:p>
        </w:tc>
      </w:tr>
      <w:tr>
        <w:trPr>
          <w:trHeight w:val="403" w:hRule="exact"/>
        </w:trPr>
        <w:tc>
          <w:tcPr>
            <w:tcBorders>
              <w:top w:val="single" w:sz="4"/>
              <w:left w:val="single" w:sz="4"/>
            </w:tcBorders>
            <w:shd w:val="clear" w:color="auto" w:fill="D3D3D3"/>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96,578,167.87</w:t>
            </w:r>
          </w:p>
        </w:tc>
        <w:tc>
          <w:tcPr>
            <w:tcBorders>
              <w:top w:val="single" w:sz="4"/>
              <w:left w:val="single" w:sz="4"/>
              <w:right w:val="single" w:sz="4"/>
            </w:tcBorders>
            <w:shd w:val="clear" w:color="auto" w:fill="FFFFFF"/>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95,604,844.47</w:t>
            </w:r>
          </w:p>
        </w:tc>
      </w:tr>
      <w:tr>
        <w:trPr>
          <w:trHeight w:val="398" w:hRule="exact"/>
        </w:trPr>
        <w:tc>
          <w:tcPr>
            <w:tcBorders>
              <w:top w:val="single" w:sz="4"/>
              <w:left w:val="single" w:sz="4"/>
            </w:tcBorders>
            <w:shd w:val="clear" w:color="auto" w:fill="D3D3D3"/>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1,783,750,811.42</w:t>
            </w:r>
          </w:p>
        </w:tc>
        <w:tc>
          <w:tcPr>
            <w:tcBorders>
              <w:top w:val="single" w:sz="4"/>
              <w:left w:val="single" w:sz="4"/>
              <w:right w:val="single" w:sz="4"/>
            </w:tcBorders>
            <w:shd w:val="clear" w:color="auto" w:fill="FFFFFF"/>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1,775,497,966.39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2,417,659,774.19</w:t>
            </w:r>
          </w:p>
        </w:tc>
        <w:tc>
          <w:tcPr>
            <w:tcBorders>
              <w:top w:val="single" w:sz="4"/>
              <w:left w:val="single" w:sz="4"/>
              <w:bottom w:val="single" w:sz="4"/>
              <w:right w:val="single" w:sz="4"/>
            </w:tcBorders>
            <w:shd w:val="clear" w:color="auto" w:fill="FFFFFF"/>
            <w:vAlign w:val="center"/>
          </w:tcPr>
          <w:p>
            <w:pPr>
              <w:pStyle w:val="Style18"/>
              <w:keepNext w:val="0"/>
              <w:keepLines w:val="0"/>
              <w:framePr w:w="9586" w:h="5640" w:hSpace="10" w:vSpace="317" w:wrap="notBeside" w:vAnchor="text" w:hAnchor="text" w:x="109"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2,138,347,541.25</w:t>
            </w:r>
          </w:p>
        </w:tc>
      </w:tr>
    </w:tbl>
    <w:p>
      <w:pPr>
        <w:pStyle w:val="Style23"/>
        <w:keepNext w:val="0"/>
        <w:keepLines w:val="0"/>
        <w:framePr w:w="1478" w:h="235" w:hSpace="98" w:wrap="notBeside" w:vAnchor="text" w:hAnchor="text" w:x="99" w:y="5723"/>
        <w:widowControl w:val="0"/>
        <w:shd w:val="clear" w:color="auto" w:fill="auto"/>
        <w:bidi w:val="0"/>
        <w:spacing w:before="0" w:after="0" w:line="240" w:lineRule="auto"/>
        <w:ind w:left="0" w:right="0" w:firstLine="0"/>
        <w:jc w:val="left"/>
      </w:pPr>
      <w:r>
        <w:rPr>
          <w:color w:val="000000"/>
          <w:spacing w:val="0"/>
          <w:w w:val="100"/>
          <w:position w:val="0"/>
        </w:rPr>
        <w:t>法定代表人：毛伟</w:t>
      </w:r>
    </w:p>
    <w:p>
      <w:pPr>
        <w:pStyle w:val="Style23"/>
        <w:keepNext w:val="0"/>
        <w:keepLines w:val="0"/>
        <w:framePr w:w="2194" w:h="230" w:hSpace="98" w:wrap="notBeside" w:vAnchor="text" w:hAnchor="text" w:x="3531" w:y="5723"/>
        <w:widowControl w:val="0"/>
        <w:shd w:val="clear" w:color="auto" w:fill="auto"/>
        <w:bidi w:val="0"/>
        <w:spacing w:before="0" w:after="0" w:line="240" w:lineRule="auto"/>
        <w:ind w:left="0" w:right="0" w:firstLine="0"/>
        <w:jc w:val="left"/>
      </w:pPr>
      <w:r>
        <w:rPr>
          <w:color w:val="000000"/>
          <w:spacing w:val="0"/>
          <w:w w:val="100"/>
          <w:position w:val="0"/>
        </w:rPr>
        <w:t>主管会计工作负责人：浦威</w:t>
      </w:r>
    </w:p>
    <w:p>
      <w:pPr>
        <w:pStyle w:val="Style23"/>
        <w:keepNext w:val="0"/>
        <w:keepLines w:val="0"/>
        <w:framePr w:w="2030" w:h="235" w:hSpace="98" w:wrap="notBeside" w:vAnchor="text" w:hAnchor="text" w:x="7664" w:y="5723"/>
        <w:widowControl w:val="0"/>
        <w:shd w:val="clear" w:color="auto" w:fill="auto"/>
        <w:bidi w:val="0"/>
        <w:spacing w:before="0" w:after="0" w:line="240" w:lineRule="auto"/>
        <w:ind w:left="0" w:right="0" w:firstLine="0"/>
        <w:jc w:val="left"/>
      </w:pPr>
      <w:r>
        <w:rPr>
          <w:color w:val="000000"/>
          <w:spacing w:val="0"/>
          <w:w w:val="100"/>
          <w:position w:val="0"/>
        </w:rPr>
        <w:t>会计机构负责人：林辉妹</w:t>
      </w:r>
    </w:p>
    <w:p>
      <w:pPr>
        <w:widowControl w:val="0"/>
        <w:spacing w:line="1" w:lineRule="exact"/>
      </w:pPr>
    </w:p>
    <w:p>
      <w:pPr>
        <w:pStyle w:val="Style29"/>
        <w:keepNext/>
        <w:keepLines/>
        <w:widowControl w:val="0"/>
        <w:shd w:val="clear" w:color="auto" w:fill="auto"/>
        <w:bidi w:val="0"/>
        <w:spacing w:before="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2</w:t>
      </w:r>
      <w:bookmarkEnd w:id="680"/>
      <w:r>
        <w:rPr>
          <w:color w:val="000000"/>
          <w:spacing w:val="0"/>
          <w:w w:val="100"/>
          <w:position w:val="0"/>
        </w:rPr>
        <w:t>、母公司资产负债表</w:t>
      </w:r>
      <w:bookmarkEnd w:id="678"/>
      <w:bookmarkEnd w:id="679"/>
      <w:bookmarkEnd w:id="681"/>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449,580,696.47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544,889,235.39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21,369,508.66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35,145,180.40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2,156,661.96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2,296,721.26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413,515,941.75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127,664,123.06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4,536,915.22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10,387,166.27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3,949,889.23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3,557,764.76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945,109,613.29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723,940,191.14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1,059,683,814.83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986,633,814.83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363,183,027.22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362,186,169.46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14,206,212.92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16,794,446.48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66,316,991.62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78,445,090.30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9,244,419.02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1,652,457.14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2,229,064.32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5,428,155.61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8,080,434.96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15,119,873.08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9,561,841.45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1,574,834,951.44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1,463,930,861.80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2,519,944,564.73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2,187,871,052.94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313,406,138.89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123,158,231.94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3,853,553.40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12,933,591.86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15,281,246.24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26,647,815.95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1,489,635.56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13,992,049.75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3,825,710.22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6,486,522.25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808,552.23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2,796,557.29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295,295,040.05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174,329,544.24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1,112,245.98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2,216,795.48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637,288,918.05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360,344,313.28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50,065,972.22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9,174,937.92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30,247,810.49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29,131,709.61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89,488,720.63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29,131,709.61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726,777,638.68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389,476,022.89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498,344,263.00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498,344,263.00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892,670,004.94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892,670,004.94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40,518,032.85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40,518,032.85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64,116,849.68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64,168,657.83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378,553,841.28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383,730,137.13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1,793,166,926.05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1,798,395,030.05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2,519,944,564.73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2,187,871,052.94</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3</w:t>
      </w:r>
      <w:bookmarkEnd w:id="684"/>
      <w:r>
        <w:rPr>
          <w:color w:val="000000"/>
          <w:spacing w:val="0"/>
          <w:w w:val="100"/>
          <w:position w:val="0"/>
        </w:rPr>
        <w:t>、合并利润表</w:t>
      </w:r>
      <w:bookmarkEnd w:id="682"/>
      <w:bookmarkEnd w:id="683"/>
      <w:bookmarkEnd w:id="685"/>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574,429,448.81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473,819,659.54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574,429,448.81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473,819,659.54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565,336,596.70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489,073,976.57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428,952,498.80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359,293,812.23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9,650,966.30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7,852,783.35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20,089,934.46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22,223,128.68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80,268,130.38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79,276,732.49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22,985,965.50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21,159,854.45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3,389,101.26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-732,334.63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10,287,447.63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5,149,815.26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7,135,654.34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6,043,794.60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7,568,913.01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7,778,001.52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15,005,090.04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19,083,221.25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7,913,675.31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77,213,065.52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-6,064,420.29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-689,502.16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-12,391,533.86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-36,541,056.70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1,548,610.84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-447,200.42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22,673,187.16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51,142,211.98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125,162.82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1,175,195.35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283,030.67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1,515,479.08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22,515,319.31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50,801,928.25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1,492,819.97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11,787,093.21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21,022,499.34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39,014,835.04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21,022,499.34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39,014,835.04</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9,139,042.08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25,458,258.23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11,883,457.26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13,556,576.81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（二）将重分类进损益的其他综合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21,022,499.34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39,014,835.04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9,139,042.08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25,458,258.23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11,883,457.26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13,556,576.81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0.0515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0.0515</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法定代表人：毛伟</w:t>
        <w:tab/>
        <w:t>主管会计工作负责人：浦威</w:t>
        <w:tab/>
        <w:t>会计机构负责人：林辉妹</w:t>
      </w:r>
    </w:p>
    <w:p>
      <w:pPr>
        <w:pStyle w:val="Style29"/>
        <w:keepNext/>
        <w:keepLines/>
        <w:widowControl w:val="0"/>
        <w:shd w:val="clear" w:color="auto" w:fill="auto"/>
        <w:bidi w:val="0"/>
        <w:spacing w:before="0" w:after="40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4</w:t>
      </w:r>
      <w:bookmarkEnd w:id="688"/>
      <w:r>
        <w:rPr>
          <w:color w:val="000000"/>
          <w:spacing w:val="0"/>
          <w:w w:val="100"/>
          <w:position w:val="0"/>
        </w:rPr>
        <w:t>、母公司利润表</w:t>
      </w:r>
      <w:bookmarkEnd w:id="686"/>
      <w:bookmarkEnd w:id="687"/>
      <w:bookmarkEnd w:id="689"/>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82,899,122.60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109,208,914.34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64,431,868.53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96,487,702.45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1,726,362.40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1,386,768.73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7,092,616.24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10,208,138.43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40,896,148.53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37,286,171.26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4,922,879.15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5,563,879.30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6,504,974.62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1,706,364.71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9,542,259.95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5,149,815.26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3,146,046.25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3,593,072.67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4,711,210.93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5,435,109.97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27,178,644.84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41,610,596.58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7,913,675.31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77,213,065.52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-1,551,691.44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-929,811.96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-6,495,484.31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-21,043,913.74</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1,839,290.11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-8,734.11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-9,080,081.43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58,846,201.72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32,686.31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639,741.33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104,558.13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907,478.07</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-9,151,953.25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58,578,464.98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-4,441,930.75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4,922,154.60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-4,710,022.50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53,656,310.38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-4,710,022.50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53,656,310.38</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-4,710,022.50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53,656,310.38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5</w:t>
      </w:r>
      <w:bookmarkEnd w:id="692"/>
      <w:r>
        <w:rPr>
          <w:color w:val="000000"/>
          <w:spacing w:val="0"/>
          <w:w w:val="100"/>
          <w:position w:val="0"/>
        </w:rPr>
        <w:t>、合并现金流量表</w:t>
      </w:r>
      <w:bookmarkEnd w:id="690"/>
      <w:bookmarkEnd w:id="691"/>
      <w:bookmarkEnd w:id="693"/>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1,113,107,889.99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541,827,024.30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3,481,604.58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102,494.17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49,494,480.77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101,901,035.19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1,166,083,975.34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643,830,553.66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862,232,680.11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302,146,968.20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141,447,118.49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116,748,968.59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53,551,260.84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42,080,354.07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100,459,409.76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87,937,510.39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1,157,690,469.20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548,913,801.25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8,393,506.14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94,916,752.41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1,570,108,400.00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2,399,500,000.00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17,151,271.96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19,560,103.13</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2,922,315.22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542,496.43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1,590,181,987.18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2,419,602,599.56</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7,983,843.88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7,368,863.51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2,395,000,000.00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18,078,531.01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1,681,062,374.89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2,402,368,863.51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-90,880,387.71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17,233,736.05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389,934,930.60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389,934,930.60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149,934,930.60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32,099,001.22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6,366,458.31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13,896,801.67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33,371,113.80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195,930,733.49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149,737,572.11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194,004,197.11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-26,737,572.11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-3,003.62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111,515,819.27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85,409,912.73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904,973,363.58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819,563,450.85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1,016,489,182.85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904,973,363.58</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6</w:t>
      </w:r>
      <w:bookmarkEnd w:id="696"/>
      <w:r>
        <w:rPr>
          <w:color w:val="000000"/>
          <w:spacing w:val="0"/>
          <w:w w:val="100"/>
          <w:position w:val="0"/>
        </w:rPr>
        <w:t>、母公司现金流量表</w:t>
      </w:r>
      <w:bookmarkEnd w:id="694"/>
      <w:bookmarkEnd w:id="695"/>
      <w:bookmarkEnd w:id="697"/>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100,475,272.99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115,317,122.78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2,830,994.69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53,495.27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454,283,535.54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311,888,852.36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557,589,803.22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427,259,470.41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96,883,360.48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87,058,167.42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31,257,228.51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27,713,940.31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6,022,120.45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3,724,832.61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614,518,739.20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284,805,338.66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748,681,448.64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403,302,279.00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-191,091,645.42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23,957,191.41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1,265,108,400.00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1,659,500,000.00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29,146,231.43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41,968,820.93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2,740,427.74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1,296,995,059.17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1,701,478,080.93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3,379,904.36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1,675,000,000.00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1,423,067,392.11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1,678,379,904.36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-126,072,332.94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23,098,176.57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389,934,930.60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389,934,930.60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149,934,930.60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110,000,000.00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8,583,667.89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5,141,458.31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2,815,179.19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33,371,113.80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161,333,777.68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148,512,572.11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228,601,152.92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-25,512,572.11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-3,003.62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-88,564,321.71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21,539,792.25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534,291,464.78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512,751,672.53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445,727,143.07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534,291,464.78</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7</w:t>
      </w:r>
      <w:bookmarkEnd w:id="700"/>
      <w:r>
        <w:rPr>
          <w:color w:val="000000"/>
          <w:spacing w:val="0"/>
          <w:w w:val="100"/>
          <w:position w:val="0"/>
        </w:rPr>
        <w:t>、合并所有者权益变动表</w:t>
      </w:r>
      <w:bookmarkEnd w:id="698"/>
      <w:bookmarkEnd w:id="699"/>
      <w:bookmarkEnd w:id="70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少数</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股东</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盈余</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永续</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498,3</w:t>
            </w:r>
          </w:p>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44,26 </w:t>
            </w: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875,57</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7,669.</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40,518 </w:t>
            </w:r>
            <w:r>
              <w:rPr>
                <w:rFonts w:ascii="Times New Roman" w:eastAsia="Times New Roman" w:hAnsi="Times New Roman" w:cs="Times New Roman"/>
                <w:color w:val="000000"/>
                <w:spacing w:val="0"/>
                <w:w w:val="100"/>
                <w:position w:val="0"/>
                <w:sz w:val="18"/>
                <w:szCs w:val="18"/>
              </w:rPr>
              <w:t xml:space="preserve">,032.8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65,405 </w:t>
            </w:r>
            <w:r>
              <w:rPr>
                <w:rFonts w:ascii="Times New Roman" w:eastAsia="Times New Roman" w:hAnsi="Times New Roman" w:cs="Times New Roman"/>
                <w:color w:val="000000"/>
                <w:spacing w:val="0"/>
                <w:w w:val="100"/>
                <w:position w:val="0"/>
                <w:sz w:val="18"/>
                <w:szCs w:val="18"/>
              </w:rPr>
              <w:t xml:space="preserve">,955.5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281,08</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3,267.</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1,679,</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893,12</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95,604 </w:t>
            </w:r>
            <w:r>
              <w:rPr>
                <w:rFonts w:ascii="Times New Roman" w:eastAsia="Times New Roman" w:hAnsi="Times New Roman" w:cs="Times New Roman"/>
                <w:color w:val="000000"/>
                <w:spacing w:val="0"/>
                <w:w w:val="100"/>
                <w:position w:val="0"/>
                <w:sz w:val="18"/>
                <w:szCs w:val="18"/>
              </w:rPr>
              <w:t xml:space="preserve">,844.4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1,775,</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497,96</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-1,807,</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-1,859, 520.45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-1,288, 833.51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-3,148, 353.96</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498,3</w:t>
            </w:r>
          </w:p>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44,26 </w:t>
            </w: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875,57</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7,669.</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40,518 </w:t>
            </w:r>
            <w:r>
              <w:rPr>
                <w:rFonts w:ascii="Times New Roman" w:eastAsia="Times New Roman" w:hAnsi="Times New Roman" w:cs="Times New Roman"/>
                <w:color w:val="000000"/>
                <w:spacing w:val="0"/>
                <w:w w:val="100"/>
                <w:position w:val="0"/>
                <w:sz w:val="18"/>
                <w:szCs w:val="18"/>
              </w:rPr>
              <w:t xml:space="preserve">,032.8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65,354 </w:t>
            </w:r>
            <w:r>
              <w:rPr>
                <w:rFonts w:ascii="Times New Roman" w:eastAsia="Times New Roman" w:hAnsi="Times New Roman" w:cs="Times New Roman"/>
                <w:color w:val="000000"/>
                <w:spacing w:val="0"/>
                <w:w w:val="100"/>
                <w:position w:val="0"/>
                <w:sz w:val="18"/>
                <w:szCs w:val="18"/>
              </w:rPr>
              <w:t xml:space="preserve">,147.4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279,27 </w:t>
            </w:r>
            <w:r>
              <w:rPr>
                <w:rFonts w:ascii="Times New Roman" w:eastAsia="Times New Roman" w:hAnsi="Times New Roman" w:cs="Times New Roman"/>
                <w:color w:val="000000"/>
                <w:spacing w:val="0"/>
                <w:w w:val="100"/>
                <w:position w:val="0"/>
                <w:sz w:val="18"/>
                <w:szCs w:val="18"/>
              </w:rPr>
              <w:t xml:space="preserve">5,554. </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1,678, 033,60</w:t>
            </w:r>
          </w:p>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94,316 </w:t>
            </w:r>
            <w:r>
              <w:rPr>
                <w:rFonts w:ascii="Times New Roman" w:eastAsia="Times New Roman" w:hAnsi="Times New Roman" w:cs="Times New Roman"/>
                <w:color w:val="000000"/>
                <w:spacing w:val="0"/>
                <w:w w:val="100"/>
                <w:position w:val="0"/>
                <w:sz w:val="18"/>
                <w:szCs w:val="18"/>
              </w:rPr>
              <w:t xml:space="preserve">,010.9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1,772, 349,61 </w:t>
            </w:r>
            <w:r>
              <w:rPr>
                <w:rFonts w:ascii="Times New Roman" w:eastAsia="Times New Roman" w:hAnsi="Times New Roman" w:cs="Times New Roman"/>
                <w:color w:val="000000"/>
                <w:spacing w:val="0"/>
                <w:w w:val="100"/>
                <w:position w:val="0"/>
                <w:sz w:val="18"/>
                <w:szCs w:val="18"/>
              </w:rPr>
              <w:t>2.43</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9,139,</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9,139,</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042.08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11,401</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9,139,</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9,139,</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042.08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11,883 </w:t>
            </w:r>
            <w:r>
              <w:rPr>
                <w:rFonts w:ascii="Times New Roman" w:eastAsia="Times New Roman" w:hAnsi="Times New Roman" w:cs="Times New Roman"/>
                <w:color w:val="000000"/>
                <w:spacing w:val="0"/>
                <w:w w:val="100"/>
                <w:position w:val="0"/>
                <w:sz w:val="18"/>
                <w:szCs w:val="18"/>
              </w:rPr>
              <w:t xml:space="preserve">,457.2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21,022 </w:t>
            </w:r>
            <w:r>
              <w:rPr>
                <w:rFonts w:ascii="Times New Roman" w:eastAsia="Times New Roman" w:hAnsi="Times New Roman" w:cs="Times New Roman"/>
                <w:color w:val="000000"/>
                <w:spacing w:val="0"/>
                <w:w w:val="100"/>
                <w:position w:val="0"/>
                <w:sz w:val="18"/>
                <w:szCs w:val="18"/>
              </w:rPr>
              <w:t xml:space="preserve">,499.3 </w:t>
            </w: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3,118,</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3,118,</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699.65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3,118,</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3,118,</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699.65</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498,3</w:t>
            </w:r>
          </w:p>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44,26 </w:t>
            </w: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875,57</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7,669.</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40,518 </w:t>
            </w:r>
            <w:r>
              <w:rPr>
                <w:rFonts w:ascii="Times New Roman" w:eastAsia="Times New Roman" w:hAnsi="Times New Roman" w:cs="Times New Roman"/>
                <w:color w:val="000000"/>
                <w:spacing w:val="0"/>
                <w:w w:val="100"/>
                <w:position w:val="0"/>
                <w:sz w:val="18"/>
                <w:szCs w:val="18"/>
              </w:rPr>
              <w:t xml:space="preserve">,032.8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65,354 </w:t>
            </w:r>
            <w:r>
              <w:rPr>
                <w:rFonts w:ascii="Times New Roman" w:eastAsia="Times New Roman" w:hAnsi="Times New Roman" w:cs="Times New Roman"/>
                <w:color w:val="000000"/>
                <w:spacing w:val="0"/>
                <w:w w:val="100"/>
                <w:position w:val="0"/>
                <w:sz w:val="18"/>
                <w:szCs w:val="18"/>
              </w:rPr>
              <w:t xml:space="preserve">,147.4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288,41</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4,596.</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1,687, 172,64 </w:t>
            </w:r>
            <w:r>
              <w:rPr>
                <w:rFonts w:ascii="Times New Roman" w:eastAsia="Times New Roman" w:hAnsi="Times New Roman" w:cs="Times New Roman"/>
                <w:color w:val="000000"/>
                <w:spacing w:val="0"/>
                <w:w w:val="100"/>
                <w:position w:val="0"/>
                <w:sz w:val="18"/>
                <w:szCs w:val="18"/>
              </w:rPr>
              <w:t>3.55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96,578 </w:t>
            </w:r>
            <w:r>
              <w:rPr>
                <w:rFonts w:ascii="Times New Roman" w:eastAsia="Times New Roman" w:hAnsi="Times New Roman" w:cs="Times New Roman"/>
                <w:color w:val="000000"/>
                <w:spacing w:val="0"/>
                <w:w w:val="100"/>
                <w:position w:val="0"/>
                <w:sz w:val="18"/>
                <w:szCs w:val="18"/>
              </w:rPr>
              <w:t xml:space="preserve">,167.8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1,783,</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750,81</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上期金额</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单位：元</w:t>
      </w: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综合</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专项</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盈余</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一般</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风险</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永续</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498,3</w:t>
            </w:r>
          </w:p>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44,26 </w:t>
            </w: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875,57</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7,669.</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7,146,</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60,040 </w:t>
            </w:r>
            <w:r>
              <w:rPr>
                <w:rFonts w:ascii="Times New Roman" w:eastAsia="Times New Roman" w:hAnsi="Times New Roman" w:cs="Times New Roman"/>
                <w:color w:val="000000"/>
                <w:spacing w:val="0"/>
                <w:w w:val="100"/>
                <w:position w:val="0"/>
                <w:sz w:val="18"/>
                <w:szCs w:val="18"/>
              </w:rPr>
              <w:t xml:space="preserve">,324.5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260,99 </w:t>
            </w:r>
            <w:r>
              <w:rPr>
                <w:rFonts w:ascii="Times New Roman" w:eastAsia="Times New Roman" w:hAnsi="Times New Roman" w:cs="Times New Roman"/>
                <w:color w:val="000000"/>
                <w:spacing w:val="0"/>
                <w:w w:val="100"/>
                <w:position w:val="0"/>
                <w:sz w:val="18"/>
                <w:szCs w:val="18"/>
              </w:rPr>
              <w:t>0,639.</w:t>
            </w:r>
          </w:p>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1,687, 805,97 </w:t>
            </w:r>
            <w:r>
              <w:rPr>
                <w:rFonts w:ascii="Times New Roman" w:eastAsia="Times New Roman" w:hAnsi="Times New Roman" w:cs="Times New Roman"/>
                <w:color w:val="000000"/>
                <w:spacing w:val="0"/>
                <w:w w:val="100"/>
                <w:position w:val="0"/>
                <w:sz w:val="18"/>
                <w:szCs w:val="18"/>
              </w:rPr>
              <w:t>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106,548</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1,794,3</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54,245.</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498,3</w:t>
            </w:r>
          </w:p>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44,26 </w:t>
            </w: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875,57</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7,669.</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60,040 </w:t>
            </w:r>
            <w:r>
              <w:rPr>
                <w:rFonts w:ascii="Times New Roman" w:eastAsia="Times New Roman" w:hAnsi="Times New Roman" w:cs="Times New Roman"/>
                <w:color w:val="000000"/>
                <w:spacing w:val="0"/>
                <w:w w:val="100"/>
                <w:position w:val="0"/>
                <w:sz w:val="18"/>
                <w:szCs w:val="18"/>
              </w:rPr>
              <w:t xml:space="preserve">,324.5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260,99 </w:t>
            </w:r>
            <w:r>
              <w:rPr>
                <w:rFonts w:ascii="Times New Roman" w:eastAsia="Times New Roman" w:hAnsi="Times New Roman" w:cs="Times New Roman"/>
                <w:color w:val="000000"/>
                <w:spacing w:val="0"/>
                <w:w w:val="100"/>
                <w:position w:val="0"/>
                <w:sz w:val="18"/>
                <w:szCs w:val="18"/>
              </w:rPr>
              <w:t>0,639.</w:t>
            </w:r>
          </w:p>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1,687, 805,97 </w:t>
            </w:r>
            <w:r>
              <w:rPr>
                <w:rFonts w:ascii="Times New Roman" w:eastAsia="Times New Roman" w:hAnsi="Times New Roman" w:cs="Times New Roman"/>
                <w:color w:val="000000"/>
                <w:spacing w:val="0"/>
                <w:w w:val="100"/>
                <w:position w:val="0"/>
                <w:sz w:val="18"/>
                <w:szCs w:val="18"/>
              </w:rPr>
              <w:t>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106,548</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1,794,3</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54,245.</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33,371 </w:t>
            </w:r>
            <w:r>
              <w:rPr>
                <w:rFonts w:ascii="Times New Roman" w:eastAsia="Times New Roman" w:hAnsi="Times New Roman" w:cs="Times New Roman"/>
                <w:color w:val="000000"/>
                <w:spacing w:val="0"/>
                <w:w w:val="100"/>
                <w:position w:val="0"/>
                <w:sz w:val="18"/>
                <w:szCs w:val="18"/>
              </w:rPr>
              <w:t xml:space="preserve">,113.8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20,092 </w:t>
            </w:r>
            <w:r>
              <w:rPr>
                <w:rFonts w:ascii="Times New Roman" w:eastAsia="Times New Roman" w:hAnsi="Times New Roman" w:cs="Times New Roman"/>
                <w:color w:val="000000"/>
                <w:spacing w:val="0"/>
                <w:w w:val="100"/>
                <w:position w:val="0"/>
                <w:sz w:val="18"/>
                <w:szCs w:val="18"/>
              </w:rPr>
              <w:t xml:space="preserve">,627.1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-7,912, 855.57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-10,943</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-18,856</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,278.76</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25,458 </w:t>
            </w:r>
            <w:r>
              <w:rPr>
                <w:rFonts w:ascii="Times New Roman" w:eastAsia="Times New Roman" w:hAnsi="Times New Roman" w:cs="Times New Roman"/>
                <w:color w:val="000000"/>
                <w:spacing w:val="0"/>
                <w:w w:val="100"/>
                <w:position w:val="0"/>
                <w:sz w:val="18"/>
                <w:szCs w:val="18"/>
              </w:rPr>
              <w:t xml:space="preserve">,258.2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25,458 </w:t>
            </w:r>
            <w:r>
              <w:rPr>
                <w:rFonts w:ascii="Times New Roman" w:eastAsia="Times New Roman" w:hAnsi="Times New Roman" w:cs="Times New Roman"/>
                <w:color w:val="000000"/>
                <w:spacing w:val="0"/>
                <w:w w:val="100"/>
                <w:position w:val="0"/>
                <w:sz w:val="18"/>
                <w:szCs w:val="18"/>
              </w:rPr>
              <w:t xml:space="preserve">,258.2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13,556,</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39,014,</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835.04</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33,371 </w:t>
            </w:r>
            <w:r>
              <w:rPr>
                <w:rFonts w:ascii="Times New Roman" w:eastAsia="Times New Roman" w:hAnsi="Times New Roman" w:cs="Times New Roman"/>
                <w:color w:val="000000"/>
                <w:spacing w:val="0"/>
                <w:w w:val="100"/>
                <w:position w:val="0"/>
                <w:sz w:val="18"/>
                <w:szCs w:val="18"/>
              </w:rPr>
              <w:t xml:space="preserve">,113.8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-33,37</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-33,371</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33,371</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-33,37</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-33,371</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498,3</w:t>
            </w:r>
          </w:p>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44,26 </w:t>
            </w: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875,57</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7,669.</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40,518 </w:t>
            </w:r>
            <w:r>
              <w:rPr>
                <w:rFonts w:ascii="Times New Roman" w:eastAsia="Times New Roman" w:hAnsi="Times New Roman" w:cs="Times New Roman"/>
                <w:color w:val="000000"/>
                <w:spacing w:val="0"/>
                <w:w w:val="100"/>
                <w:position w:val="0"/>
                <w:sz w:val="18"/>
                <w:szCs w:val="18"/>
              </w:rPr>
              <w:t xml:space="preserve">,032.8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65,405 </w:t>
            </w:r>
            <w:r>
              <w:rPr>
                <w:rFonts w:ascii="Times New Roman" w:eastAsia="Times New Roman" w:hAnsi="Times New Roman" w:cs="Times New Roman"/>
                <w:color w:val="000000"/>
                <w:spacing w:val="0"/>
                <w:w w:val="100"/>
                <w:position w:val="0"/>
                <w:sz w:val="18"/>
                <w:szCs w:val="18"/>
              </w:rPr>
              <w:t xml:space="preserve">,955.5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281,08</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3,267.</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1,679,</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893,12</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95,604,</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844.47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1,775,4</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97,966.</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8</w:t>
      </w:r>
      <w:bookmarkEnd w:id="704"/>
      <w:r>
        <w:rPr>
          <w:color w:val="000000"/>
          <w:spacing w:val="0"/>
          <w:w w:val="100"/>
          <w:position w:val="0"/>
        </w:rPr>
        <w:t>、母公司所有者权益变动表</w:t>
      </w:r>
      <w:bookmarkEnd w:id="702"/>
      <w:bookmarkEnd w:id="703"/>
      <w:bookmarkEnd w:id="70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498,34 </w:t>
            </w:r>
            <w:r>
              <w:rPr>
                <w:rFonts w:ascii="Times New Roman" w:eastAsia="Times New Roman" w:hAnsi="Times New Roman" w:cs="Times New Roman"/>
                <w:color w:val="000000"/>
                <w:spacing w:val="0"/>
                <w:w w:val="100"/>
                <w:position w:val="0"/>
                <w:sz w:val="18"/>
                <w:szCs w:val="18"/>
              </w:rPr>
              <w:t xml:space="preserve">4,263.0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892,670, </w:t>
            </w:r>
            <w:r>
              <w:rPr>
                <w:rFonts w:ascii="Times New Roman" w:eastAsia="Times New Roman" w:hAnsi="Times New Roman" w:cs="Times New Roman"/>
                <w:color w:val="000000"/>
                <w:spacing w:val="0"/>
                <w:w w:val="100"/>
                <w:position w:val="0"/>
                <w:sz w:val="18"/>
                <w:szCs w:val="18"/>
              </w:rPr>
              <w:t>004.94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40,518,0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64,168,6</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383,73 </w:t>
            </w:r>
            <w:r>
              <w:rPr>
                <w:rFonts w:ascii="Times New Roman" w:eastAsia="Times New Roman" w:hAnsi="Times New Roman" w:cs="Times New Roman"/>
                <w:color w:val="000000"/>
                <w:spacing w:val="0"/>
                <w:w w:val="100"/>
                <w:position w:val="0"/>
                <w:sz w:val="18"/>
                <w:szCs w:val="18"/>
              </w:rPr>
              <w:t xml:space="preserve">0,137.1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1,798,395,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030.05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-51,808.</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-466,27</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-518,081.5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498,34 </w:t>
            </w:r>
            <w:r>
              <w:rPr>
                <w:rFonts w:ascii="Times New Roman" w:eastAsia="Times New Roman" w:hAnsi="Times New Roman" w:cs="Times New Roman"/>
                <w:color w:val="000000"/>
                <w:spacing w:val="0"/>
                <w:w w:val="100"/>
                <w:position w:val="0"/>
                <w:sz w:val="18"/>
                <w:szCs w:val="18"/>
              </w:rPr>
              <w:t xml:space="preserve">4,263.0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892,670, </w:t>
            </w:r>
            <w:r>
              <w:rPr>
                <w:rFonts w:ascii="Times New Roman" w:eastAsia="Times New Roman" w:hAnsi="Times New Roman" w:cs="Times New Roman"/>
                <w:color w:val="000000"/>
                <w:spacing w:val="0"/>
                <w:w w:val="100"/>
                <w:position w:val="0"/>
                <w:sz w:val="18"/>
                <w:szCs w:val="18"/>
              </w:rPr>
              <w:t>004.94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40,518,0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64,116,8</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383,26</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3,863.7</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1,797,876,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948.55</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-4,710,022</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-4,710,022</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498,34 </w:t>
            </w:r>
            <w:r>
              <w:rPr>
                <w:rFonts w:ascii="Times New Roman" w:eastAsia="Times New Roman" w:hAnsi="Times New Roman" w:cs="Times New Roman"/>
                <w:color w:val="000000"/>
                <w:spacing w:val="0"/>
                <w:w w:val="100"/>
                <w:position w:val="0"/>
                <w:sz w:val="18"/>
                <w:szCs w:val="18"/>
              </w:rPr>
              <w:t xml:space="preserve">4,263.0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892,670, </w:t>
            </w:r>
            <w:r>
              <w:rPr>
                <w:rFonts w:ascii="Times New Roman" w:eastAsia="Times New Roman" w:hAnsi="Times New Roman" w:cs="Times New Roman"/>
                <w:color w:val="000000"/>
                <w:spacing w:val="0"/>
                <w:w w:val="100"/>
                <w:position w:val="0"/>
                <w:sz w:val="18"/>
                <w:szCs w:val="18"/>
              </w:rPr>
              <w:t>004.94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40,518,0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64,116,8</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378,55</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3,841.2</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1,793,166,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926.05</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上期金额</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其他综</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永续</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498,34</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4,263.</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892,670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7,146,91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58,803, </w:t>
            </w:r>
            <w:r>
              <w:rPr>
                <w:rFonts w:ascii="Times New Roman" w:eastAsia="Times New Roman" w:hAnsi="Times New Roman" w:cs="Times New Roman"/>
                <w:color w:val="000000"/>
                <w:spacing w:val="0"/>
                <w:w w:val="100"/>
                <w:position w:val="0"/>
                <w:sz w:val="18"/>
                <w:szCs w:val="18"/>
              </w:rPr>
              <w:t>026.79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335,439,4</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1,778,109,8</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33.47</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498,34</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4,263.</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892,670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,004.94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7,146,91</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58,803, </w:t>
            </w:r>
            <w:r>
              <w:rPr>
                <w:rFonts w:ascii="Times New Roman" w:eastAsia="Times New Roman" w:hAnsi="Times New Roman" w:cs="Times New Roman"/>
                <w:color w:val="000000"/>
                <w:spacing w:val="0"/>
                <w:w w:val="100"/>
                <w:position w:val="0"/>
                <w:sz w:val="18"/>
                <w:szCs w:val="18"/>
              </w:rPr>
              <w:t>026.79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335,439,4</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1,778,109,8</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33.47</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33,371,1</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5,365,6</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48,290,67</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20,285,196.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53,656,31</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53,656,310.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33,371,1</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-33,371,113</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33,371,1</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-33,371,113</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5,365,6</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-5,365,63</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5,365,6</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-5,365,63</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498,34</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4,263.</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892,670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,004.94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40,518,0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64,168,</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383,730,1</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1,798,395,0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w:t>
            </w:r>
          </w:p>
        </w:tc>
      </w:tr>
    </w:tbl>
    <w:p>
      <w:pPr>
        <w:widowControl w:val="0"/>
        <w:spacing w:after="319" w:line="1" w:lineRule="exact"/>
      </w:pPr>
    </w:p>
    <w:p>
      <w:pPr>
        <w:pStyle w:val="Style21"/>
        <w:keepNext/>
        <w:keepLines/>
        <w:widowControl w:val="0"/>
        <w:shd w:val="clear" w:color="auto" w:fill="auto"/>
        <w:bidi w:val="0"/>
        <w:spacing w:before="0" w:after="200" w:line="240" w:lineRule="auto"/>
        <w:ind w:left="0" w:right="0" w:firstLine="0"/>
        <w:jc w:val="left"/>
      </w:pPr>
      <w:bookmarkStart w:id="706" w:name="bookmark706"/>
      <w:bookmarkStart w:id="707" w:name="bookmark707"/>
      <w:bookmarkStart w:id="708" w:name="bookmark708"/>
      <w:bookmarkStart w:id="709" w:name="bookmark709"/>
      <w:r>
        <w:rPr>
          <w:color w:val="000000"/>
          <w:spacing w:val="0"/>
          <w:w w:val="100"/>
          <w:position w:val="0"/>
        </w:rPr>
        <w:t>三</w:t>
      </w:r>
      <w:bookmarkEnd w:id="708"/>
      <w:r>
        <w:rPr>
          <w:color w:val="000000"/>
          <w:spacing w:val="0"/>
          <w:w w:val="100"/>
          <w:position w:val="0"/>
        </w:rPr>
        <w:t>、公司基本情况</w:t>
      </w:r>
      <w:bookmarkEnd w:id="706"/>
      <w:bookmarkEnd w:id="707"/>
      <w:bookmarkEnd w:id="709"/>
    </w:p>
    <w:p>
      <w:pPr>
        <w:pStyle w:val="Style1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鸿博股份有限公司（以下简称“本公司”或“公司”）系由福建鸿博印刷有限公司整体变更设立的股 份有限公司，于</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 xml:space="preserve">日取得福建省工商行政管理局换发的统一社会信用代码为 </w:t>
      </w:r>
      <w:r>
        <w:rPr>
          <w:color w:val="000000"/>
          <w:spacing w:val="0"/>
          <w:w w:val="100"/>
          <w:position w:val="0"/>
        </w:rPr>
        <w:t>91350000705101637F</w:t>
      </w:r>
      <w:r>
        <w:rPr>
          <w:color w:val="000000"/>
          <w:spacing w:val="0"/>
          <w:w w:val="100"/>
          <w:position w:val="0"/>
        </w:rPr>
        <w:t>的《企业法人营业执照》。公司由有限公司变更为股份有限公司时总股本为</w:t>
      </w:r>
      <w:r>
        <w:rPr>
          <w:color w:val="000000"/>
          <w:spacing w:val="0"/>
          <w:w w:val="100"/>
          <w:position w:val="0"/>
        </w:rPr>
        <w:t>6,000</w:t>
      </w:r>
      <w:r>
        <w:rPr>
          <w:color w:val="000000"/>
          <w:spacing w:val="0"/>
          <w:w w:val="100"/>
          <w:position w:val="0"/>
        </w:rPr>
        <w:t>万 股，每股面值为人民币</w:t>
      </w:r>
      <w:r>
        <w:rPr>
          <w:color w:val="000000"/>
          <w:spacing w:val="0"/>
          <w:w w:val="100"/>
          <w:position w:val="0"/>
        </w:rPr>
        <w:t>1</w:t>
      </w:r>
      <w:r>
        <w:rPr>
          <w:color w:val="000000"/>
          <w:spacing w:val="0"/>
          <w:w w:val="100"/>
          <w:position w:val="0"/>
        </w:rPr>
        <w:t>元，注册资本为人民币</w:t>
      </w:r>
      <w:r>
        <w:rPr>
          <w:color w:val="000000"/>
          <w:spacing w:val="0"/>
          <w:w w:val="100"/>
          <w:position w:val="0"/>
        </w:rPr>
        <w:t>6, 000</w:t>
      </w:r>
      <w:r>
        <w:rPr>
          <w:color w:val="000000"/>
          <w:spacing w:val="0"/>
          <w:w w:val="100"/>
          <w:position w:val="0"/>
        </w:rPr>
        <w:t>万元。</w:t>
      </w:r>
    </w:p>
    <w:p>
      <w:pPr>
        <w:pStyle w:val="Style1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根据公司</w:t>
      </w:r>
      <w:r>
        <w:rPr>
          <w:color w:val="000000"/>
          <w:spacing w:val="0"/>
          <w:w w:val="100"/>
          <w:position w:val="0"/>
        </w:rPr>
        <w:t>2007</w:t>
      </w:r>
      <w:r>
        <w:rPr>
          <w:color w:val="000000"/>
          <w:spacing w:val="0"/>
          <w:w w:val="100"/>
          <w:position w:val="0"/>
        </w:rPr>
        <w:t>年第二次临时股东大会决议，并经中国证券监督管理委员会以证监许可字</w:t>
      </w:r>
      <w:r>
        <w:rPr>
          <w:color w:val="000000"/>
          <w:spacing w:val="0"/>
          <w:w w:val="100"/>
          <w:position w:val="0"/>
        </w:rPr>
        <w:t>[2008]522</w:t>
      </w:r>
      <w:r>
        <w:rPr>
          <w:color w:val="000000"/>
          <w:spacing w:val="0"/>
          <w:w w:val="100"/>
          <w:position w:val="0"/>
        </w:rPr>
        <w:t>号 《关于核准福建鸿博印刷股份有限公司首次公开发行股票的批复》文核准</w:t>
      </w:r>
      <w:r>
        <w:rPr>
          <w:color w:val="000000"/>
          <w:spacing w:val="0"/>
          <w:w w:val="100"/>
          <w:position w:val="0"/>
        </w:rPr>
        <w:t>，2008</w:t>
      </w:r>
      <w:r>
        <w:rPr>
          <w:color w:val="000000"/>
          <w:spacing w:val="0"/>
          <w:w w:val="100"/>
          <w:position w:val="0"/>
        </w:rPr>
        <w:t>年公司（股票代码</w:t>
      </w:r>
      <w:r>
        <w:rPr>
          <w:color w:val="000000"/>
          <w:spacing w:val="0"/>
          <w:w w:val="100"/>
          <w:position w:val="0"/>
        </w:rPr>
        <w:t xml:space="preserve">：002229） </w:t>
      </w:r>
      <w:r>
        <w:rPr>
          <w:color w:val="000000"/>
          <w:spacing w:val="0"/>
          <w:w w:val="100"/>
          <w:position w:val="0"/>
        </w:rPr>
        <w:t>采用网下向询价对象配售与网上资金申购定价发行相结合的方式公开发行人民币普通股股票</w:t>
      </w:r>
      <w:r>
        <w:rPr>
          <w:color w:val="000000"/>
          <w:spacing w:val="0"/>
          <w:w w:val="100"/>
          <w:position w:val="0"/>
        </w:rPr>
        <w:t>（A</w:t>
      </w:r>
      <w:r>
        <w:rPr>
          <w:color w:val="000000"/>
          <w:spacing w:val="0"/>
          <w:w w:val="100"/>
          <w:position w:val="0"/>
        </w:rPr>
        <w:t>股）</w:t>
      </w:r>
      <w:r>
        <w:rPr>
          <w:color w:val="000000"/>
          <w:spacing w:val="0"/>
          <w:w w:val="100"/>
          <w:position w:val="0"/>
        </w:rPr>
        <w:t xml:space="preserve">2, 000 </w:t>
      </w:r>
      <w:r>
        <w:rPr>
          <w:color w:val="000000"/>
          <w:spacing w:val="0"/>
          <w:w w:val="100"/>
          <w:position w:val="0"/>
        </w:rPr>
        <w:t>万股，其中，网下配售</w:t>
      </w:r>
      <w:r>
        <w:rPr>
          <w:color w:val="000000"/>
          <w:spacing w:val="0"/>
          <w:w w:val="100"/>
          <w:position w:val="0"/>
        </w:rPr>
        <w:t>400</w:t>
      </w:r>
      <w:r>
        <w:rPr>
          <w:color w:val="000000"/>
          <w:spacing w:val="0"/>
          <w:w w:val="100"/>
          <w:position w:val="0"/>
        </w:rPr>
        <w:t>万股，网上定价发行</w:t>
      </w:r>
      <w:r>
        <w:rPr>
          <w:color w:val="000000"/>
          <w:spacing w:val="0"/>
          <w:w w:val="100"/>
          <w:position w:val="0"/>
        </w:rPr>
        <w:t>1,600</w:t>
      </w:r>
      <w:r>
        <w:rPr>
          <w:color w:val="000000"/>
          <w:spacing w:val="0"/>
          <w:w w:val="100"/>
          <w:position w:val="0"/>
        </w:rPr>
        <w:t>万股，发行价格为</w:t>
      </w:r>
      <w:r>
        <w:rPr>
          <w:color w:val="000000"/>
          <w:spacing w:val="0"/>
          <w:w w:val="100"/>
          <w:position w:val="0"/>
        </w:rPr>
        <w:t xml:space="preserve">13. </w:t>
      </w:r>
      <w:r>
        <w:rPr>
          <w:color w:val="000000"/>
          <w:spacing w:val="0"/>
          <w:w w:val="100"/>
          <w:position w:val="0"/>
        </w:rPr>
        <w:t>88</w:t>
      </w:r>
      <w:r>
        <w:rPr>
          <w:color w:val="000000"/>
          <w:spacing w:val="0"/>
          <w:w w:val="100"/>
          <w:position w:val="0"/>
        </w:rPr>
        <w:t>元</w:t>
      </w:r>
      <w:r>
        <w:rPr>
          <w:color w:val="000000"/>
          <w:spacing w:val="0"/>
          <w:w w:val="100"/>
          <w:position w:val="0"/>
        </w:rPr>
        <w:t>/</w:t>
      </w:r>
      <w:r>
        <w:rPr>
          <w:color w:val="000000"/>
          <w:spacing w:val="0"/>
          <w:w w:val="100"/>
          <w:position w:val="0"/>
        </w:rPr>
        <w:t>股。本次发行后公司 总股本变更为</w:t>
      </w:r>
      <w:r>
        <w:rPr>
          <w:color w:val="000000"/>
          <w:spacing w:val="0"/>
          <w:w w:val="100"/>
          <w:position w:val="0"/>
        </w:rPr>
        <w:t>8,000</w:t>
      </w:r>
      <w:r>
        <w:rPr>
          <w:color w:val="000000"/>
          <w:spacing w:val="0"/>
          <w:w w:val="100"/>
          <w:position w:val="0"/>
        </w:rPr>
        <w:t>万股，每股面值</w:t>
      </w:r>
      <w:r>
        <w:rPr>
          <w:color w:val="000000"/>
          <w:spacing w:val="0"/>
          <w:w w:val="100"/>
          <w:position w:val="0"/>
        </w:rPr>
        <w:t>1</w:t>
      </w:r>
      <w:r>
        <w:rPr>
          <w:color w:val="000000"/>
          <w:spacing w:val="0"/>
          <w:w w:val="100"/>
          <w:position w:val="0"/>
        </w:rPr>
        <w:t>元，公司注册资本变更为人民币</w:t>
      </w:r>
      <w:r>
        <w:rPr>
          <w:color w:val="000000"/>
          <w:spacing w:val="0"/>
          <w:w w:val="100"/>
          <w:position w:val="0"/>
        </w:rPr>
        <w:t>8,000</w:t>
      </w:r>
      <w:r>
        <w:rPr>
          <w:color w:val="000000"/>
          <w:spacing w:val="0"/>
          <w:w w:val="100"/>
          <w:position w:val="0"/>
        </w:rPr>
        <w:t>万元。</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根据</w:t>
      </w:r>
      <w:r>
        <w:rPr>
          <w:color w:val="000000"/>
          <w:spacing w:val="0"/>
          <w:w w:val="100"/>
          <w:position w:val="0"/>
        </w:rPr>
        <w:t>2009</w:t>
      </w:r>
      <w:r>
        <w:rPr>
          <w:color w:val="000000"/>
          <w:spacing w:val="0"/>
          <w:w w:val="100"/>
          <w:position w:val="0"/>
        </w:rPr>
        <w:t>年第一次临时股东大会决议，公司以总股本</w:t>
      </w:r>
      <w:r>
        <w:rPr>
          <w:color w:val="000000"/>
          <w:spacing w:val="0"/>
          <w:w w:val="100"/>
          <w:position w:val="0"/>
        </w:rPr>
        <w:t>8,000</w:t>
      </w:r>
      <w:r>
        <w:rPr>
          <w:color w:val="000000"/>
          <w:spacing w:val="0"/>
          <w:w w:val="100"/>
          <w:position w:val="0"/>
        </w:rPr>
        <w:t xml:space="preserve">万股为基数，以资本公积转增股本，每 </w:t>
      </w:r>
      <w:r>
        <w:rPr>
          <w:color w:val="000000"/>
          <w:spacing w:val="0"/>
          <w:w w:val="100"/>
          <w:position w:val="0"/>
        </w:rPr>
        <w:t>10</w:t>
      </w:r>
      <w:r>
        <w:rPr>
          <w:color w:val="000000"/>
          <w:spacing w:val="0"/>
          <w:w w:val="100"/>
          <w:position w:val="0"/>
        </w:rPr>
        <w:t>股转增</w:t>
      </w:r>
      <w:r>
        <w:rPr>
          <w:color w:val="000000"/>
          <w:spacing w:val="0"/>
          <w:w w:val="100"/>
          <w:position w:val="0"/>
        </w:rPr>
        <w:t>7</w:t>
      </w:r>
      <w:r>
        <w:rPr>
          <w:color w:val="000000"/>
          <w:spacing w:val="0"/>
          <w:w w:val="100"/>
          <w:position w:val="0"/>
        </w:rPr>
        <w:t>股，每股面值为人民币</w:t>
      </w:r>
      <w:r>
        <w:rPr>
          <w:color w:val="000000"/>
          <w:spacing w:val="0"/>
          <w:w w:val="100"/>
          <w:position w:val="0"/>
        </w:rPr>
        <w:t>1</w:t>
      </w:r>
      <w:r>
        <w:rPr>
          <w:color w:val="000000"/>
          <w:spacing w:val="0"/>
          <w:w w:val="100"/>
          <w:position w:val="0"/>
        </w:rPr>
        <w:t>元，增加注册资本人民币</w:t>
      </w:r>
      <w:r>
        <w:rPr>
          <w:color w:val="000000"/>
          <w:spacing w:val="0"/>
          <w:w w:val="100"/>
          <w:position w:val="0"/>
        </w:rPr>
        <w:t>5,600</w:t>
      </w:r>
      <w:r>
        <w:rPr>
          <w:color w:val="000000"/>
          <w:spacing w:val="0"/>
          <w:w w:val="100"/>
          <w:position w:val="0"/>
        </w:rPr>
        <w:t>万元，变更后公司注册资本（股本） 为人民币</w:t>
      </w:r>
      <w:r>
        <w:rPr>
          <w:color w:val="000000"/>
          <w:spacing w:val="0"/>
          <w:w w:val="100"/>
          <w:position w:val="0"/>
        </w:rPr>
        <w:t>13,600</w:t>
      </w:r>
      <w:r>
        <w:rPr>
          <w:color w:val="000000"/>
          <w:spacing w:val="0"/>
          <w:w w:val="100"/>
          <w:position w:val="0"/>
        </w:rPr>
        <w:t>万元。</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根据</w:t>
      </w:r>
      <w:r>
        <w:rPr>
          <w:color w:val="000000"/>
          <w:spacing w:val="0"/>
          <w:w w:val="100"/>
          <w:position w:val="0"/>
        </w:rPr>
        <w:t>2010</w:t>
      </w:r>
      <w:r>
        <w:rPr>
          <w:color w:val="000000"/>
          <w:spacing w:val="0"/>
          <w:w w:val="100"/>
          <w:position w:val="0"/>
        </w:rPr>
        <w:t>年第二次临时股东大会决议，并经中国证券监督管理委员会以证监许可</w:t>
      </w:r>
      <w:r>
        <w:rPr>
          <w:color w:val="000000"/>
          <w:spacing w:val="0"/>
          <w:w w:val="100"/>
          <w:position w:val="0"/>
        </w:rPr>
        <w:t>[2011]671</w:t>
      </w:r>
      <w:r>
        <w:rPr>
          <w:color w:val="000000"/>
          <w:spacing w:val="0"/>
          <w:w w:val="100"/>
          <w:position w:val="0"/>
        </w:rPr>
        <w:t xml:space="preserve">号文批复， </w:t>
      </w:r>
      <w:r>
        <w:rPr>
          <w:color w:val="000000"/>
          <w:spacing w:val="0"/>
          <w:w w:val="100"/>
          <w:position w:val="0"/>
        </w:rPr>
        <w:t>2011</w:t>
      </w:r>
      <w:r>
        <w:rPr>
          <w:color w:val="000000"/>
          <w:spacing w:val="0"/>
          <w:w w:val="100"/>
          <w:position w:val="0"/>
        </w:rPr>
        <w:t>年公司采用网下配售方式向询价对象非公开发行人民币普通股</w:t>
      </w:r>
      <w:r>
        <w:rPr>
          <w:color w:val="000000"/>
          <w:spacing w:val="0"/>
          <w:w w:val="100"/>
          <w:position w:val="0"/>
        </w:rPr>
        <w:t>（A</w:t>
      </w:r>
      <w:r>
        <w:rPr>
          <w:color w:val="000000"/>
          <w:spacing w:val="0"/>
          <w:w w:val="100"/>
          <w:position w:val="0"/>
        </w:rPr>
        <w:t>股</w:t>
      </w:r>
      <w:r>
        <w:rPr>
          <w:color w:val="000000"/>
          <w:spacing w:val="0"/>
          <w:w w:val="100"/>
          <w:position w:val="0"/>
        </w:rPr>
        <w:t>）2,094</w:t>
      </w:r>
      <w:r>
        <w:rPr>
          <w:color w:val="000000"/>
          <w:spacing w:val="0"/>
          <w:w w:val="100"/>
          <w:position w:val="0"/>
        </w:rPr>
        <w:t>万股，每股面值</w:t>
      </w:r>
      <w:r>
        <w:rPr>
          <w:color w:val="000000"/>
          <w:spacing w:val="0"/>
          <w:w w:val="100"/>
          <w:position w:val="0"/>
        </w:rPr>
        <w:t>1</w:t>
      </w:r>
      <w:r>
        <w:rPr>
          <w:color w:val="000000"/>
          <w:spacing w:val="0"/>
          <w:w w:val="100"/>
          <w:position w:val="0"/>
        </w:rPr>
        <w:t>元， 发行后公司注册资本变更为人民币</w:t>
      </w:r>
      <w:r>
        <w:rPr>
          <w:color w:val="000000"/>
          <w:spacing w:val="0"/>
          <w:w w:val="100"/>
          <w:position w:val="0"/>
        </w:rPr>
        <w:t>15,694</w:t>
      </w:r>
      <w:r>
        <w:rPr>
          <w:color w:val="000000"/>
          <w:spacing w:val="0"/>
          <w:w w:val="100"/>
          <w:position w:val="0"/>
        </w:rPr>
        <w:t>万元。</w:t>
      </w:r>
    </w:p>
    <w:p>
      <w:pPr>
        <w:pStyle w:val="Style1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根据</w:t>
      </w:r>
      <w:r>
        <w:rPr>
          <w:color w:val="000000"/>
          <w:spacing w:val="0"/>
          <w:w w:val="100"/>
          <w:position w:val="0"/>
        </w:rPr>
        <w:t>2011</w:t>
      </w:r>
      <w:r>
        <w:rPr>
          <w:color w:val="000000"/>
          <w:spacing w:val="0"/>
          <w:w w:val="100"/>
          <w:position w:val="0"/>
        </w:rPr>
        <w:t>年度股东大会决议，公司以总股本</w:t>
      </w:r>
      <w:r>
        <w:rPr>
          <w:color w:val="000000"/>
          <w:spacing w:val="0"/>
          <w:w w:val="100"/>
          <w:position w:val="0"/>
        </w:rPr>
        <w:t>15,694</w:t>
      </w:r>
      <w:r>
        <w:rPr>
          <w:color w:val="000000"/>
          <w:spacing w:val="0"/>
          <w:w w:val="100"/>
          <w:position w:val="0"/>
        </w:rPr>
        <w:t>万股为基数，以资本公积转增股本，每</w:t>
      </w:r>
      <w:r>
        <w:rPr>
          <w:color w:val="000000"/>
          <w:spacing w:val="0"/>
          <w:w w:val="100"/>
          <w:position w:val="0"/>
        </w:rPr>
        <w:t>10</w:t>
      </w:r>
      <w:r>
        <w:rPr>
          <w:color w:val="000000"/>
          <w:spacing w:val="0"/>
          <w:w w:val="100"/>
          <w:position w:val="0"/>
        </w:rPr>
        <w:t>股转 增</w:t>
      </w:r>
      <w:r>
        <w:rPr>
          <w:color w:val="000000"/>
          <w:spacing w:val="0"/>
          <w:w w:val="100"/>
          <w:position w:val="0"/>
        </w:rPr>
        <w:t>9</w:t>
      </w:r>
      <w:r>
        <w:rPr>
          <w:color w:val="000000"/>
          <w:spacing w:val="0"/>
          <w:w w:val="100"/>
          <w:position w:val="0"/>
        </w:rPr>
        <w:t>股，每股面值为人民币</w:t>
      </w:r>
      <w:r>
        <w:rPr>
          <w:color w:val="000000"/>
          <w:spacing w:val="0"/>
          <w:w w:val="100"/>
          <w:position w:val="0"/>
        </w:rPr>
        <w:t>1</w:t>
      </w:r>
      <w:r>
        <w:rPr>
          <w:color w:val="000000"/>
          <w:spacing w:val="0"/>
          <w:w w:val="100"/>
          <w:position w:val="0"/>
        </w:rPr>
        <w:t>元，增加注册资本人民币</w:t>
      </w:r>
      <w:r>
        <w:rPr>
          <w:color w:val="000000"/>
          <w:spacing w:val="0"/>
          <w:w w:val="100"/>
          <w:position w:val="0"/>
        </w:rPr>
        <w:t>14,124.60</w:t>
      </w:r>
      <w:r>
        <w:rPr>
          <w:color w:val="000000"/>
          <w:spacing w:val="0"/>
          <w:w w:val="100"/>
          <w:position w:val="0"/>
        </w:rPr>
        <w:t>万元，变更后注册资本增至人民币</w:t>
      </w:r>
    </w:p>
    <w:p>
      <w:pPr>
        <w:pStyle w:val="Style10"/>
        <w:keepNext w:val="0"/>
        <w:keepLines w:val="0"/>
        <w:widowControl w:val="0"/>
        <w:shd w:val="clear" w:color="auto" w:fill="auto"/>
        <w:bidi w:val="0"/>
        <w:spacing w:before="0" w:line="468" w:lineRule="exact"/>
        <w:ind w:left="0" w:right="0" w:firstLine="0"/>
        <w:jc w:val="left"/>
      </w:pPr>
      <w:r>
        <w:rPr>
          <w:color w:val="000000"/>
          <w:spacing w:val="0"/>
          <w:w w:val="100"/>
          <w:position w:val="0"/>
        </w:rPr>
        <w:t xml:space="preserve">29,818.60 </w:t>
      </w:r>
      <w:r>
        <w:rPr>
          <w:color w:val="000000"/>
          <w:spacing w:val="0"/>
          <w:w w:val="100"/>
          <w:position w:val="0"/>
        </w:rPr>
        <w:t>万元。</w:t>
      </w:r>
    </w:p>
    <w:p>
      <w:pPr>
        <w:pStyle w:val="Style10"/>
        <w:keepNext w:val="0"/>
        <w:keepLines w:val="0"/>
        <w:widowControl w:val="0"/>
        <w:shd w:val="clear" w:color="auto" w:fill="auto"/>
        <w:bidi w:val="0"/>
        <w:spacing w:before="0" w:line="470" w:lineRule="exact"/>
        <w:ind w:left="0" w:right="0" w:firstLine="440"/>
        <w:jc w:val="left"/>
      </w:pPr>
      <w:r>
        <w:rPr>
          <w:color w:val="000000"/>
          <w:spacing w:val="0"/>
          <w:w w:val="100"/>
          <w:position w:val="0"/>
        </w:rPr>
        <w:t>根据公司</w:t>
      </w:r>
      <w:r>
        <w:rPr>
          <w:color w:val="000000"/>
          <w:spacing w:val="0"/>
          <w:w w:val="100"/>
          <w:position w:val="0"/>
        </w:rPr>
        <w:t>2015</w:t>
      </w:r>
      <w:r>
        <w:rPr>
          <w:color w:val="000000"/>
          <w:spacing w:val="0"/>
          <w:w w:val="100"/>
          <w:position w:val="0"/>
        </w:rPr>
        <w:t>年第五次临时股东大会决议通过，并经中国证券监督管理委员会证监许可</w:t>
      </w:r>
      <w:r>
        <w:rPr>
          <w:color w:val="000000"/>
          <w:spacing w:val="0"/>
          <w:w w:val="100"/>
          <w:position w:val="0"/>
        </w:rPr>
        <w:t xml:space="preserve">[2016]1057 </w:t>
      </w:r>
      <w:r>
        <w:rPr>
          <w:color w:val="000000"/>
          <w:spacing w:val="0"/>
          <w:w w:val="100"/>
          <w:position w:val="0"/>
        </w:rPr>
        <w:t>号文件批复，</w:t>
      </w:r>
      <w:r>
        <w:rPr>
          <w:color w:val="000000"/>
          <w:spacing w:val="0"/>
          <w:w w:val="100"/>
          <w:position w:val="0"/>
        </w:rPr>
        <w:t>2016</w:t>
      </w:r>
      <w:r>
        <w:rPr>
          <w:color w:val="000000"/>
          <w:spacing w:val="0"/>
          <w:w w:val="100"/>
          <w:position w:val="0"/>
        </w:rPr>
        <w:t>年公司采用网下配售方式向询价对象非公开发行人民币普通股</w:t>
      </w:r>
      <w:r>
        <w:rPr>
          <w:color w:val="000000"/>
          <w:spacing w:val="0"/>
          <w:w w:val="100"/>
          <w:position w:val="0"/>
        </w:rPr>
        <w:t>（A</w:t>
      </w:r>
      <w:r>
        <w:rPr>
          <w:color w:val="000000"/>
          <w:spacing w:val="0"/>
          <w:w w:val="100"/>
          <w:position w:val="0"/>
        </w:rPr>
        <w:t>股）</w:t>
      </w:r>
      <w:r>
        <w:rPr>
          <w:color w:val="000000"/>
          <w:spacing w:val="0"/>
          <w:w w:val="100"/>
          <w:position w:val="0"/>
        </w:rPr>
        <w:t>3,498.2142</w:t>
      </w:r>
      <w:r>
        <w:rPr>
          <w:color w:val="000000"/>
          <w:spacing w:val="0"/>
          <w:w w:val="100"/>
          <w:position w:val="0"/>
        </w:rPr>
        <w:t>万股， 每股面值</w:t>
      </w:r>
      <w:r>
        <w:rPr>
          <w:color w:val="000000"/>
          <w:spacing w:val="0"/>
          <w:w w:val="100"/>
          <w:position w:val="0"/>
        </w:rPr>
        <w:t>1</w:t>
      </w:r>
      <w:r>
        <w:rPr>
          <w:color w:val="000000"/>
          <w:spacing w:val="0"/>
          <w:w w:val="100"/>
          <w:position w:val="0"/>
        </w:rPr>
        <w:t>元，发行后贵公司注册资本变更为人民币</w:t>
      </w:r>
      <w:r>
        <w:rPr>
          <w:color w:val="000000"/>
          <w:spacing w:val="0"/>
          <w:w w:val="100"/>
          <w:position w:val="0"/>
        </w:rPr>
        <w:t xml:space="preserve">33, </w:t>
      </w:r>
      <w:r>
        <w:rPr>
          <w:color w:val="000000"/>
          <w:spacing w:val="0"/>
          <w:w w:val="100"/>
          <w:position w:val="0"/>
        </w:rPr>
        <w:t xml:space="preserve">316. </w:t>
      </w:r>
      <w:r>
        <w:rPr>
          <w:color w:val="000000"/>
          <w:spacing w:val="0"/>
          <w:w w:val="100"/>
          <w:position w:val="0"/>
        </w:rPr>
        <w:t>8142</w:t>
      </w:r>
      <w:r>
        <w:rPr>
          <w:color w:val="000000"/>
          <w:spacing w:val="0"/>
          <w:w w:val="100"/>
          <w:position w:val="0"/>
        </w:rPr>
        <w:t>万元。</w:t>
      </w:r>
    </w:p>
    <w:p>
      <w:pPr>
        <w:pStyle w:val="Style10"/>
        <w:keepNext w:val="0"/>
        <w:keepLines w:val="0"/>
        <w:widowControl w:val="0"/>
        <w:shd w:val="clear" w:color="auto" w:fill="auto"/>
        <w:bidi w:val="0"/>
        <w:spacing w:before="0" w:line="468" w:lineRule="exact"/>
        <w:ind w:left="0" w:right="0" w:firstLine="440"/>
        <w:jc w:val="left"/>
      </w:pPr>
      <w:r>
        <w:rPr>
          <w:color w:val="000000"/>
          <w:spacing w:val="0"/>
          <w:w w:val="100"/>
          <w:position w:val="0"/>
        </w:rPr>
        <w:t>根据公司</w:t>
      </w:r>
      <w:r>
        <w:rPr>
          <w:color w:val="000000"/>
          <w:spacing w:val="0"/>
          <w:w w:val="100"/>
          <w:position w:val="0"/>
        </w:rPr>
        <w:t>2016</w:t>
      </w:r>
      <w:r>
        <w:rPr>
          <w:color w:val="000000"/>
          <w:spacing w:val="0"/>
          <w:w w:val="100"/>
          <w:position w:val="0"/>
        </w:rPr>
        <w:t>年第五次临时股东大会决议以及第四届董事会</w:t>
      </w:r>
      <w:r>
        <w:rPr>
          <w:color w:val="000000"/>
          <w:spacing w:val="0"/>
          <w:w w:val="100"/>
          <w:position w:val="0"/>
        </w:rPr>
        <w:t>2017</w:t>
      </w:r>
      <w:r>
        <w:rPr>
          <w:color w:val="000000"/>
          <w:spacing w:val="0"/>
          <w:w w:val="100"/>
          <w:position w:val="0"/>
        </w:rPr>
        <w:t>年第一次临时会议决议，</w:t>
      </w:r>
      <w:r>
        <w:rPr>
          <w:color w:val="000000"/>
          <w:spacing w:val="0"/>
          <w:w w:val="100"/>
          <w:position w:val="0"/>
        </w:rPr>
        <w:t>2017</w:t>
      </w:r>
      <w:r>
        <w:rPr>
          <w:color w:val="000000"/>
          <w:spacing w:val="0"/>
          <w:w w:val="100"/>
          <w:position w:val="0"/>
        </w:rPr>
        <w:t>年</w:t>
      </w:r>
      <w:r>
        <w:rPr>
          <w:color w:val="000000"/>
          <w:spacing w:val="0"/>
          <w:w w:val="100"/>
          <w:position w:val="0"/>
        </w:rPr>
        <w:t xml:space="preserve">2 </w:t>
      </w:r>
      <w:r>
        <w:rPr>
          <w:color w:val="000000"/>
          <w:spacing w:val="0"/>
          <w:w w:val="100"/>
          <w:position w:val="0"/>
        </w:rPr>
        <w:t>月</w:t>
      </w:r>
      <w:r>
        <w:rPr>
          <w:color w:val="000000"/>
          <w:spacing w:val="0"/>
          <w:w w:val="100"/>
          <w:position w:val="0"/>
        </w:rPr>
        <w:t>20</w:t>
      </w:r>
      <w:r>
        <w:rPr>
          <w:color w:val="000000"/>
          <w:spacing w:val="0"/>
          <w:w w:val="100"/>
          <w:position w:val="0"/>
        </w:rPr>
        <w:t>日，公司对公司（含子公司）任职董事、高级管理人员、核心技术及业务人员实行股权激励，发行 限制性股票</w:t>
      </w:r>
      <w:r>
        <w:rPr>
          <w:color w:val="000000"/>
          <w:spacing w:val="0"/>
          <w:w w:val="100"/>
          <w:position w:val="0"/>
        </w:rPr>
        <w:t>200</w:t>
      </w:r>
      <w:r>
        <w:rPr>
          <w:color w:val="000000"/>
          <w:spacing w:val="0"/>
          <w:w w:val="100"/>
          <w:position w:val="0"/>
        </w:rPr>
        <w:t>万股，每股面值</w:t>
      </w:r>
      <w:r>
        <w:rPr>
          <w:color w:val="000000"/>
          <w:spacing w:val="0"/>
          <w:w w:val="100"/>
          <w:position w:val="0"/>
        </w:rPr>
        <w:t>1</w:t>
      </w:r>
      <w:r>
        <w:rPr>
          <w:color w:val="000000"/>
          <w:spacing w:val="0"/>
          <w:w w:val="100"/>
          <w:position w:val="0"/>
        </w:rPr>
        <w:t>元，实施股权激励后，公司注册资本变更为人民币</w:t>
      </w:r>
      <w:r>
        <w:rPr>
          <w:color w:val="000000"/>
          <w:spacing w:val="0"/>
          <w:w w:val="100"/>
          <w:position w:val="0"/>
        </w:rPr>
        <w:t>33,516.8142</w:t>
      </w:r>
      <w:r>
        <w:rPr>
          <w:color w:val="000000"/>
          <w:spacing w:val="0"/>
          <w:w w:val="100"/>
          <w:position w:val="0"/>
        </w:rPr>
        <w:t>万元。</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根据</w:t>
      </w:r>
      <w:r>
        <w:rPr>
          <w:color w:val="000000"/>
          <w:spacing w:val="0"/>
          <w:w w:val="100"/>
          <w:position w:val="0"/>
        </w:rPr>
        <w:t>2016</w:t>
      </w:r>
      <w:r>
        <w:rPr>
          <w:color w:val="000000"/>
          <w:spacing w:val="0"/>
          <w:w w:val="100"/>
          <w:position w:val="0"/>
        </w:rPr>
        <w:t>年度股东大会决议，以公司总股本</w:t>
      </w:r>
      <w:r>
        <w:rPr>
          <w:color w:val="000000"/>
          <w:spacing w:val="0"/>
          <w:w w:val="100"/>
          <w:position w:val="0"/>
        </w:rPr>
        <w:t>33,516.8142</w:t>
      </w:r>
      <w:r>
        <w:rPr>
          <w:color w:val="000000"/>
          <w:spacing w:val="0"/>
          <w:w w:val="100"/>
          <w:position w:val="0"/>
        </w:rPr>
        <w:t xml:space="preserve">万股为基数，以资本公积金转增股本，每 </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股，共计增加</w:t>
      </w:r>
      <w:r>
        <w:rPr>
          <w:color w:val="000000"/>
          <w:spacing w:val="0"/>
          <w:w w:val="100"/>
          <w:position w:val="0"/>
        </w:rPr>
        <w:t>16,758.4071</w:t>
      </w:r>
      <w:r>
        <w:rPr>
          <w:color w:val="000000"/>
          <w:spacing w:val="0"/>
          <w:w w:val="100"/>
          <w:position w:val="0"/>
        </w:rPr>
        <w:t>万股，实施资本公积金转增股本后，公司注册资本变更为人民币</w:t>
      </w:r>
    </w:p>
    <w:p>
      <w:pPr>
        <w:pStyle w:val="Style10"/>
        <w:keepNext w:val="0"/>
        <w:keepLines w:val="0"/>
        <w:widowControl w:val="0"/>
        <w:numPr>
          <w:ilvl w:val="0"/>
          <w:numId w:val="37"/>
        </w:numPr>
        <w:shd w:val="clear" w:color="auto" w:fill="auto"/>
        <w:tabs>
          <w:tab w:pos="1324" w:val="left"/>
        </w:tabs>
        <w:bidi w:val="0"/>
        <w:spacing w:before="0" w:line="470" w:lineRule="exact"/>
        <w:ind w:left="0" w:right="0" w:firstLine="0"/>
        <w:jc w:val="left"/>
      </w:pPr>
      <w:bookmarkStart w:id="710" w:name="bookmark710"/>
      <w:bookmarkEnd w:id="710"/>
      <w:r>
        <w:rPr>
          <w:color w:val="000000"/>
          <w:spacing w:val="0"/>
          <w:w w:val="100"/>
          <w:position w:val="0"/>
        </w:rPr>
        <w:t>万元。</w:t>
      </w:r>
    </w:p>
    <w:p>
      <w:pPr>
        <w:pStyle w:val="Style10"/>
        <w:keepNext w:val="0"/>
        <w:keepLines w:val="0"/>
        <w:widowControl w:val="0"/>
        <w:shd w:val="clear" w:color="auto" w:fill="auto"/>
        <w:bidi w:val="0"/>
        <w:spacing w:before="0" w:line="466" w:lineRule="exact"/>
        <w:ind w:left="0" w:right="0" w:firstLine="440"/>
        <w:jc w:val="left"/>
      </w:pP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25</w:t>
      </w:r>
      <w:r>
        <w:rPr>
          <w:color w:val="000000"/>
          <w:spacing w:val="0"/>
          <w:w w:val="100"/>
          <w:position w:val="0"/>
        </w:rPr>
        <w:t>日股权激励对象离职，公司回购其限制性股票</w:t>
      </w:r>
      <w:r>
        <w:rPr>
          <w:color w:val="000000"/>
          <w:spacing w:val="0"/>
          <w:w w:val="100"/>
          <w:position w:val="0"/>
        </w:rPr>
        <w:t xml:space="preserve">10. </w:t>
      </w:r>
      <w:r>
        <w:rPr>
          <w:color w:val="000000"/>
          <w:spacing w:val="0"/>
          <w:w w:val="100"/>
          <w:position w:val="0"/>
        </w:rPr>
        <w:t>50</w:t>
      </w:r>
      <w:r>
        <w:rPr>
          <w:color w:val="000000"/>
          <w:spacing w:val="0"/>
          <w:w w:val="100"/>
          <w:position w:val="0"/>
        </w:rPr>
        <w:t>万股，回购后公司注册资本变更 为人民币</w:t>
      </w:r>
      <w:r>
        <w:rPr>
          <w:color w:val="000000"/>
          <w:spacing w:val="0"/>
          <w:w w:val="100"/>
          <w:position w:val="0"/>
        </w:rPr>
        <w:t>50,264.7213</w:t>
      </w:r>
      <w:r>
        <w:rPr>
          <w:color w:val="000000"/>
          <w:spacing w:val="0"/>
          <w:w w:val="100"/>
          <w:position w:val="0"/>
        </w:rPr>
        <w:t>万元。</w:t>
      </w:r>
    </w:p>
    <w:p>
      <w:pPr>
        <w:pStyle w:val="Style10"/>
        <w:keepNext w:val="0"/>
        <w:keepLines w:val="0"/>
        <w:widowControl w:val="0"/>
        <w:shd w:val="clear" w:color="auto" w:fill="auto"/>
        <w:bidi w:val="0"/>
        <w:spacing w:before="0" w:line="466" w:lineRule="exact"/>
        <w:ind w:left="0" w:right="0" w:firstLine="440"/>
        <w:jc w:val="left"/>
      </w:pPr>
      <w:r>
        <w:rPr>
          <w:color w:val="000000"/>
          <w:spacing w:val="0"/>
          <w:w w:val="100"/>
          <w:position w:val="0"/>
        </w:rPr>
        <w:t>根据公司</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日第四届董事会第五次会议决议，</w:t>
      </w:r>
      <w:r>
        <w:rPr>
          <w:color w:val="000000"/>
          <w:spacing w:val="0"/>
          <w:w w:val="100"/>
          <w:position w:val="0"/>
        </w:rPr>
        <w:t>2018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日第四届董事会第七次会 议决议以及修改后的章程规定，公司回购注销限制性股票</w:t>
      </w:r>
      <w:r>
        <w:rPr>
          <w:color w:val="000000"/>
          <w:spacing w:val="0"/>
          <w:w w:val="100"/>
          <w:position w:val="0"/>
        </w:rPr>
        <w:t>131.1</w:t>
      </w:r>
      <w:r>
        <w:rPr>
          <w:color w:val="000000"/>
          <w:spacing w:val="0"/>
          <w:w w:val="100"/>
          <w:position w:val="0"/>
        </w:rPr>
        <w:t xml:space="preserve">万股，减资后，公司注册资本变更为 </w:t>
      </w:r>
      <w:r>
        <w:rPr>
          <w:color w:val="000000"/>
          <w:spacing w:val="0"/>
          <w:w w:val="100"/>
          <w:position w:val="0"/>
        </w:rPr>
        <w:t xml:space="preserve">50,133.6213 </w:t>
      </w:r>
      <w:r>
        <w:rPr>
          <w:color w:val="000000"/>
          <w:spacing w:val="0"/>
          <w:w w:val="100"/>
          <w:position w:val="0"/>
        </w:rPr>
        <w:t>万元。</w:t>
      </w:r>
    </w:p>
    <w:p>
      <w:pPr>
        <w:pStyle w:val="Style10"/>
        <w:keepNext w:val="0"/>
        <w:keepLines w:val="0"/>
        <w:widowControl w:val="0"/>
        <w:shd w:val="clear" w:color="auto" w:fill="auto"/>
        <w:bidi w:val="0"/>
        <w:spacing w:before="0" w:line="470" w:lineRule="exact"/>
        <w:ind w:left="0" w:right="0" w:firstLine="440"/>
        <w:jc w:val="left"/>
      </w:pPr>
      <w:r>
        <w:rPr>
          <w:color w:val="000000"/>
          <w:spacing w:val="0"/>
          <w:w w:val="100"/>
          <w:position w:val="0"/>
        </w:rPr>
        <w:t>根据公司第四届董事会</w:t>
      </w:r>
      <w:r>
        <w:rPr>
          <w:color w:val="000000"/>
          <w:spacing w:val="0"/>
          <w:w w:val="100"/>
          <w:position w:val="0"/>
        </w:rPr>
        <w:t>2018</w:t>
      </w:r>
      <w:r>
        <w:rPr>
          <w:color w:val="000000"/>
          <w:spacing w:val="0"/>
          <w:w w:val="100"/>
          <w:position w:val="0"/>
        </w:rPr>
        <w:t>年第五次临时会议决议，公司终止实施</w:t>
      </w:r>
      <w:r>
        <w:rPr>
          <w:color w:val="000000"/>
          <w:spacing w:val="0"/>
          <w:w w:val="100"/>
          <w:position w:val="0"/>
        </w:rPr>
        <w:t>2016</w:t>
      </w:r>
      <w:r>
        <w:rPr>
          <w:color w:val="000000"/>
          <w:spacing w:val="0"/>
          <w:w w:val="100"/>
          <w:position w:val="0"/>
        </w:rPr>
        <w:t>年限制性股票激励计划并回 购注销已授予但尚未解除限售的限制性股票</w:t>
      </w:r>
      <w:r>
        <w:rPr>
          <w:color w:val="000000"/>
          <w:spacing w:val="0"/>
          <w:w w:val="100"/>
          <w:position w:val="0"/>
        </w:rPr>
        <w:t>158.4</w:t>
      </w:r>
      <w:r>
        <w:rPr>
          <w:color w:val="000000"/>
          <w:spacing w:val="0"/>
          <w:w w:val="100"/>
          <w:position w:val="0"/>
        </w:rPr>
        <w:t>万股，公司注册资本变更为人民币</w:t>
      </w:r>
      <w:r>
        <w:rPr>
          <w:color w:val="000000"/>
          <w:spacing w:val="0"/>
          <w:w w:val="100"/>
          <w:position w:val="0"/>
        </w:rPr>
        <w:t>49,975.2213</w:t>
      </w:r>
      <w:r>
        <w:rPr>
          <w:color w:val="000000"/>
          <w:spacing w:val="0"/>
          <w:w w:val="100"/>
          <w:position w:val="0"/>
        </w:rPr>
        <w:t>万元。</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根据公司第四届董事会</w:t>
      </w:r>
      <w:r>
        <w:rPr>
          <w:color w:val="000000"/>
          <w:spacing w:val="0"/>
          <w:w w:val="100"/>
          <w:position w:val="0"/>
        </w:rPr>
        <w:t>2018</w:t>
      </w:r>
      <w:r>
        <w:rPr>
          <w:color w:val="000000"/>
          <w:spacing w:val="0"/>
          <w:w w:val="100"/>
          <w:position w:val="0"/>
        </w:rPr>
        <w:t>年第四次临时会议及公司</w:t>
      </w:r>
      <w:r>
        <w:rPr>
          <w:color w:val="000000"/>
          <w:spacing w:val="0"/>
          <w:w w:val="100"/>
          <w:position w:val="0"/>
        </w:rPr>
        <w:t>2018</w:t>
      </w:r>
      <w:r>
        <w:rPr>
          <w:color w:val="000000"/>
          <w:spacing w:val="0"/>
          <w:w w:val="100"/>
          <w:position w:val="0"/>
        </w:rPr>
        <w:t>年第一次临时股东大会审议通过的《关于 以集中竞价交易方式回购公司股份的议案》、《关于提请股东大会授权董事会办理本次回购相关事项的议 案》，</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月，公司注销回购的无限售流通股份</w:t>
      </w:r>
      <w:r>
        <w:rPr>
          <w:color w:val="000000"/>
          <w:spacing w:val="0"/>
          <w:w w:val="100"/>
          <w:position w:val="0"/>
        </w:rPr>
        <w:t>1,407,950</w:t>
      </w:r>
      <w:r>
        <w:rPr>
          <w:color w:val="000000"/>
          <w:spacing w:val="0"/>
          <w:w w:val="100"/>
          <w:position w:val="0"/>
        </w:rPr>
        <w:t>股，回购股份注销后，公司注册资本由</w:t>
      </w:r>
    </w:p>
    <w:p>
      <w:pPr>
        <w:pStyle w:val="Style10"/>
        <w:keepNext w:val="0"/>
        <w:keepLines w:val="0"/>
        <w:widowControl w:val="0"/>
        <w:numPr>
          <w:ilvl w:val="0"/>
          <w:numId w:val="39"/>
        </w:numPr>
        <w:shd w:val="clear" w:color="auto" w:fill="auto"/>
        <w:tabs>
          <w:tab w:pos="1329" w:val="left"/>
        </w:tabs>
        <w:bidi w:val="0"/>
        <w:spacing w:before="0" w:line="468" w:lineRule="exact"/>
        <w:ind w:left="0" w:right="0" w:firstLine="0"/>
        <w:jc w:val="left"/>
      </w:pPr>
      <w:bookmarkStart w:id="711" w:name="bookmark711"/>
      <w:bookmarkEnd w:id="711"/>
      <w:r>
        <w:rPr>
          <w:color w:val="000000"/>
          <w:spacing w:val="0"/>
          <w:w w:val="100"/>
          <w:position w:val="0"/>
        </w:rPr>
        <w:t xml:space="preserve">万元变更为 </w:t>
      </w:r>
      <w:r>
        <w:rPr>
          <w:color w:val="000000"/>
          <w:spacing w:val="0"/>
          <w:w w:val="100"/>
          <w:position w:val="0"/>
        </w:rPr>
        <w:t xml:space="preserve">49,834. </w:t>
      </w:r>
      <w:r>
        <w:rPr>
          <w:color w:val="000000"/>
          <w:spacing w:val="0"/>
          <w:w w:val="100"/>
          <w:position w:val="0"/>
        </w:rPr>
        <w:t xml:space="preserve">4263 </w:t>
      </w:r>
      <w:r>
        <w:rPr>
          <w:color w:val="000000"/>
          <w:spacing w:val="0"/>
          <w:w w:val="100"/>
          <w:position w:val="0"/>
        </w:rPr>
        <w:t>万元。</w:t>
      </w:r>
    </w:p>
    <w:p>
      <w:pPr>
        <w:pStyle w:val="Style10"/>
        <w:keepNext w:val="0"/>
        <w:keepLines w:val="0"/>
        <w:widowControl w:val="0"/>
        <w:shd w:val="clear" w:color="auto" w:fill="auto"/>
        <w:bidi w:val="0"/>
        <w:spacing w:before="0" w:line="468" w:lineRule="exact"/>
        <w:ind w:left="0" w:right="0" w:firstLine="440"/>
        <w:jc w:val="left"/>
      </w:pPr>
      <w:r>
        <w:rPr>
          <w:color w:val="000000"/>
          <w:spacing w:val="0"/>
          <w:w w:val="100"/>
          <w:position w:val="0"/>
        </w:rPr>
        <w:t>公司法定代表人为：毛伟。</w:t>
      </w:r>
    </w:p>
    <w:p>
      <w:pPr>
        <w:pStyle w:val="Style10"/>
        <w:keepNext w:val="0"/>
        <w:keepLines w:val="0"/>
        <w:widowControl w:val="0"/>
        <w:shd w:val="clear" w:color="auto" w:fill="auto"/>
        <w:bidi w:val="0"/>
        <w:spacing w:before="0" w:line="456" w:lineRule="exact"/>
        <w:ind w:left="0" w:right="0" w:firstLine="440"/>
        <w:jc w:val="both"/>
      </w:pPr>
      <w:r>
        <w:rPr>
          <w:color w:val="000000"/>
          <w:spacing w:val="0"/>
          <w:w w:val="100"/>
          <w:position w:val="0"/>
        </w:rPr>
        <w:t>公司注册地为：福建省福州市金山开发区金达路</w:t>
      </w:r>
      <w:r>
        <w:rPr>
          <w:color w:val="000000"/>
          <w:spacing w:val="0"/>
          <w:w w:val="100"/>
          <w:position w:val="0"/>
        </w:rPr>
        <w:t>136</w:t>
      </w:r>
      <w:r>
        <w:rPr>
          <w:color w:val="000000"/>
          <w:spacing w:val="0"/>
          <w:w w:val="100"/>
          <w:position w:val="0"/>
        </w:rPr>
        <w:t>号。（经营场所：福建省福州市仓山区盖山镇齐 安路</w:t>
      </w:r>
      <w:r>
        <w:rPr>
          <w:color w:val="000000"/>
          <w:spacing w:val="0"/>
          <w:w w:val="100"/>
          <w:position w:val="0"/>
        </w:rPr>
        <w:t>772</w:t>
      </w:r>
      <w:r>
        <w:rPr>
          <w:color w:val="000000"/>
          <w:spacing w:val="0"/>
          <w:w w:val="100"/>
          <w:position w:val="0"/>
        </w:rPr>
        <w:t>号福建鸿博光电园</w:t>
      </w:r>
      <w:r>
        <w:rPr>
          <w:color w:val="000000"/>
          <w:spacing w:val="0"/>
          <w:w w:val="100"/>
          <w:position w:val="0"/>
        </w:rPr>
        <w:t>B10#</w:t>
      </w:r>
      <w:r>
        <w:rPr>
          <w:color w:val="000000"/>
          <w:spacing w:val="0"/>
          <w:w w:val="100"/>
          <w:position w:val="0"/>
        </w:rPr>
        <w:t>楼）</w:t>
      </w:r>
    </w:p>
    <w:p>
      <w:pPr>
        <w:pStyle w:val="Style10"/>
        <w:keepNext w:val="0"/>
        <w:keepLines w:val="0"/>
        <w:widowControl w:val="0"/>
        <w:shd w:val="clear" w:color="auto" w:fill="auto"/>
        <w:bidi w:val="0"/>
        <w:spacing w:before="0" w:line="466" w:lineRule="exact"/>
        <w:ind w:left="0" w:right="0" w:firstLine="440"/>
        <w:jc w:val="both"/>
      </w:pPr>
      <w:r>
        <w:rPr>
          <w:color w:val="000000"/>
          <w:spacing w:val="0"/>
          <w:w w:val="100"/>
          <w:position w:val="0"/>
        </w:rPr>
        <w:t>公司总部地址：福建省福州市金山开发区金达路</w:t>
      </w:r>
      <w:r>
        <w:rPr>
          <w:color w:val="000000"/>
          <w:spacing w:val="0"/>
          <w:w w:val="100"/>
          <w:position w:val="0"/>
        </w:rPr>
        <w:t>136</w:t>
      </w:r>
      <w:r>
        <w:rPr>
          <w:color w:val="000000"/>
          <w:spacing w:val="0"/>
          <w:w w:val="100"/>
          <w:position w:val="0"/>
        </w:rPr>
        <w:t>号。（经营场所：福建省福州市仓山区盖山镇齐 安路</w:t>
      </w:r>
      <w:r>
        <w:rPr>
          <w:color w:val="000000"/>
          <w:spacing w:val="0"/>
          <w:w w:val="100"/>
          <w:position w:val="0"/>
        </w:rPr>
        <w:t>772</w:t>
      </w:r>
      <w:r>
        <w:rPr>
          <w:color w:val="000000"/>
          <w:spacing w:val="0"/>
          <w:w w:val="100"/>
          <w:position w:val="0"/>
        </w:rPr>
        <w:t>号福建鸿博光电园</w:t>
      </w:r>
      <w:r>
        <w:rPr>
          <w:color w:val="000000"/>
          <w:spacing w:val="0"/>
          <w:w w:val="100"/>
          <w:position w:val="0"/>
        </w:rPr>
        <w:t>B10#</w:t>
      </w:r>
      <w:r>
        <w:rPr>
          <w:color w:val="000000"/>
          <w:spacing w:val="0"/>
          <w:w w:val="100"/>
          <w:position w:val="0"/>
        </w:rPr>
        <w:t>楼）</w:t>
      </w:r>
    </w:p>
    <w:p>
      <w:pPr>
        <w:pStyle w:val="Style10"/>
        <w:keepNext w:val="0"/>
        <w:keepLines w:val="0"/>
        <w:widowControl w:val="0"/>
        <w:shd w:val="clear" w:color="auto" w:fill="auto"/>
        <w:bidi w:val="0"/>
        <w:spacing w:before="0" w:line="468" w:lineRule="exact"/>
        <w:ind w:left="0" w:right="0" w:firstLine="440"/>
        <w:jc w:val="both"/>
      </w:pPr>
      <w:r>
        <w:rPr>
          <w:color w:val="000000"/>
          <w:spacing w:val="0"/>
          <w:w w:val="100"/>
          <w:position w:val="0"/>
        </w:rPr>
        <w:t>（二）公司业务性质和主要经营活动</w:t>
      </w:r>
    </w:p>
    <w:p>
      <w:pPr>
        <w:pStyle w:val="Style1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公司及其子公司（以下简称“集团”</w:t>
      </w:r>
      <w:r>
        <w:rPr>
          <w:color w:val="000000"/>
          <w:spacing w:val="0"/>
          <w:w w:val="100"/>
          <w:position w:val="0"/>
        </w:rPr>
        <w:t>）</w:t>
      </w:r>
      <w:r>
        <w:rPr>
          <w:color w:val="000000"/>
          <w:spacing w:val="0"/>
          <w:w w:val="100"/>
          <w:position w:val="0"/>
        </w:rPr>
        <w:t>属于印刷企业，公司于</w:t>
      </w:r>
      <w:r>
        <w:rPr>
          <w:color w:val="000000"/>
          <w:spacing w:val="0"/>
          <w:w w:val="100"/>
          <w:position w:val="0"/>
        </w:rPr>
        <w:t>2002</w:t>
      </w:r>
      <w:r>
        <w:rPr>
          <w:color w:val="000000"/>
          <w:spacing w:val="0"/>
          <w:w w:val="100"/>
          <w:position w:val="0"/>
        </w:rPr>
        <w:t xml:space="preserve">年经福建省民政厅认定为福利企 业。集团的许可经营范围为：出版物（含内部书刊印刷）、包装装潢印刷品、其他印刷品印刷（含票证、票 </w:t>
      </w:r>
      <w:r>
        <w:rPr>
          <w:color w:val="000000"/>
          <w:spacing w:val="0"/>
          <w:w w:val="100"/>
          <w:position w:val="0"/>
        </w:rPr>
        <w:t>据印刷）；磁卡、智能卡的研制与加工；热敏纸、</w:t>
      </w:r>
      <w:r>
        <w:rPr>
          <w:color w:val="000000"/>
          <w:spacing w:val="0"/>
          <w:w w:val="100"/>
          <w:position w:val="0"/>
        </w:rPr>
        <w:t>UV</w:t>
      </w:r>
      <w:r>
        <w:rPr>
          <w:color w:val="000000"/>
          <w:spacing w:val="0"/>
          <w:w w:val="100"/>
          <w:position w:val="0"/>
        </w:rPr>
        <w:t>油墨、印刷设备、电子产品的销售；皮革证件、铜铝 牌匾和不干胶的印刷；对外贸易；对金融业、文化、体育和娱乐业的投资；网络技术开发与服务；文化创 意设计与服务；物联网技术开发与服务；网上贸易代理；互联网游戏出版服务、网络（手机）游戏服务； 动漫游戏软件开发、游戏电子出版物服务；生产、销售酒以及销售食品。报告期内集团的主要经营活动为:</w:t>
      </w:r>
    </w:p>
    <w:p>
      <w:pPr>
        <w:pStyle w:val="Style10"/>
        <w:keepNext w:val="0"/>
        <w:keepLines w:val="0"/>
        <w:widowControl w:val="0"/>
        <w:shd w:val="clear" w:color="auto" w:fill="auto"/>
        <w:bidi w:val="0"/>
        <w:spacing w:before="0" w:after="0" w:line="468" w:lineRule="exact"/>
        <w:ind w:left="0" w:right="0" w:firstLine="0"/>
        <w:jc w:val="both"/>
      </w:pPr>
      <w:bookmarkStart w:id="712" w:name="bookmark712"/>
      <w:r>
        <w:rPr>
          <w:color w:val="000000"/>
          <w:spacing w:val="0"/>
          <w:w w:val="100"/>
          <w:position w:val="0"/>
        </w:rPr>
        <w:t>（</w:t>
      </w:r>
      <w:bookmarkEnd w:id="712"/>
      <w:r>
        <w:rPr>
          <w:color w:val="000000"/>
          <w:spacing w:val="0"/>
          <w:w w:val="100"/>
          <w:position w:val="0"/>
        </w:rPr>
        <w:t>1）</w:t>
      </w:r>
      <w:r>
        <w:rPr>
          <w:color w:val="000000"/>
          <w:spacing w:val="0"/>
          <w:w w:val="100"/>
          <w:position w:val="0"/>
        </w:rPr>
        <w:t>彩票热敏纸票证产品、普通税务发票、证书证件等票证产品的生产销售；</w:t>
      </w:r>
      <w:r>
        <w:rPr>
          <w:color w:val="000000"/>
          <w:spacing w:val="0"/>
          <w:w w:val="100"/>
          <w:position w:val="0"/>
        </w:rPr>
        <w:t>（2）</w:t>
      </w:r>
      <w:r>
        <w:rPr>
          <w:color w:val="000000"/>
          <w:spacing w:val="0"/>
          <w:w w:val="100"/>
          <w:position w:val="0"/>
        </w:rPr>
        <w:t>包装装潢品、办公用 纸等产品生产销售；</w:t>
      </w:r>
      <w:r>
        <w:rPr>
          <w:color w:val="000000"/>
          <w:spacing w:val="0"/>
          <w:w w:val="100"/>
          <w:position w:val="0"/>
        </w:rPr>
        <w:t>（3）</w:t>
      </w:r>
      <w:r>
        <w:rPr>
          <w:color w:val="000000"/>
          <w:spacing w:val="0"/>
          <w:w w:val="100"/>
          <w:position w:val="0"/>
        </w:rPr>
        <w:t>彩票代购、新彩种开发及技术维护；</w:t>
      </w:r>
      <w:r>
        <w:rPr>
          <w:color w:val="000000"/>
          <w:spacing w:val="0"/>
          <w:w w:val="100"/>
          <w:position w:val="0"/>
        </w:rPr>
        <w:t>（4）</w:t>
      </w:r>
      <w:r>
        <w:rPr>
          <w:color w:val="000000"/>
          <w:spacing w:val="0"/>
          <w:w w:val="100"/>
          <w:position w:val="0"/>
        </w:rPr>
        <w:t>销售酒；</w:t>
      </w:r>
      <w:r>
        <w:rPr>
          <w:color w:val="000000"/>
          <w:spacing w:val="0"/>
          <w:w w:val="100"/>
          <w:position w:val="0"/>
        </w:rPr>
        <w:t>（5）</w:t>
      </w:r>
      <w:r>
        <w:rPr>
          <w:color w:val="000000"/>
          <w:spacing w:val="0"/>
          <w:w w:val="100"/>
          <w:position w:val="0"/>
        </w:rPr>
        <w:t>智能标签、金融</w:t>
      </w:r>
      <w:r>
        <w:rPr>
          <w:color w:val="000000"/>
          <w:spacing w:val="0"/>
          <w:w w:val="100"/>
          <w:position w:val="0"/>
        </w:rPr>
        <w:t>IC</w:t>
      </w:r>
      <w:r>
        <w:rPr>
          <w:color w:val="000000"/>
          <w:spacing w:val="0"/>
          <w:w w:val="100"/>
          <w:position w:val="0"/>
        </w:rPr>
        <w:t>卡、 社保卡等</w:t>
      </w:r>
      <w:r>
        <w:rPr>
          <w:color w:val="000000"/>
          <w:spacing w:val="0"/>
          <w:w w:val="100"/>
          <w:position w:val="0"/>
        </w:rPr>
        <w:t>RFID</w:t>
      </w:r>
      <w:r>
        <w:rPr>
          <w:color w:val="000000"/>
          <w:spacing w:val="0"/>
          <w:w w:val="100"/>
          <w:position w:val="0"/>
        </w:rPr>
        <w:t>智能标签制作和物联网技术服务。</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（三）财务报表的批准报出</w:t>
      </w:r>
    </w:p>
    <w:p>
      <w:pPr>
        <w:pStyle w:val="Style10"/>
        <w:keepNext w:val="0"/>
        <w:keepLines w:val="0"/>
        <w:widowControl w:val="0"/>
        <w:shd w:val="clear" w:color="auto" w:fill="auto"/>
        <w:bidi w:val="0"/>
        <w:spacing w:before="0" w:after="760" w:line="468" w:lineRule="exact"/>
        <w:ind w:left="0" w:right="0" w:firstLine="440"/>
        <w:jc w:val="left"/>
      </w:pPr>
      <w:r>
        <w:rPr>
          <w:color w:val="000000"/>
          <w:spacing w:val="0"/>
          <w:w w:val="100"/>
          <w:position w:val="0"/>
        </w:rPr>
        <w:t>本财务报表业经公司第五届第三十五次董事会会议于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6</w:t>
      </w:r>
      <w:r>
        <w:rPr>
          <w:color w:val="000000"/>
          <w:spacing w:val="0"/>
          <w:w w:val="100"/>
          <w:position w:val="0"/>
        </w:rPr>
        <w:t>日批准报出。</w:t>
      </w:r>
    </w:p>
    <w:p>
      <w:pPr>
        <w:pStyle w:val="Style10"/>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集团</w:t>
      </w:r>
      <w:r>
        <w:rPr>
          <w:color w:val="000000"/>
          <w:spacing w:val="0"/>
          <w:w w:val="100"/>
          <w:position w:val="0"/>
        </w:rPr>
        <w:t>2021</w:t>
      </w:r>
      <w:r>
        <w:rPr>
          <w:color w:val="000000"/>
          <w:spacing w:val="0"/>
          <w:w w:val="100"/>
          <w:position w:val="0"/>
        </w:rPr>
        <w:t>年度纳入合并财务报表范围的子公司</w:t>
      </w:r>
      <w:r>
        <w:rPr>
          <w:color w:val="000000"/>
          <w:spacing w:val="0"/>
          <w:w w:val="100"/>
          <w:position w:val="0"/>
        </w:rPr>
        <w:t>16</w:t>
      </w:r>
      <w:r>
        <w:rPr>
          <w:color w:val="000000"/>
          <w:spacing w:val="0"/>
          <w:w w:val="100"/>
          <w:position w:val="0"/>
        </w:rPr>
        <w:t>家，孙公司</w:t>
      </w:r>
      <w:r>
        <w:rPr>
          <w:color w:val="000000"/>
          <w:spacing w:val="0"/>
          <w:w w:val="100"/>
          <w:position w:val="0"/>
        </w:rPr>
        <w:t>4</w:t>
      </w:r>
      <w:r>
        <w:rPr>
          <w:color w:val="000000"/>
          <w:spacing w:val="0"/>
          <w:w w:val="100"/>
          <w:position w:val="0"/>
        </w:rPr>
        <w:t>家。具体包括:</w:t>
      </w:r>
    </w:p>
    <w:tbl>
      <w:tblPr>
        <w:tblOverlap w:val="never"/>
        <w:jc w:val="center"/>
        <w:tblLayout w:type="fixed"/>
      </w:tblPr>
      <w:tblGrid>
        <w:gridCol w:w="3989"/>
        <w:gridCol w:w="1426"/>
        <w:gridCol w:w="821"/>
        <w:gridCol w:w="1718"/>
        <w:gridCol w:w="1723"/>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级次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表决权比例（</w:t>
            </w:r>
            <w:r>
              <w:rPr>
                <w:color w:val="000000"/>
                <w:spacing w:val="0"/>
                <w:w w:val="100"/>
                <w:position w:val="0"/>
                <w:sz w:val="18"/>
                <w:szCs w:val="18"/>
              </w:rPr>
              <w:t>％</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福州港龙贸易有限公司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鸿博（福建）数据网络科技股份有限公司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福建鸿博致远信息科技有限公司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鸿博昊天科技有限公司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北京昊天国彩印刷有限公司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钻研（北京）国际文化传媒有限公司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重庆市鸿海印务有限公司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四川鸿海印务有限公司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四川玉屏池酒业有限公司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控股孙公司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无锡双龙信息纸有限公司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广州彩创网络技术有限公司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北京中科彩技术有限公司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控股孙公司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开封鸿博股权投资有限公司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乐特瑞（海南）科技有限公司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珠海寰博科技有限公司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上海弘博信息技术有限公司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成都标点体育文化发展有限公司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香港鸿博集团有限公司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line="1" w:lineRule="exact"/>
      </w:pPr>
    </w:p>
    <w:tbl>
      <w:tblPr>
        <w:tblOverlap w:val="never"/>
        <w:jc w:val="center"/>
        <w:tblLayout w:type="fixed"/>
      </w:tblPr>
      <w:tblGrid>
        <w:gridCol w:w="3989"/>
        <w:gridCol w:w="1426"/>
        <w:gridCol w:w="821"/>
        <w:gridCol w:w="1718"/>
        <w:gridCol w:w="1723"/>
      </w:tblGrid>
      <w:tr>
        <w:trPr>
          <w:trHeight w:val="44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亿科集团有限公司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各家子公司、孙公司情况详见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披露。本期纳入合并财务报表范围的主体较上年度新增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 子公司。合并范围变更主体的具体信息详见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379" w:line="1" w:lineRule="exact"/>
      </w:pPr>
    </w:p>
    <w:p>
      <w:pPr>
        <w:pStyle w:val="Style21"/>
        <w:keepNext/>
        <w:keepLines/>
        <w:widowControl w:val="0"/>
        <w:shd w:val="clear" w:color="auto" w:fill="auto"/>
        <w:tabs>
          <w:tab w:pos="498" w:val="left"/>
        </w:tabs>
        <w:bidi w:val="0"/>
        <w:spacing w:before="0" w:after="380" w:line="240" w:lineRule="auto"/>
        <w:ind w:left="0" w:right="0" w:firstLine="0"/>
        <w:jc w:val="both"/>
      </w:pPr>
      <w:bookmarkStart w:id="713" w:name="bookmark713"/>
      <w:bookmarkStart w:id="714" w:name="bookmark714"/>
      <w:bookmarkStart w:id="715" w:name="bookmark715"/>
      <w:bookmarkStart w:id="716" w:name="bookmark716"/>
      <w:r>
        <w:rPr>
          <w:color w:val="000000"/>
          <w:spacing w:val="0"/>
          <w:w w:val="100"/>
          <w:position w:val="0"/>
        </w:rPr>
        <w:t>四</w:t>
      </w:r>
      <w:bookmarkEnd w:id="715"/>
      <w:r>
        <w:rPr>
          <w:color w:val="000000"/>
          <w:spacing w:val="0"/>
          <w:w w:val="100"/>
          <w:position w:val="0"/>
        </w:rPr>
        <w:t>、</w:t>
        <w:tab/>
        <w:t>财务报表的编制基础</w:t>
      </w:r>
      <w:bookmarkEnd w:id="713"/>
      <w:bookmarkEnd w:id="714"/>
      <w:bookmarkEnd w:id="716"/>
    </w:p>
    <w:p>
      <w:pPr>
        <w:pStyle w:val="Style29"/>
        <w:keepNext/>
        <w:keepLines/>
        <w:widowControl w:val="0"/>
        <w:shd w:val="clear" w:color="auto" w:fill="auto"/>
        <w:tabs>
          <w:tab w:pos="358" w:val="left"/>
        </w:tabs>
        <w:bidi w:val="0"/>
        <w:spacing w:before="0" w:after="0" w:line="480" w:lineRule="auto"/>
        <w:ind w:left="0" w:right="0" w:firstLine="0"/>
        <w:jc w:val="both"/>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1</w:t>
      </w:r>
      <w:bookmarkEnd w:id="719"/>
      <w:r>
        <w:rPr>
          <w:color w:val="000000"/>
          <w:spacing w:val="0"/>
          <w:w w:val="100"/>
          <w:position w:val="0"/>
        </w:rPr>
        <w:t>、</w:t>
        <w:tab/>
        <w:t>编制基础</w:t>
      </w:r>
      <w:bookmarkEnd w:id="717"/>
      <w:bookmarkEnd w:id="718"/>
      <w:bookmarkEnd w:id="720"/>
    </w:p>
    <w:p>
      <w:pPr>
        <w:pStyle w:val="Style10"/>
        <w:keepNext w:val="0"/>
        <w:keepLines w:val="0"/>
        <w:widowControl w:val="0"/>
        <w:shd w:val="clear" w:color="auto" w:fill="auto"/>
        <w:bidi w:val="0"/>
        <w:spacing w:before="0" w:after="460" w:line="467" w:lineRule="exact"/>
        <w:ind w:left="0" w:right="0" w:firstLine="440"/>
        <w:jc w:val="left"/>
      </w:pPr>
      <w:r>
        <w:rPr>
          <w:color w:val="000000"/>
          <w:spacing w:val="0"/>
          <w:w w:val="100"/>
          <w:position w:val="0"/>
        </w:rPr>
        <w:t>公司根据实际发生的交易和事项，按照财政部颁布的《企业会计准则</w:t>
      </w:r>
      <w:r>
        <w:rPr>
          <w:color w:val="000000"/>
          <w:spacing w:val="0"/>
          <w:w w:val="100"/>
          <w:position w:val="0"/>
        </w:rPr>
        <w:t>一一</w:t>
      </w:r>
      <w:r>
        <w:rPr>
          <w:color w:val="000000"/>
          <w:spacing w:val="0"/>
          <w:w w:val="100"/>
          <w:position w:val="0"/>
        </w:rPr>
        <w:t>基本准则》和具体企业会计 准则、企业会计准则应用指南、企业会计准则解释及其他相关规定（以下合称“企业会计准则”）进行确 认和计量，在此基础上，结合中国证券监督管理委员会《公开发行证券的公司信息披露编报规则第</w:t>
      </w:r>
      <w:r>
        <w:rPr>
          <w:color w:val="000000"/>
          <w:spacing w:val="0"/>
          <w:w w:val="100"/>
          <w:position w:val="0"/>
        </w:rPr>
        <w:t>15</w:t>
      </w:r>
      <w:r>
        <w:rPr>
          <w:color w:val="000000"/>
          <w:spacing w:val="0"/>
          <w:w w:val="100"/>
          <w:position w:val="0"/>
        </w:rPr>
        <w:t xml:space="preserve">号 </w:t>
      </w:r>
      <w:r>
        <w:rPr>
          <w:color w:val="000000"/>
          <w:spacing w:val="0"/>
          <w:w w:val="100"/>
          <w:position w:val="0"/>
        </w:rPr>
        <w:t>——</w:t>
      </w:r>
      <w:r>
        <w:rPr>
          <w:color w:val="000000"/>
          <w:spacing w:val="0"/>
          <w:w w:val="100"/>
          <w:position w:val="0"/>
        </w:rPr>
        <w:t>财务报告的一般规定》</w:t>
      </w:r>
      <w:r>
        <w:rPr>
          <w:color w:val="000000"/>
          <w:spacing w:val="0"/>
          <w:w w:val="100"/>
          <w:position w:val="0"/>
        </w:rPr>
        <w:t>（2014</w:t>
      </w:r>
      <w:r>
        <w:rPr>
          <w:color w:val="000000"/>
          <w:spacing w:val="0"/>
          <w:w w:val="100"/>
          <w:position w:val="0"/>
        </w:rPr>
        <w:t>年修订）的规定，编制财务报表。</w:t>
      </w:r>
    </w:p>
    <w:p>
      <w:pPr>
        <w:pStyle w:val="Style29"/>
        <w:keepNext/>
        <w:keepLines/>
        <w:widowControl w:val="0"/>
        <w:shd w:val="clear" w:color="auto" w:fill="auto"/>
        <w:tabs>
          <w:tab w:pos="368" w:val="left"/>
        </w:tabs>
        <w:bidi w:val="0"/>
        <w:spacing w:before="0" w:after="0" w:line="480" w:lineRule="auto"/>
        <w:ind w:left="0" w:right="0" w:firstLine="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2</w:t>
      </w:r>
      <w:bookmarkEnd w:id="723"/>
      <w:r>
        <w:rPr>
          <w:color w:val="000000"/>
          <w:spacing w:val="0"/>
          <w:w w:val="100"/>
          <w:position w:val="0"/>
        </w:rPr>
        <w:t>、</w:t>
        <w:tab/>
        <w:t>持续经营</w:t>
      </w:r>
      <w:bookmarkEnd w:id="721"/>
      <w:bookmarkEnd w:id="722"/>
      <w:bookmarkEnd w:id="724"/>
    </w:p>
    <w:p>
      <w:pPr>
        <w:pStyle w:val="Style10"/>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公司对报告期末起</w:t>
      </w:r>
      <w:r>
        <w:rPr>
          <w:color w:val="000000"/>
          <w:spacing w:val="0"/>
          <w:w w:val="100"/>
          <w:position w:val="0"/>
        </w:rPr>
        <w:t>12</w:t>
      </w:r>
      <w:r>
        <w:rPr>
          <w:color w:val="000000"/>
          <w:spacing w:val="0"/>
          <w:w w:val="100"/>
          <w:position w:val="0"/>
        </w:rPr>
        <w:t>个月的持续经营能力进行了评价，未发现对持续经营能力产生重大怀疑的事项 或情况。因此，本财务报表系在持续经营假设的基础上编制。</w:t>
      </w:r>
    </w:p>
    <w:p>
      <w:pPr>
        <w:pStyle w:val="Style21"/>
        <w:keepNext/>
        <w:keepLines/>
        <w:widowControl w:val="0"/>
        <w:shd w:val="clear" w:color="auto" w:fill="auto"/>
        <w:tabs>
          <w:tab w:pos="517" w:val="left"/>
        </w:tabs>
        <w:bidi w:val="0"/>
        <w:spacing w:before="0" w:after="20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rPr>
        <w:t>五</w:t>
      </w:r>
      <w:bookmarkEnd w:id="727"/>
      <w:r>
        <w:rPr>
          <w:color w:val="000000"/>
          <w:spacing w:val="0"/>
          <w:w w:val="100"/>
          <w:position w:val="0"/>
        </w:rPr>
        <w:t>、</w:t>
        <w:tab/>
        <w:t>重要会计政策及会计估计</w:t>
      </w:r>
      <w:bookmarkEnd w:id="725"/>
      <w:bookmarkEnd w:id="726"/>
      <w:bookmarkEnd w:id="728"/>
    </w:p>
    <w:p>
      <w:pPr>
        <w:pStyle w:val="Style10"/>
        <w:keepNext w:val="0"/>
        <w:keepLines w:val="0"/>
        <w:widowControl w:val="0"/>
        <w:shd w:val="clear" w:color="auto" w:fill="auto"/>
        <w:bidi w:val="0"/>
        <w:spacing w:before="0" w:line="470" w:lineRule="exact"/>
        <w:ind w:left="0" w:right="0" w:firstLine="440"/>
        <w:jc w:val="both"/>
      </w:pPr>
      <w:r>
        <w:rPr>
          <w:color w:val="000000"/>
          <w:spacing w:val="0"/>
          <w:w w:val="100"/>
          <w:position w:val="0"/>
        </w:rPr>
        <w:t>具体会计政策和会计估计提示：</w:t>
      </w:r>
    </w:p>
    <w:p>
      <w:pPr>
        <w:pStyle w:val="Style10"/>
        <w:keepNext w:val="0"/>
        <w:keepLines w:val="0"/>
        <w:widowControl w:val="0"/>
        <w:shd w:val="clear" w:color="auto" w:fill="auto"/>
        <w:bidi w:val="0"/>
        <w:spacing w:before="0" w:after="200" w:line="461" w:lineRule="exact"/>
        <w:ind w:left="0" w:right="0" w:firstLine="440"/>
        <w:jc w:val="both"/>
      </w:pPr>
      <w:r>
        <w:rPr>
          <w:color w:val="000000"/>
          <w:spacing w:val="0"/>
          <w:w w:val="100"/>
          <w:position w:val="0"/>
        </w:rPr>
        <w:t>公司根据自身生产经营特点，确定固定资产折旧、无形资产摊销、研发费用资本化以及收入确认政策， 具体会计政策参见附注五/（二十四）、附注五/ （三十）和附注五/ （三十九）。</w:t>
      </w:r>
    </w:p>
    <w:p>
      <w:pPr>
        <w:pStyle w:val="Style29"/>
        <w:keepNext/>
        <w:keepLines/>
        <w:widowControl w:val="0"/>
        <w:shd w:val="clear" w:color="auto" w:fill="auto"/>
        <w:tabs>
          <w:tab w:pos="358" w:val="left"/>
        </w:tabs>
        <w:bidi w:val="0"/>
        <w:spacing w:before="0" w:after="200" w:line="470" w:lineRule="exact"/>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w:t>
      </w:r>
      <w:bookmarkEnd w:id="731"/>
      <w:r>
        <w:rPr>
          <w:color w:val="000000"/>
          <w:spacing w:val="0"/>
          <w:w w:val="100"/>
          <w:position w:val="0"/>
        </w:rPr>
        <w:t>、</w:t>
        <w:tab/>
        <w:t>遵循企业会计准则的声明</w:t>
      </w:r>
      <w:bookmarkEnd w:id="729"/>
      <w:bookmarkEnd w:id="730"/>
      <w:bookmarkEnd w:id="732"/>
    </w:p>
    <w:p>
      <w:pPr>
        <w:pStyle w:val="Style10"/>
        <w:keepNext w:val="0"/>
        <w:keepLines w:val="0"/>
        <w:widowControl w:val="0"/>
        <w:shd w:val="clear" w:color="auto" w:fill="auto"/>
        <w:bidi w:val="0"/>
        <w:spacing w:before="0" w:after="460" w:line="472" w:lineRule="exact"/>
        <w:ind w:left="0" w:right="0" w:firstLine="440"/>
        <w:jc w:val="both"/>
      </w:pPr>
      <w:r>
        <w:rPr>
          <w:color w:val="000000"/>
          <w:spacing w:val="0"/>
          <w:w w:val="100"/>
          <w:position w:val="0"/>
        </w:rPr>
        <w:t>公司财务报表及附注系按财政部颁布的《企业会计准则》、应用指南、企业会计准则解释、中国证券 监督管理委员会发布的《公开发行证券的公司信息披露编报规则第</w:t>
      </w:r>
      <w:r>
        <w:rPr>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rPr>
        <w:t>［2014</w:t>
      </w:r>
      <w:r>
        <w:rPr>
          <w:color w:val="000000"/>
          <w:spacing w:val="0"/>
          <w:w w:val="100"/>
          <w:position w:val="0"/>
        </w:rPr>
        <w:t>年 修订］》以及相关补充规定的要求编制，真实、完整地反映了公司的财务状况、经营成果、股东权益变动 和现金流量等有关信息。</w:t>
      </w:r>
    </w:p>
    <w:p>
      <w:pPr>
        <w:pStyle w:val="Style29"/>
        <w:keepNext/>
        <w:keepLines/>
        <w:widowControl w:val="0"/>
        <w:shd w:val="clear" w:color="auto" w:fill="auto"/>
        <w:tabs>
          <w:tab w:pos="368" w:val="left"/>
        </w:tabs>
        <w:bidi w:val="0"/>
        <w:spacing w:before="0" w:after="0" w:line="480" w:lineRule="auto"/>
        <w:ind w:left="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2</w:t>
      </w:r>
      <w:bookmarkEnd w:id="735"/>
      <w:r>
        <w:rPr>
          <w:color w:val="000000"/>
          <w:spacing w:val="0"/>
          <w:w w:val="100"/>
          <w:position w:val="0"/>
        </w:rPr>
        <w:t>、</w:t>
        <w:tab/>
        <w:t>会计期间</w:t>
      </w:r>
      <w:bookmarkEnd w:id="733"/>
      <w:bookmarkEnd w:id="734"/>
      <w:bookmarkEnd w:id="736"/>
    </w:p>
    <w:p>
      <w:pPr>
        <w:pStyle w:val="Style10"/>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9"/>
        <w:keepNext/>
        <w:keepLines/>
        <w:widowControl w:val="0"/>
        <w:shd w:val="clear" w:color="auto" w:fill="auto"/>
        <w:tabs>
          <w:tab w:pos="337" w:val="left"/>
        </w:tabs>
        <w:bidi w:val="0"/>
        <w:spacing w:before="0" w:after="220" w:line="467" w:lineRule="exact"/>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3</w:t>
      </w:r>
      <w:bookmarkEnd w:id="739"/>
      <w:r>
        <w:rPr>
          <w:color w:val="000000"/>
          <w:spacing w:val="0"/>
          <w:w w:val="100"/>
          <w:position w:val="0"/>
        </w:rPr>
        <w:t>、</w:t>
        <w:tab/>
        <w:t>营业周期</w:t>
      </w:r>
      <w:bookmarkEnd w:id="737"/>
      <w:bookmarkEnd w:id="738"/>
      <w:bookmarkEnd w:id="740"/>
    </w:p>
    <w:p>
      <w:pPr>
        <w:pStyle w:val="Style1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公司以</w:t>
      </w:r>
      <w:r>
        <w:rPr>
          <w:color w:val="000000"/>
          <w:spacing w:val="0"/>
          <w:w w:val="100"/>
          <w:position w:val="0"/>
        </w:rPr>
        <w:t>12</w:t>
      </w:r>
      <w:r>
        <w:rPr>
          <w:color w:val="000000"/>
          <w:spacing w:val="0"/>
          <w:w w:val="100"/>
          <w:position w:val="0"/>
        </w:rPr>
        <w:t>个月作为一个营业周期，并以其作为资产和负债的流动性划分标准。</w:t>
      </w:r>
    </w:p>
    <w:p>
      <w:pPr>
        <w:pStyle w:val="Style29"/>
        <w:keepNext/>
        <w:keepLines/>
        <w:widowControl w:val="0"/>
        <w:shd w:val="clear" w:color="auto" w:fill="auto"/>
        <w:tabs>
          <w:tab w:pos="337" w:val="left"/>
        </w:tabs>
        <w:bidi w:val="0"/>
        <w:spacing w:before="0" w:after="220" w:line="467" w:lineRule="exact"/>
        <w:ind w:left="0" w:right="0" w:firstLine="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4</w:t>
      </w:r>
      <w:bookmarkEnd w:id="743"/>
      <w:r>
        <w:rPr>
          <w:color w:val="000000"/>
          <w:spacing w:val="0"/>
          <w:w w:val="100"/>
          <w:position w:val="0"/>
        </w:rPr>
        <w:t>、</w:t>
        <w:tab/>
        <w:t>记账本位币</w:t>
      </w:r>
      <w:bookmarkEnd w:id="741"/>
      <w:bookmarkEnd w:id="742"/>
      <w:bookmarkEnd w:id="744"/>
    </w:p>
    <w:p>
      <w:pPr>
        <w:pStyle w:val="Style1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采用人民币为记账本位币。</w:t>
      </w:r>
    </w:p>
    <w:p>
      <w:pPr>
        <w:pStyle w:val="Style29"/>
        <w:keepNext/>
        <w:keepLines/>
        <w:widowControl w:val="0"/>
        <w:shd w:val="clear" w:color="auto" w:fill="auto"/>
        <w:tabs>
          <w:tab w:pos="337" w:val="left"/>
        </w:tabs>
        <w:bidi w:val="0"/>
        <w:spacing w:before="0" w:after="220" w:line="467" w:lineRule="exact"/>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5</w:t>
      </w:r>
      <w:bookmarkEnd w:id="747"/>
      <w:r>
        <w:rPr>
          <w:color w:val="000000"/>
          <w:spacing w:val="0"/>
          <w:w w:val="100"/>
          <w:position w:val="0"/>
        </w:rPr>
        <w:t>、</w:t>
        <w:tab/>
        <w:t>同一控制下和非同一控制下企业合并的会计处理方法</w:t>
      </w:r>
      <w:bookmarkEnd w:id="745"/>
      <w:bookmarkEnd w:id="746"/>
      <w:bookmarkEnd w:id="748"/>
    </w:p>
    <w:p>
      <w:pPr>
        <w:pStyle w:val="Style10"/>
        <w:keepNext w:val="0"/>
        <w:keepLines w:val="0"/>
        <w:widowControl w:val="0"/>
        <w:numPr>
          <w:ilvl w:val="0"/>
          <w:numId w:val="41"/>
        </w:numPr>
        <w:shd w:val="clear" w:color="auto" w:fill="auto"/>
        <w:tabs>
          <w:tab w:pos="855" w:val="left"/>
        </w:tabs>
        <w:bidi w:val="0"/>
        <w:spacing w:before="0" w:after="0" w:line="467" w:lineRule="exact"/>
        <w:ind w:left="0" w:right="0" w:firstLine="440"/>
        <w:jc w:val="left"/>
      </w:pPr>
      <w:bookmarkStart w:id="749" w:name="bookmark749"/>
      <w:bookmarkEnd w:id="749"/>
      <w:r>
        <w:rPr>
          <w:color w:val="000000"/>
          <w:spacing w:val="0"/>
          <w:w w:val="100"/>
          <w:position w:val="0"/>
        </w:rPr>
        <w:t>在同一控制下的企业合并中，公司作为购买方取得对其他参与合并企业的控制权，如以支付现金、 转让非现金资产或承担债务方式作为合并对价的，在合并日按照被合并方所有者权益在最终控制方合并财 务报表中的账面价值的份额作为长期股权投资的初始投资成本，长期股权投资初始投资成本与支付的现 金、转让的非现金资产以及所承担债务账面价值之间的差额，调整资本公积；资本公积不足冲减的，调整 留存收益；如以发行权益性证券作为合并对价的，在合并日按照被合并方所有者权益在最终控制方合并财 务报表中的账面价值的份额作为长期股权投资的初始投资成本，按照发行股份的面值总额作为股本，长期 股权投资初始投资成本与所发行股份面值总额之间的差额，调整资本公积，资本公积不足冲减的，调整留 存收益。为进行企业合并发生的审计、法律服务、评估咨询等中介费用以及其他相关管理费用，于发生时 计入当期损益。为企业合并发行的债券或承担其他债务支付的手续费、佣金等，应当计入所发行债券及其 他债务的初始计量金额。企业合并中发行权益性证券发生的手续费、佣金等费用，应当抵减权益性证券溢 价收入，溢价收入不足冲减的，冲减留存收益。</w:t>
      </w:r>
    </w:p>
    <w:p>
      <w:pPr>
        <w:pStyle w:val="Style10"/>
        <w:keepNext w:val="0"/>
        <w:keepLines w:val="0"/>
        <w:widowControl w:val="0"/>
        <w:numPr>
          <w:ilvl w:val="0"/>
          <w:numId w:val="41"/>
        </w:numPr>
        <w:shd w:val="clear" w:color="auto" w:fill="auto"/>
        <w:tabs>
          <w:tab w:pos="839" w:val="left"/>
        </w:tabs>
        <w:bidi w:val="0"/>
        <w:spacing w:before="0" w:after="0" w:line="467" w:lineRule="exact"/>
        <w:ind w:left="0" w:right="0" w:firstLine="440"/>
        <w:jc w:val="both"/>
      </w:pPr>
      <w:bookmarkStart w:id="750" w:name="bookmark750"/>
      <w:bookmarkEnd w:id="750"/>
      <w:r>
        <w:rPr>
          <w:color w:val="000000"/>
          <w:spacing w:val="0"/>
          <w:w w:val="100"/>
          <w:position w:val="0"/>
        </w:rPr>
        <w:t>公司对外合并如属非同一控制下的企业合并，按下列情况确定长期股权投资的初始投资成本：</w:t>
      </w:r>
    </w:p>
    <w:p>
      <w:pPr>
        <w:pStyle w:val="Style10"/>
        <w:keepNext w:val="0"/>
        <w:keepLines w:val="0"/>
        <w:widowControl w:val="0"/>
        <w:numPr>
          <w:ilvl w:val="0"/>
          <w:numId w:val="43"/>
        </w:numPr>
        <w:shd w:val="clear" w:color="auto" w:fill="auto"/>
        <w:tabs>
          <w:tab w:pos="787" w:val="left"/>
        </w:tabs>
        <w:bidi w:val="0"/>
        <w:spacing w:before="0" w:after="0" w:line="466" w:lineRule="exact"/>
        <w:ind w:left="0" w:right="0" w:firstLine="440"/>
        <w:jc w:val="left"/>
      </w:pPr>
      <w:bookmarkStart w:id="751" w:name="bookmark751"/>
      <w:bookmarkEnd w:id="751"/>
      <w:r>
        <w:rPr>
          <w:color w:val="000000"/>
          <w:spacing w:val="0"/>
          <w:w w:val="100"/>
          <w:position w:val="0"/>
        </w:rPr>
        <w:t>一次交换交易实现的企业合并，长期股权投资的初始投资成本为购买方在购买日为取得对被购买 方的控制权而付出的资产、发生或承担的负债以及发行的权益性证券的公允价值；</w:t>
      </w:r>
    </w:p>
    <w:p>
      <w:pPr>
        <w:pStyle w:val="Style10"/>
        <w:keepNext w:val="0"/>
        <w:keepLines w:val="0"/>
        <w:widowControl w:val="0"/>
        <w:numPr>
          <w:ilvl w:val="0"/>
          <w:numId w:val="43"/>
        </w:numPr>
        <w:shd w:val="clear" w:color="auto" w:fill="auto"/>
        <w:tabs>
          <w:tab w:pos="805" w:val="left"/>
        </w:tabs>
        <w:bidi w:val="0"/>
        <w:spacing w:before="0" w:after="0" w:line="467" w:lineRule="exact"/>
        <w:ind w:left="0" w:right="0" w:firstLine="440"/>
        <w:jc w:val="left"/>
      </w:pPr>
      <w:bookmarkStart w:id="752" w:name="bookmark752"/>
      <w:bookmarkEnd w:id="752"/>
      <w:r>
        <w:rPr>
          <w:color w:val="000000"/>
          <w:spacing w:val="0"/>
          <w:w w:val="100"/>
          <w:position w:val="0"/>
        </w:rPr>
        <w:t>通过多次交换交易分步实现的企业合并，长期股权投资的初始投资成本为每一单项交易成本之和；</w:t>
      </w:r>
    </w:p>
    <w:p>
      <w:pPr>
        <w:pStyle w:val="Style10"/>
        <w:keepNext w:val="0"/>
        <w:keepLines w:val="0"/>
        <w:widowControl w:val="0"/>
        <w:numPr>
          <w:ilvl w:val="0"/>
          <w:numId w:val="43"/>
        </w:numPr>
        <w:shd w:val="clear" w:color="auto" w:fill="auto"/>
        <w:tabs>
          <w:tab w:pos="787" w:val="left"/>
        </w:tabs>
        <w:bidi w:val="0"/>
        <w:spacing w:before="0" w:after="0" w:line="470" w:lineRule="exact"/>
        <w:ind w:left="0" w:right="0" w:firstLine="440"/>
        <w:jc w:val="left"/>
      </w:pPr>
      <w:bookmarkStart w:id="753" w:name="bookmark753"/>
      <w:bookmarkEnd w:id="753"/>
      <w:r>
        <w:rPr>
          <w:color w:val="000000"/>
          <w:spacing w:val="0"/>
          <w:w w:val="100"/>
          <w:position w:val="0"/>
        </w:rPr>
        <w:t>为进行企业合并发生的审计、法律服务、评估咨询等中介费用以及其他相关管理费用，于发生时 计入当期损益；作为合并对价发行的权益性证券或债务性证券的交易费用，计入权益性证券或债务性证券 的初始确认金额；</w:t>
      </w:r>
    </w:p>
    <w:p>
      <w:pPr>
        <w:pStyle w:val="Style10"/>
        <w:keepNext w:val="0"/>
        <w:keepLines w:val="0"/>
        <w:widowControl w:val="0"/>
        <w:numPr>
          <w:ilvl w:val="0"/>
          <w:numId w:val="43"/>
        </w:numPr>
        <w:shd w:val="clear" w:color="auto" w:fill="auto"/>
        <w:tabs>
          <w:tab w:pos="787" w:val="left"/>
        </w:tabs>
        <w:bidi w:val="0"/>
        <w:spacing w:before="0" w:after="0" w:line="466" w:lineRule="exact"/>
        <w:ind w:left="0" w:right="0" w:firstLine="440"/>
        <w:jc w:val="left"/>
      </w:pPr>
      <w:bookmarkStart w:id="754" w:name="bookmark754"/>
      <w:bookmarkEnd w:id="754"/>
      <w:r>
        <w:rPr>
          <w:color w:val="000000"/>
          <w:spacing w:val="0"/>
          <w:w w:val="100"/>
          <w:position w:val="0"/>
        </w:rPr>
        <w:t>在合并合同或协议中对可能影响合并成本的未来事项作出约定的，在购买日如果估计未来事项很 可能发生并且对合并成本的影响金额能够可靠计量的，将其计入长期股权投资的初始投资成本。</w:t>
      </w:r>
    </w:p>
    <w:p>
      <w:pPr>
        <w:pStyle w:val="Style10"/>
        <w:keepNext w:val="0"/>
        <w:keepLines w:val="0"/>
        <w:widowControl w:val="0"/>
        <w:numPr>
          <w:ilvl w:val="0"/>
          <w:numId w:val="41"/>
        </w:numPr>
        <w:shd w:val="clear" w:color="auto" w:fill="auto"/>
        <w:tabs>
          <w:tab w:pos="855" w:val="left"/>
        </w:tabs>
        <w:bidi w:val="0"/>
        <w:spacing w:before="0" w:after="120" w:line="485" w:lineRule="exact"/>
        <w:ind w:left="0" w:right="0" w:firstLine="440"/>
        <w:jc w:val="left"/>
      </w:pPr>
      <w:bookmarkStart w:id="755" w:name="bookmark755"/>
      <w:bookmarkEnd w:id="755"/>
      <w:r>
        <w:rPr>
          <w:color w:val="000000"/>
          <w:spacing w:val="0"/>
          <w:w w:val="100"/>
          <w:position w:val="0"/>
        </w:rPr>
        <w:t>公司对外合并如属非同一控制下的企业合并，对长期股权投资的初始投资成本大于合并中取得的 被购买方可辨认净资产公允价值份额的差额，确认为商誉。</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对长期股权投资的初始投资成本小于合并中取得的被购买方可辨认净资产公允价值份额的差额，按照 下列方法处理：</w:t>
      </w:r>
    </w:p>
    <w:p>
      <w:pPr>
        <w:pStyle w:val="Style10"/>
        <w:keepNext w:val="0"/>
        <w:keepLines w:val="0"/>
        <w:widowControl w:val="0"/>
        <w:numPr>
          <w:ilvl w:val="0"/>
          <w:numId w:val="45"/>
        </w:numPr>
        <w:shd w:val="clear" w:color="auto" w:fill="auto"/>
        <w:tabs>
          <w:tab w:pos="799" w:val="left"/>
        </w:tabs>
        <w:bidi w:val="0"/>
        <w:spacing w:before="0" w:after="0" w:line="470" w:lineRule="exact"/>
        <w:ind w:left="0" w:right="0" w:firstLine="440"/>
        <w:jc w:val="both"/>
      </w:pPr>
      <w:bookmarkStart w:id="756" w:name="bookmark756"/>
      <w:bookmarkEnd w:id="756"/>
      <w:r>
        <w:rPr>
          <w:color w:val="000000"/>
          <w:spacing w:val="0"/>
          <w:w w:val="100"/>
          <w:position w:val="0"/>
        </w:rPr>
        <w:t>对取得的被购买方各项可辨认资产、负债及或有负债的公允价值以及合并成本的计量进行复核；</w:t>
      </w:r>
    </w:p>
    <w:p>
      <w:pPr>
        <w:pStyle w:val="Style10"/>
        <w:keepNext w:val="0"/>
        <w:keepLines w:val="0"/>
        <w:widowControl w:val="0"/>
        <w:numPr>
          <w:ilvl w:val="0"/>
          <w:numId w:val="45"/>
        </w:numPr>
        <w:shd w:val="clear" w:color="auto" w:fill="auto"/>
        <w:tabs>
          <w:tab w:pos="796" w:val="left"/>
        </w:tabs>
        <w:bidi w:val="0"/>
        <w:spacing w:before="0" w:after="460" w:line="466" w:lineRule="exact"/>
        <w:ind w:left="0" w:right="0" w:firstLine="440"/>
        <w:jc w:val="both"/>
      </w:pPr>
      <w:bookmarkStart w:id="757" w:name="bookmark757"/>
      <w:bookmarkEnd w:id="757"/>
      <w:r>
        <w:rPr>
          <w:color w:val="000000"/>
          <w:spacing w:val="0"/>
          <w:w w:val="100"/>
          <w:position w:val="0"/>
        </w:rPr>
        <w:t>经复核后合并成本仍小于合并中取得的被购买方可辨认净资产公允价值份额的，其差额应当计入 当期损益。</w:t>
      </w:r>
    </w:p>
    <w:p>
      <w:pPr>
        <w:pStyle w:val="Style29"/>
        <w:keepNext/>
        <w:keepLines/>
        <w:widowControl w:val="0"/>
        <w:shd w:val="clear" w:color="auto" w:fill="auto"/>
        <w:bidi w:val="0"/>
        <w:spacing w:before="0" w:after="0" w:line="492"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6</w:t>
      </w:r>
      <w:bookmarkEnd w:id="760"/>
      <w:r>
        <w:rPr>
          <w:color w:val="000000"/>
          <w:spacing w:val="0"/>
          <w:w w:val="100"/>
          <w:position w:val="0"/>
        </w:rPr>
        <w:t>、合并财务报表的编制方法</w:t>
      </w:r>
      <w:bookmarkEnd w:id="758"/>
      <w:bookmarkEnd w:id="759"/>
      <w:bookmarkEnd w:id="761"/>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合并财务报表的合并范围以控制为基础予以确定。控制，是指投资方拥有对被投资方的权力，通过参 与被投资方的相关活动而享有可变回报，并且有能力运用对被投资方的权力影响其回报金额。</w:t>
      </w:r>
    </w:p>
    <w:p>
      <w:pPr>
        <w:pStyle w:val="Style1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母公司应当将其全部子公司纳入合并财务报表的合并范围。子公司，是指被公司控制的主体(含企业、 被投资单位中可分割的部分，以及企业所控制的结构化主体等)。</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如果母公司是投资性主体，则母公司应当仅将为其投资活动提供相关服务的子公司(如有)纳入合并范 围并编制合并财务报表；其他子公司不应当予以合并，母公司对其他子公司的投资应当按照公允价值计量 且其变动计入当期损益。当母公司同时满足下列条件时，该母公司属于投资性主体：</w:t>
      </w:r>
    </w:p>
    <w:p>
      <w:pPr>
        <w:pStyle w:val="Style10"/>
        <w:keepNext w:val="0"/>
        <w:keepLines w:val="0"/>
        <w:widowControl w:val="0"/>
        <w:numPr>
          <w:ilvl w:val="0"/>
          <w:numId w:val="47"/>
        </w:numPr>
        <w:shd w:val="clear" w:color="auto" w:fill="auto"/>
        <w:tabs>
          <w:tab w:pos="837" w:val="left"/>
        </w:tabs>
        <w:bidi w:val="0"/>
        <w:spacing w:before="0" w:after="0" w:line="470" w:lineRule="exact"/>
        <w:ind w:left="0" w:right="0" w:firstLine="440"/>
        <w:jc w:val="both"/>
      </w:pPr>
      <w:bookmarkStart w:id="762" w:name="bookmark762"/>
      <w:bookmarkEnd w:id="762"/>
      <w:r>
        <w:rPr>
          <w:color w:val="000000"/>
          <w:spacing w:val="0"/>
          <w:w w:val="100"/>
          <w:position w:val="0"/>
        </w:rPr>
        <w:t>该母公司是以向投资者提供投资管理服务为目的，从一个或多个投资者处获取资金；</w:t>
      </w:r>
    </w:p>
    <w:p>
      <w:pPr>
        <w:pStyle w:val="Style10"/>
        <w:keepNext w:val="0"/>
        <w:keepLines w:val="0"/>
        <w:widowControl w:val="0"/>
        <w:numPr>
          <w:ilvl w:val="0"/>
          <w:numId w:val="47"/>
        </w:numPr>
        <w:shd w:val="clear" w:color="auto" w:fill="auto"/>
        <w:tabs>
          <w:tab w:pos="837" w:val="left"/>
        </w:tabs>
        <w:bidi w:val="0"/>
        <w:spacing w:before="0" w:after="0" w:line="470" w:lineRule="exact"/>
        <w:ind w:left="0" w:right="0" w:firstLine="440"/>
        <w:jc w:val="both"/>
      </w:pPr>
      <w:bookmarkStart w:id="763" w:name="bookmark763"/>
      <w:bookmarkEnd w:id="763"/>
      <w:r>
        <w:rPr>
          <w:color w:val="000000"/>
          <w:spacing w:val="0"/>
          <w:w w:val="100"/>
          <w:position w:val="0"/>
        </w:rPr>
        <w:t>该母公司的唯一经营目的，是通过资本增值、投资收益或两者兼有而让投资者获得回报；</w:t>
      </w:r>
    </w:p>
    <w:p>
      <w:pPr>
        <w:pStyle w:val="Style10"/>
        <w:keepNext w:val="0"/>
        <w:keepLines w:val="0"/>
        <w:widowControl w:val="0"/>
        <w:numPr>
          <w:ilvl w:val="0"/>
          <w:numId w:val="47"/>
        </w:numPr>
        <w:shd w:val="clear" w:color="auto" w:fill="auto"/>
        <w:tabs>
          <w:tab w:pos="837" w:val="left"/>
        </w:tabs>
        <w:bidi w:val="0"/>
        <w:spacing w:before="0" w:after="0" w:line="470" w:lineRule="exact"/>
        <w:ind w:left="0" w:right="0" w:firstLine="440"/>
        <w:jc w:val="both"/>
      </w:pPr>
      <w:bookmarkStart w:id="764" w:name="bookmark764"/>
      <w:bookmarkEnd w:id="764"/>
      <w:r>
        <w:rPr>
          <w:color w:val="000000"/>
          <w:spacing w:val="0"/>
          <w:w w:val="100"/>
          <w:position w:val="0"/>
        </w:rPr>
        <w:t>该母公司按照公允价值对几乎所有投资的业绩进行考量和评价。</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编制合并报表时，公司与被合并子公司采用的统一的会计政策和期间。合并财务报表以公司和子公司 的财务报表为基础，在抵销公司与子公司、子公司相互之间发生的内部交易对合并财务报表的影响后，由 公司合并编制。公司在报告期内因同一控制下企业合并增加的子公司，编制合并资产负债表时，调整合并 资产负债表的年初数。因非同一控制下企业合并增加的子公司，编制合并资产负债表时，不调整合并资产 负债表的年初数。公司在报告期内因同一控制下企业合并增加的子公司，将该子公司合并当期年初至报告 期末的收入、费用、利润及现金流量纳入合并利润表及现金流量表。因非同一控制下企业合并增加的子公 司，将该子公司购买日至报告期末的收入、费用、利润及现金流量纳入合并利润表及现金流量表。公司在 报告期内处置子公司，将该子公司年初至处置日的收入、费用、利润及现金流量纳入合并利润表及现金流 量表。</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母公司购买子公司少数股东拥有的子公司股权，在合并财务报表中，因购买少数股权新取得的长期股 权投资与按照新增持股比例计算应享有子公司自购买日或合并日开始持续计算的净资产份额之间的差额， 应当调整资本公积(资本溢价或股本溢价)，资本公积不足冲减的，调整留存收益。</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母公司在不丧失控制权的情况下部分处置对子公司的长期股权投资，在合并财务报表中，处置价款与 处置长期股权投资相对应享有子公司自购买日或合并日开始持续计算的净资产份额之间的差额，应当调整 资本公积(资本溢价或股本溢价)，资本公积不足冲减的，调整留存收益。</w:t>
      </w:r>
    </w:p>
    <w:p>
      <w:pPr>
        <w:pStyle w:val="Style10"/>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企业因处置部分股权投资等原因丧失了对被投资方的控制权的，在编制合并财务报表时，对于剩余股 权，应当按照其在丧失控制权日的公允价值进行重新计量。处置股权取得的对价与剩余股权公允价值之和， 减去按原持股比例计算应享有原有子公司自购买日或合并日开始持续计算的净资产的份额之间的差额，计 入丧失控制权当期的投资收益，同时冲减商誉。与原有子公司股权投资相关的其他综合收益等，应当在丧 失控制权时转为当期投资收益，由于被投资方重新计量设定受益计划净负债或净资产变动而产生的其他综 合收益除外。</w:t>
      </w:r>
    </w:p>
    <w:p>
      <w:pPr>
        <w:pStyle w:val="Style29"/>
        <w:keepNext/>
        <w:keepLines/>
        <w:widowControl w:val="0"/>
        <w:shd w:val="clear" w:color="auto" w:fill="auto"/>
        <w:tabs>
          <w:tab w:pos="363" w:val="left"/>
        </w:tabs>
        <w:bidi w:val="0"/>
        <w:spacing w:before="0" w:after="0" w:line="492"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7</w:t>
      </w:r>
      <w:bookmarkEnd w:id="767"/>
      <w:r>
        <w:rPr>
          <w:color w:val="000000"/>
          <w:spacing w:val="0"/>
          <w:w w:val="100"/>
          <w:position w:val="0"/>
        </w:rPr>
        <w:t>、</w:t>
        <w:tab/>
        <w:t>合营安排分类及共同经营会计处理方法</w:t>
      </w:r>
      <w:bookmarkEnd w:id="765"/>
      <w:bookmarkEnd w:id="766"/>
      <w:bookmarkEnd w:id="768"/>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合营安排分为共同经营和合营企业。</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共同经营，是指合营方享有该安排相关资产且承担该安排相关负债的合营安排。公司确认其与共同经 营中利益份额相关的下列项目，并按照相关企业会计准则的规定进行会计处理：</w:t>
      </w:r>
    </w:p>
    <w:p>
      <w:pPr>
        <w:pStyle w:val="Style10"/>
        <w:keepNext w:val="0"/>
        <w:keepLines w:val="0"/>
        <w:widowControl w:val="0"/>
        <w:numPr>
          <w:ilvl w:val="0"/>
          <w:numId w:val="49"/>
        </w:numPr>
        <w:shd w:val="clear" w:color="auto" w:fill="auto"/>
        <w:tabs>
          <w:tab w:pos="870" w:val="left"/>
        </w:tabs>
        <w:bidi w:val="0"/>
        <w:spacing w:before="0" w:after="0" w:line="470" w:lineRule="exact"/>
        <w:ind w:left="0" w:right="0" w:firstLine="440"/>
        <w:jc w:val="both"/>
      </w:pPr>
      <w:bookmarkStart w:id="769" w:name="bookmark769"/>
      <w:bookmarkEnd w:id="769"/>
      <w:r>
        <w:rPr>
          <w:color w:val="000000"/>
          <w:spacing w:val="0"/>
          <w:w w:val="100"/>
          <w:position w:val="0"/>
        </w:rPr>
        <w:t>确认单独所持有的资产，以及按其份额确认共同持有的资产；</w:t>
      </w:r>
    </w:p>
    <w:p>
      <w:pPr>
        <w:pStyle w:val="Style10"/>
        <w:keepNext w:val="0"/>
        <w:keepLines w:val="0"/>
        <w:widowControl w:val="0"/>
        <w:numPr>
          <w:ilvl w:val="0"/>
          <w:numId w:val="49"/>
        </w:numPr>
        <w:shd w:val="clear" w:color="auto" w:fill="auto"/>
        <w:tabs>
          <w:tab w:pos="870" w:val="left"/>
        </w:tabs>
        <w:bidi w:val="0"/>
        <w:spacing w:before="0" w:after="0" w:line="470" w:lineRule="exact"/>
        <w:ind w:left="0" w:right="0" w:firstLine="440"/>
        <w:jc w:val="both"/>
      </w:pPr>
      <w:bookmarkStart w:id="770" w:name="bookmark770"/>
      <w:bookmarkEnd w:id="770"/>
      <w:r>
        <w:rPr>
          <w:color w:val="000000"/>
          <w:spacing w:val="0"/>
          <w:w w:val="100"/>
          <w:position w:val="0"/>
        </w:rPr>
        <w:t>确认单独所承担的负债，以及按其份额确认共同承担的负债；</w:t>
      </w:r>
    </w:p>
    <w:p>
      <w:pPr>
        <w:pStyle w:val="Style10"/>
        <w:keepNext w:val="0"/>
        <w:keepLines w:val="0"/>
        <w:widowControl w:val="0"/>
        <w:numPr>
          <w:ilvl w:val="0"/>
          <w:numId w:val="49"/>
        </w:numPr>
        <w:shd w:val="clear" w:color="auto" w:fill="auto"/>
        <w:tabs>
          <w:tab w:pos="870" w:val="left"/>
        </w:tabs>
        <w:bidi w:val="0"/>
        <w:spacing w:before="0" w:after="0" w:line="470" w:lineRule="exact"/>
        <w:ind w:left="0" w:right="0" w:firstLine="440"/>
        <w:jc w:val="both"/>
      </w:pPr>
      <w:bookmarkStart w:id="771" w:name="bookmark771"/>
      <w:bookmarkEnd w:id="771"/>
      <w:r>
        <w:rPr>
          <w:color w:val="000000"/>
          <w:spacing w:val="0"/>
          <w:w w:val="100"/>
          <w:position w:val="0"/>
        </w:rPr>
        <w:t>确认出售其享有的共同经营产出份额所产生的收入；</w:t>
      </w:r>
    </w:p>
    <w:p>
      <w:pPr>
        <w:pStyle w:val="Style10"/>
        <w:keepNext w:val="0"/>
        <w:keepLines w:val="0"/>
        <w:widowControl w:val="0"/>
        <w:numPr>
          <w:ilvl w:val="0"/>
          <w:numId w:val="49"/>
        </w:numPr>
        <w:shd w:val="clear" w:color="auto" w:fill="auto"/>
        <w:tabs>
          <w:tab w:pos="870" w:val="left"/>
        </w:tabs>
        <w:bidi w:val="0"/>
        <w:spacing w:before="0" w:after="0" w:line="470" w:lineRule="exact"/>
        <w:ind w:left="0" w:right="0" w:firstLine="440"/>
        <w:jc w:val="both"/>
      </w:pPr>
      <w:bookmarkStart w:id="772" w:name="bookmark772"/>
      <w:bookmarkEnd w:id="772"/>
      <w:r>
        <w:rPr>
          <w:color w:val="000000"/>
          <w:spacing w:val="0"/>
          <w:w w:val="100"/>
          <w:position w:val="0"/>
        </w:rPr>
        <w:t>按其份额确认共同经营因出售产出所产生的收入；</w:t>
      </w:r>
    </w:p>
    <w:p>
      <w:pPr>
        <w:pStyle w:val="Style10"/>
        <w:keepNext w:val="0"/>
        <w:keepLines w:val="0"/>
        <w:widowControl w:val="0"/>
        <w:numPr>
          <w:ilvl w:val="0"/>
          <w:numId w:val="49"/>
        </w:numPr>
        <w:shd w:val="clear" w:color="auto" w:fill="auto"/>
        <w:tabs>
          <w:tab w:pos="870" w:val="left"/>
        </w:tabs>
        <w:bidi w:val="0"/>
        <w:spacing w:before="0" w:after="0" w:line="470" w:lineRule="exact"/>
        <w:ind w:left="0" w:right="0" w:firstLine="440"/>
        <w:jc w:val="both"/>
      </w:pPr>
      <w:bookmarkStart w:id="773" w:name="bookmark773"/>
      <w:bookmarkEnd w:id="773"/>
      <w:r>
        <w:rPr>
          <w:color w:val="000000"/>
          <w:spacing w:val="0"/>
          <w:w w:val="100"/>
          <w:position w:val="0"/>
        </w:rPr>
        <w:t>确认单独所发生的费用，以及按其份额确认共同经营发生的费用。</w:t>
      </w:r>
    </w:p>
    <w:p>
      <w:pPr>
        <w:pStyle w:val="Style10"/>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合营企业，是指合营方仅对该安排的净资产享有权利的合营安排。公司按照权益法对合营企业的投资 进行会计处理。</w:t>
      </w:r>
    </w:p>
    <w:p>
      <w:pPr>
        <w:pStyle w:val="Style29"/>
        <w:keepNext/>
        <w:keepLines/>
        <w:widowControl w:val="0"/>
        <w:shd w:val="clear" w:color="auto" w:fill="auto"/>
        <w:tabs>
          <w:tab w:pos="368" w:val="left"/>
        </w:tabs>
        <w:bidi w:val="0"/>
        <w:spacing w:before="0" w:after="0" w:line="492"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8</w:t>
      </w:r>
      <w:bookmarkEnd w:id="776"/>
      <w:r>
        <w:rPr>
          <w:color w:val="000000"/>
          <w:spacing w:val="0"/>
          <w:w w:val="100"/>
          <w:position w:val="0"/>
        </w:rPr>
        <w:t>、</w:t>
        <w:tab/>
        <w:t>现金及现金等价物的确定标准</w:t>
      </w:r>
      <w:bookmarkEnd w:id="774"/>
      <w:bookmarkEnd w:id="775"/>
      <w:bookmarkEnd w:id="777"/>
    </w:p>
    <w:p>
      <w:pPr>
        <w:pStyle w:val="Style10"/>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现金是指库存现金以及可以随时用于支付的存款。现金等价物，是指公司持有的期限短(一般指从购 买日起三个月内到期)、流动性强、易于转换为已知金额现金、价值变动风险很小的投资。</w:t>
      </w:r>
    </w:p>
    <w:p>
      <w:pPr>
        <w:pStyle w:val="Style29"/>
        <w:keepNext/>
        <w:keepLines/>
        <w:widowControl w:val="0"/>
        <w:shd w:val="clear" w:color="auto" w:fill="auto"/>
        <w:tabs>
          <w:tab w:pos="368" w:val="left"/>
        </w:tabs>
        <w:bidi w:val="0"/>
        <w:spacing w:before="0" w:after="0" w:line="492"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9</w:t>
      </w:r>
      <w:bookmarkEnd w:id="780"/>
      <w:r>
        <w:rPr>
          <w:color w:val="000000"/>
          <w:spacing w:val="0"/>
          <w:w w:val="100"/>
          <w:position w:val="0"/>
        </w:rPr>
        <w:t>、</w:t>
        <w:tab/>
        <w:t>外币业务和外币报表折算</w:t>
      </w:r>
      <w:bookmarkEnd w:id="778"/>
      <w:bookmarkEnd w:id="779"/>
      <w:bookmarkEnd w:id="781"/>
    </w:p>
    <w:p>
      <w:pPr>
        <w:pStyle w:val="Style10"/>
        <w:keepNext w:val="0"/>
        <w:keepLines w:val="0"/>
        <w:widowControl w:val="0"/>
        <w:numPr>
          <w:ilvl w:val="0"/>
          <w:numId w:val="51"/>
        </w:numPr>
        <w:shd w:val="clear" w:color="auto" w:fill="auto"/>
        <w:bidi w:val="0"/>
        <w:spacing w:before="0" w:after="0" w:line="470" w:lineRule="exact"/>
        <w:ind w:left="0" w:right="0" w:firstLine="440"/>
        <w:jc w:val="both"/>
      </w:pPr>
      <w:bookmarkStart w:id="782" w:name="bookmark782"/>
      <w:bookmarkEnd w:id="782"/>
      <w:r>
        <w:rPr>
          <w:color w:val="000000"/>
          <w:spacing w:val="0"/>
          <w:w w:val="100"/>
          <w:position w:val="0"/>
        </w:rPr>
        <w:t>外币交易在初始确认时，采用交易发生当日中国人民银行公布的人民币外汇牌价中间价将外币金 额折算为人民币金额。</w:t>
      </w:r>
    </w:p>
    <w:p>
      <w:pPr>
        <w:pStyle w:val="Style10"/>
        <w:keepNext w:val="0"/>
        <w:keepLines w:val="0"/>
        <w:widowControl w:val="0"/>
        <w:numPr>
          <w:ilvl w:val="0"/>
          <w:numId w:val="51"/>
        </w:numPr>
        <w:shd w:val="clear" w:color="auto" w:fill="auto"/>
        <w:tabs>
          <w:tab w:pos="870" w:val="left"/>
        </w:tabs>
        <w:bidi w:val="0"/>
        <w:spacing w:before="0" w:after="0" w:line="470" w:lineRule="exact"/>
        <w:ind w:left="0" w:right="0" w:firstLine="440"/>
        <w:jc w:val="both"/>
      </w:pPr>
      <w:bookmarkStart w:id="783" w:name="bookmark783"/>
      <w:bookmarkEnd w:id="783"/>
      <w:r>
        <w:rPr>
          <w:color w:val="000000"/>
          <w:spacing w:val="0"/>
          <w:w w:val="100"/>
          <w:position w:val="0"/>
        </w:rPr>
        <w:t>于资产负债表日，按照下列方法对外币货币性项目和外币非货币性项目进行处理：</w:t>
      </w:r>
    </w:p>
    <w:p>
      <w:pPr>
        <w:pStyle w:val="Style10"/>
        <w:keepNext w:val="0"/>
        <w:keepLines w:val="0"/>
        <w:widowControl w:val="0"/>
        <w:numPr>
          <w:ilvl w:val="0"/>
          <w:numId w:val="53"/>
        </w:numPr>
        <w:shd w:val="clear" w:color="auto" w:fill="auto"/>
        <w:tabs>
          <w:tab w:pos="814" w:val="left"/>
        </w:tabs>
        <w:bidi w:val="0"/>
        <w:spacing w:before="0" w:after="0" w:line="461" w:lineRule="exact"/>
        <w:ind w:left="0" w:right="0" w:firstLine="440"/>
        <w:jc w:val="left"/>
      </w:pPr>
      <w:bookmarkStart w:id="784" w:name="bookmark784"/>
      <w:bookmarkEnd w:id="784"/>
      <w:r>
        <w:rPr>
          <w:color w:val="000000"/>
          <w:spacing w:val="0"/>
          <w:w w:val="100"/>
          <w:position w:val="0"/>
        </w:rPr>
        <w:t>外币货币性项目，采用资产负债表日中国人民银行公布的人民币外汇牌价中间价折算。因资产负 债表日即期汇率与初始确认时或者前一资产负债表日即期汇率不同而产生的汇兑差额，计入当期损益。</w:t>
      </w:r>
    </w:p>
    <w:p>
      <w:pPr>
        <w:pStyle w:val="Style10"/>
        <w:keepNext w:val="0"/>
        <w:keepLines w:val="0"/>
        <w:widowControl w:val="0"/>
        <w:numPr>
          <w:ilvl w:val="0"/>
          <w:numId w:val="53"/>
        </w:numPr>
        <w:shd w:val="clear" w:color="auto" w:fill="auto"/>
        <w:tabs>
          <w:tab w:pos="814" w:val="left"/>
        </w:tabs>
        <w:bidi w:val="0"/>
        <w:spacing w:before="0" w:after="0" w:line="467" w:lineRule="exact"/>
        <w:ind w:left="0" w:right="0" w:firstLine="440"/>
        <w:jc w:val="left"/>
      </w:pPr>
      <w:bookmarkStart w:id="785" w:name="bookmark785"/>
      <w:bookmarkEnd w:id="785"/>
      <w:r>
        <w:rPr>
          <w:color w:val="000000"/>
          <w:spacing w:val="0"/>
          <w:w w:val="100"/>
          <w:position w:val="0"/>
        </w:rPr>
        <w:t>以历史成本计量的外币非货币性项目，仍采用交易发生日的即期汇率折算，不改变其记账本位币 金额；以公允价值计量的外币非货币性项目，采用公允价值确定日的即期汇率折算，折算后的记账本位币 金额与原记账本位币金额的差额，作为公允价值变动(含汇率变动)处理，并根据非货币性项目的性质计入 当期损益或其他综合收益。</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货币性项目，是指公司持有的货币资金和将以固定或可确定的金额收取的资产或者偿付的负债。</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非货币性项目，是指货币性项目以外的项目。</w:t>
      </w:r>
    </w:p>
    <w:p>
      <w:pPr>
        <w:pStyle w:val="Style10"/>
        <w:keepNext w:val="0"/>
        <w:keepLines w:val="0"/>
        <w:widowControl w:val="0"/>
        <w:numPr>
          <w:ilvl w:val="0"/>
          <w:numId w:val="51"/>
        </w:numPr>
        <w:shd w:val="clear" w:color="auto" w:fill="auto"/>
        <w:tabs>
          <w:tab w:pos="870" w:val="left"/>
        </w:tabs>
        <w:bidi w:val="0"/>
        <w:spacing w:before="0" w:after="0" w:line="470" w:lineRule="exact"/>
        <w:ind w:left="0" w:right="0" w:firstLine="440"/>
        <w:jc w:val="both"/>
      </w:pPr>
      <w:bookmarkStart w:id="786" w:name="bookmark786"/>
      <w:bookmarkEnd w:id="786"/>
      <w:r>
        <w:rPr>
          <w:color w:val="000000"/>
          <w:spacing w:val="0"/>
          <w:w w:val="100"/>
          <w:position w:val="0"/>
        </w:rPr>
        <w:t>境外经营实体的外币财务报表的折算方法：</w:t>
      </w:r>
    </w:p>
    <w:p>
      <w:pPr>
        <w:pStyle w:val="Style10"/>
        <w:keepNext w:val="0"/>
        <w:keepLines w:val="0"/>
        <w:widowControl w:val="0"/>
        <w:numPr>
          <w:ilvl w:val="0"/>
          <w:numId w:val="55"/>
        </w:numPr>
        <w:shd w:val="clear" w:color="auto" w:fill="auto"/>
        <w:tabs>
          <w:tab w:pos="814" w:val="left"/>
        </w:tabs>
        <w:bidi w:val="0"/>
        <w:spacing w:before="0" w:after="0" w:line="466" w:lineRule="exact"/>
        <w:ind w:left="0" w:right="0" w:firstLine="440"/>
        <w:jc w:val="both"/>
      </w:pPr>
      <w:bookmarkStart w:id="787" w:name="bookmark787"/>
      <w:bookmarkEnd w:id="787"/>
      <w:r>
        <w:rPr>
          <w:color w:val="000000"/>
          <w:spacing w:val="0"/>
          <w:w w:val="100"/>
          <w:position w:val="0"/>
        </w:rPr>
        <w:t>资产负债表中的资产和负债项目，采用资产负债表日的即期汇率折算，所有者权益项目除“未分 配利润”项目外，其他项目采用发生时的即期汇率折算；</w:t>
      </w:r>
    </w:p>
    <w:p>
      <w:pPr>
        <w:pStyle w:val="Style10"/>
        <w:keepNext w:val="0"/>
        <w:keepLines w:val="0"/>
        <w:widowControl w:val="0"/>
        <w:numPr>
          <w:ilvl w:val="0"/>
          <w:numId w:val="55"/>
        </w:numPr>
        <w:shd w:val="clear" w:color="auto" w:fill="auto"/>
        <w:tabs>
          <w:tab w:pos="800" w:val="left"/>
        </w:tabs>
        <w:bidi w:val="0"/>
        <w:spacing w:before="0" w:after="0" w:line="475" w:lineRule="exact"/>
        <w:ind w:left="0" w:right="0" w:firstLine="440"/>
        <w:jc w:val="both"/>
      </w:pPr>
      <w:bookmarkStart w:id="788" w:name="bookmark788"/>
      <w:bookmarkEnd w:id="788"/>
      <w:r>
        <w:rPr>
          <w:color w:val="000000"/>
          <w:spacing w:val="0"/>
          <w:w w:val="100"/>
          <w:position w:val="0"/>
        </w:rPr>
        <w:t>利润表中的收入和费用项目，采用交易发生日的即期汇率折算(或采用按照系统合理的方法确定 的、与交易发生日即期汇率近似的汇率折算)；</w:t>
      </w:r>
    </w:p>
    <w:p>
      <w:pPr>
        <w:pStyle w:val="Style10"/>
        <w:keepNext w:val="0"/>
        <w:keepLines w:val="0"/>
        <w:widowControl w:val="0"/>
        <w:numPr>
          <w:ilvl w:val="0"/>
          <w:numId w:val="55"/>
        </w:numPr>
        <w:shd w:val="clear" w:color="auto" w:fill="auto"/>
        <w:tabs>
          <w:tab w:pos="837" w:val="left"/>
        </w:tabs>
        <w:bidi w:val="0"/>
        <w:spacing w:before="0" w:after="0" w:line="470" w:lineRule="exact"/>
        <w:ind w:left="0" w:right="0" w:firstLine="440"/>
        <w:jc w:val="both"/>
      </w:pPr>
      <w:bookmarkStart w:id="789" w:name="bookmark789"/>
      <w:bookmarkEnd w:id="789"/>
      <w:r>
        <w:rPr>
          <w:color w:val="000000"/>
          <w:spacing w:val="0"/>
          <w:w w:val="100"/>
          <w:position w:val="0"/>
        </w:rPr>
        <w:t>按照上述①、②折算产生的外币财务报表折算差额，在资产负债表中所有者权益项目下单独列示。</w:t>
      </w:r>
    </w:p>
    <w:p>
      <w:pPr>
        <w:pStyle w:val="Style10"/>
        <w:keepNext w:val="0"/>
        <w:keepLines w:val="0"/>
        <w:widowControl w:val="0"/>
        <w:numPr>
          <w:ilvl w:val="0"/>
          <w:numId w:val="51"/>
        </w:numPr>
        <w:shd w:val="clear" w:color="auto" w:fill="auto"/>
        <w:tabs>
          <w:tab w:pos="870" w:val="left"/>
        </w:tabs>
        <w:bidi w:val="0"/>
        <w:spacing w:before="0" w:after="0" w:line="470" w:lineRule="exact"/>
        <w:ind w:left="0" w:right="0" w:firstLine="440"/>
        <w:jc w:val="both"/>
      </w:pPr>
      <w:bookmarkStart w:id="790" w:name="bookmark790"/>
      <w:bookmarkEnd w:id="790"/>
      <w:r>
        <w:rPr>
          <w:color w:val="000000"/>
          <w:spacing w:val="0"/>
          <w:w w:val="100"/>
          <w:position w:val="0"/>
        </w:rPr>
        <w:t>公司对处于恶性通货膨胀经济中的境外经营的财务报表，按照下列方法进行折算：</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对资产负债表项目运用一般物价指数予以重述，对利润表项目运用一般物价指数变动予以重述，再按 照最近资产负债表日的即期汇率进行折算。</w:t>
      </w:r>
    </w:p>
    <w:p>
      <w:pPr>
        <w:pStyle w:val="Style10"/>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在境外经营不再处于恶性通货膨胀经济中时，停止重述，按照停止之日的价格水平重述的财务报表进 行折算。</w:t>
      </w:r>
    </w:p>
    <w:p>
      <w:pPr>
        <w:pStyle w:val="Style10"/>
        <w:keepNext w:val="0"/>
        <w:keepLines w:val="0"/>
        <w:widowControl w:val="0"/>
        <w:numPr>
          <w:ilvl w:val="0"/>
          <w:numId w:val="51"/>
        </w:numPr>
        <w:shd w:val="clear" w:color="auto" w:fill="auto"/>
        <w:tabs>
          <w:tab w:pos="886" w:val="left"/>
        </w:tabs>
        <w:bidi w:val="0"/>
        <w:spacing w:before="0" w:after="200" w:line="473" w:lineRule="exact"/>
        <w:ind w:left="0" w:right="0" w:firstLine="440"/>
        <w:jc w:val="both"/>
      </w:pPr>
      <w:bookmarkStart w:id="791" w:name="bookmark791"/>
      <w:bookmarkEnd w:id="791"/>
      <w:r>
        <w:rPr>
          <w:color w:val="000000"/>
          <w:spacing w:val="0"/>
          <w:w w:val="100"/>
          <w:position w:val="0"/>
        </w:rPr>
        <w:t>公司在处置境外经营时，将资产负债表中所有者权益项目下列示的、与该境外经营相关的外币财 务报表折算差额，自所有者权益项目转入处置当期损益；部分处置境外经营的，按处置的比例计算处置部 分的外币财务报表折算差额，转入处置当期损益。</w:t>
      </w:r>
    </w:p>
    <w:p>
      <w:pPr>
        <w:pStyle w:val="Style29"/>
        <w:keepNext/>
        <w:keepLines/>
        <w:widowControl w:val="0"/>
        <w:shd w:val="clear" w:color="auto" w:fill="auto"/>
        <w:bidi w:val="0"/>
        <w:spacing w:before="0" w:after="200" w:line="470" w:lineRule="exact"/>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92"/>
      <w:bookmarkEnd w:id="793"/>
      <w:bookmarkEnd w:id="795"/>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金融工具，是指形成一方的金融资产并形成其他方的金融负债或权益工具的合同。当公司成为金融工 具合同的一方时，确认相关的金融资产或金融负债。</w:t>
      </w:r>
    </w:p>
    <w:p>
      <w:pPr>
        <w:pStyle w:val="Style10"/>
        <w:keepNext w:val="0"/>
        <w:keepLines w:val="0"/>
        <w:widowControl w:val="0"/>
        <w:numPr>
          <w:ilvl w:val="0"/>
          <w:numId w:val="57"/>
        </w:numPr>
        <w:shd w:val="clear" w:color="auto" w:fill="auto"/>
        <w:bidi w:val="0"/>
        <w:spacing w:before="0" w:after="0" w:line="470" w:lineRule="exact"/>
        <w:ind w:left="0" w:right="0" w:firstLine="440"/>
        <w:jc w:val="both"/>
      </w:pPr>
      <w:bookmarkStart w:id="796" w:name="bookmark796"/>
      <w:bookmarkEnd w:id="796"/>
      <w:r>
        <w:rPr>
          <w:color w:val="000000"/>
          <w:spacing w:val="0"/>
          <w:w w:val="100"/>
          <w:position w:val="0"/>
        </w:rPr>
        <w:t>金融资产</w:t>
      </w:r>
    </w:p>
    <w:p>
      <w:pPr>
        <w:pStyle w:val="Style10"/>
        <w:keepNext w:val="0"/>
        <w:keepLines w:val="0"/>
        <w:widowControl w:val="0"/>
        <w:numPr>
          <w:ilvl w:val="0"/>
          <w:numId w:val="59"/>
        </w:numPr>
        <w:shd w:val="clear" w:color="auto" w:fill="auto"/>
        <w:bidi w:val="0"/>
        <w:spacing w:before="0" w:after="0" w:line="469" w:lineRule="exact"/>
        <w:ind w:left="0" w:right="0" w:firstLine="440"/>
        <w:jc w:val="both"/>
      </w:pPr>
      <w:bookmarkStart w:id="797" w:name="bookmark797"/>
      <w:bookmarkEnd w:id="797"/>
      <w:r>
        <w:rPr>
          <w:color w:val="000000"/>
          <w:spacing w:val="0"/>
          <w:w w:val="100"/>
          <w:position w:val="0"/>
        </w:rPr>
        <w:t>分类和初始计量</w:t>
      </w:r>
    </w:p>
    <w:p>
      <w:pPr>
        <w:pStyle w:val="Style1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公司根据管理金融资产的业务模式和金融资产的合同现金流量特征，将金融资产划分为：</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以摊余成本计量的金融资产；</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以公允价值计量且其变动计入其他综合收益的金融资产；</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以公允价值计量且其变动计入当期损益的金融资产。</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金融资产在初始确认时以公允价值计量。对于以公允价值计量且其变动计入当期损益的金融资产，相 关交易费用直接计入当期损益；对于其他类别的金融资产，相关交易费用计入初始确认金额。因销售产品 或提供劳务而产生的、未包含或不考虑重大融资成分的应收账款或应收票据，公司按照预期有权收取的对 价金额作为初始确认金额。</w:t>
      </w:r>
    </w:p>
    <w:p>
      <w:pPr>
        <w:pStyle w:val="Style10"/>
        <w:keepNext w:val="0"/>
        <w:keepLines w:val="0"/>
        <w:widowControl w:val="0"/>
        <w:shd w:val="clear" w:color="auto" w:fill="auto"/>
        <w:bidi w:val="0"/>
        <w:spacing w:before="0" w:after="0" w:line="469" w:lineRule="exact"/>
        <w:ind w:left="0" w:right="0" w:firstLine="440"/>
        <w:jc w:val="both"/>
      </w:pPr>
      <w:bookmarkStart w:id="798" w:name="bookmark798"/>
      <w:r>
        <w:rPr>
          <w:color w:val="000000"/>
          <w:spacing w:val="0"/>
          <w:w w:val="100"/>
          <w:position w:val="0"/>
        </w:rPr>
        <w:t>1</w:t>
      </w:r>
      <w:bookmarkEnd w:id="798"/>
      <w:r>
        <w:rPr>
          <w:color w:val="000000"/>
          <w:spacing w:val="0"/>
          <w:w w:val="100"/>
          <w:position w:val="0"/>
        </w:rPr>
        <w:t>）</w:t>
      </w:r>
      <w:r>
        <w:rPr>
          <w:color w:val="000000"/>
          <w:spacing w:val="0"/>
          <w:w w:val="100"/>
          <w:position w:val="0"/>
        </w:rPr>
        <w:t>债务工具</w:t>
      </w:r>
    </w:p>
    <w:p>
      <w:pPr>
        <w:pStyle w:val="Style10"/>
        <w:keepNext w:val="0"/>
        <w:keepLines w:val="0"/>
        <w:widowControl w:val="0"/>
        <w:shd w:val="clear" w:color="auto" w:fill="auto"/>
        <w:bidi w:val="0"/>
        <w:spacing w:before="0" w:after="0" w:line="456" w:lineRule="exact"/>
        <w:ind w:left="0" w:right="0" w:firstLine="440"/>
        <w:jc w:val="both"/>
      </w:pPr>
      <w:r>
        <w:rPr>
          <w:color w:val="000000"/>
          <w:spacing w:val="0"/>
          <w:w w:val="100"/>
          <w:position w:val="0"/>
        </w:rPr>
        <w:t>公司持有的债务工具是指从发行方角度分析符合金融负债定义的工具，分别采用以下三种方式进行计 量：</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&lt;1&gt;</w:t>
      </w:r>
      <w:r>
        <w:rPr>
          <w:color w:val="000000"/>
          <w:spacing w:val="0"/>
          <w:w w:val="100"/>
          <w:position w:val="0"/>
        </w:rPr>
        <w:t>以摊余成本计量：</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公司管理此类金融资产的业务模式为以收取合同现金流量为目标，且此类金融资产的合同现金流量特 征与基本借贷安排相一致，即在特定日期产生的现金流量，仅为对本金和以未偿付本金金额为基础的利息 的支付。公司对于此类金融资产按照实际利率法确认利息收入。此类金融资产主要包括货币资金、应收票 据及应收账款、合同资产、其他应收款、债权投资、租赁应收款和长期应收款等。公司将自资产负债表日 起一年内（含一年）到期的债权投资和长期应收款，列示为一年内到期的非流动资产；取得时期限在一年内 （含一年）的债权投资列示为其他流动资产。</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&lt;2&gt;</w:t>
      </w:r>
      <w:r>
        <w:rPr>
          <w:color w:val="000000"/>
          <w:spacing w:val="0"/>
          <w:w w:val="100"/>
          <w:position w:val="0"/>
        </w:rPr>
        <w:t>以公允价值计量且其变动计入其他综合收益：</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公司管理此类金融资产的业务模式为既以收取合同现金流量为目标又以出售为目标，且此类金融资产 的合同现金流量特征与基本借贷安排相一致。此类金融资产按照公允价值计量且其变动计入其他综合收 益，但减值损失或利得、汇兑损益和按照实际利率法计算的利息收入计入当期损益。此类金融资产列示为 其他债权投资，自资产负债表日起一年内（含一年）到期的其他债权投资，列示为一年内到期的非流动资产; 取得时期限在一年内（含一年）的其他债权投资列示为其他流动资产。</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&lt;3&gt;</w:t>
      </w:r>
      <w:r>
        <w:rPr>
          <w:color w:val="000000"/>
          <w:spacing w:val="0"/>
          <w:w w:val="100"/>
          <w:position w:val="0"/>
        </w:rPr>
        <w:t>以公允价值计量且其变动计入当期损益：</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公司将持有的未划分为以摊余成本计量和以公允价值计量且其变动计入其他综合收益的债务工具，以 公允价值计量且其变动计入当期损益，列示为交易性金融资产。在初始确认时，公司为了消除或显著减少 </w:t>
      </w:r>
      <w:r>
        <w:rPr>
          <w:color w:val="000000"/>
          <w:spacing w:val="0"/>
          <w:w w:val="100"/>
          <w:position w:val="0"/>
        </w:rPr>
        <w:t>会计错配，将部分金融资产指定为以公允价值计量且其变动计入当期损益的金融资产。自资产负债表日起 超过一年到期且预期持有超过一年的，列示为其他非流动金融资产。</w:t>
      </w:r>
    </w:p>
    <w:p>
      <w:pPr>
        <w:pStyle w:val="Style10"/>
        <w:keepNext w:val="0"/>
        <w:keepLines w:val="0"/>
        <w:widowControl w:val="0"/>
        <w:shd w:val="clear" w:color="auto" w:fill="auto"/>
        <w:bidi w:val="0"/>
        <w:spacing w:before="0" w:after="0" w:line="469" w:lineRule="exact"/>
        <w:ind w:left="0" w:right="0" w:firstLine="440"/>
        <w:jc w:val="both"/>
      </w:pPr>
      <w:bookmarkStart w:id="799" w:name="bookmark799"/>
      <w:r>
        <w:rPr>
          <w:color w:val="000000"/>
          <w:spacing w:val="0"/>
          <w:w w:val="100"/>
          <w:position w:val="0"/>
        </w:rPr>
        <w:t>2</w:t>
      </w:r>
      <w:bookmarkEnd w:id="799"/>
      <w:r>
        <w:rPr>
          <w:color w:val="000000"/>
          <w:spacing w:val="0"/>
          <w:w w:val="100"/>
          <w:position w:val="0"/>
        </w:rPr>
        <w:t>）</w:t>
      </w:r>
      <w:r>
        <w:rPr>
          <w:color w:val="000000"/>
          <w:spacing w:val="0"/>
          <w:w w:val="100"/>
          <w:position w:val="0"/>
        </w:rPr>
        <w:t>权益工具</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公司将对其没有控制、共同控制和重大影响的权益工具投资按照公允价值计量且其变动计入当期损 益，列示为交易性金融资产；自资产负债表日起预期持有超过一年的，列示为其他非流动金融资产。</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此外，公司将部分非交易性权益工具投资指定为以公允价值计量且其变动计入其他综合收益的金融资 产，列示为其他权益工具投资。该类金融资产的相关股利收入计入当期损益。该指定一经做出，不得撤销。 本公司在非同一控制下的企业合并中确认的或有对价构成金融资产的，该金融资产分类为以公允价值计量 且其变动计入当期损益的金融资产。</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对于非交易性权益工具投资，公司可在初始确认时将其不可撤销地指定为以公允价值计量且其变动计 入其他综合收益的金融资产。该指定在单项投资的基础上作出，且相关投资从发行者的角度符合权益工具 的定义。</w:t>
      </w:r>
    </w:p>
    <w:p>
      <w:pPr>
        <w:pStyle w:val="Style10"/>
        <w:keepNext w:val="0"/>
        <w:keepLines w:val="0"/>
        <w:widowControl w:val="0"/>
        <w:numPr>
          <w:ilvl w:val="0"/>
          <w:numId w:val="59"/>
        </w:numPr>
        <w:shd w:val="clear" w:color="auto" w:fill="auto"/>
        <w:bidi w:val="0"/>
        <w:spacing w:before="0" w:after="0" w:line="469" w:lineRule="exact"/>
        <w:ind w:left="0" w:right="0" w:firstLine="440"/>
        <w:jc w:val="both"/>
      </w:pPr>
      <w:bookmarkStart w:id="800" w:name="bookmark800"/>
      <w:bookmarkEnd w:id="800"/>
      <w:r>
        <w:rPr>
          <w:color w:val="000000"/>
          <w:spacing w:val="0"/>
          <w:w w:val="100"/>
          <w:position w:val="0"/>
        </w:rPr>
        <w:t>减值</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公司对于以摊余成本计量的金融资产、以公允价值计量且其变动计入其他综合收益的债务工具投资、 租赁应收款、合同资产和财务担保合同等，以预期信用损失为基础确认损失准备。公司考虑有关过去事项、 当前状况以及对未来经济状况的预测等合理且有依据的信息，以发生违约的风险为权重，计算合同应收的 现金流量与预期能收到的现金流量之间差额的现值的概率加权金额，确认预期信用损失。</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于每个资产负债表日，公司对于处于不同阶段的金融工具的预期信用损失分别进行计量。金融工具自 初始确认后信用风险未显著增加的，处于第一阶段，公司按照未来</w:t>
      </w:r>
      <w:r>
        <w:rPr>
          <w:color w:val="000000"/>
          <w:spacing w:val="0"/>
          <w:w w:val="100"/>
          <w:position w:val="0"/>
        </w:rPr>
        <w:t>12</w:t>
      </w:r>
      <w:r>
        <w:rPr>
          <w:color w:val="000000"/>
          <w:spacing w:val="0"/>
          <w:w w:val="100"/>
          <w:position w:val="0"/>
        </w:rPr>
        <w:t>个月内的预期信用损失计量损失准 备；金融工具自初始确认后信用风险已显著增加但尚未发生信用减值的，处于第二阶段，公司按照该工具 整个存续期的预期信用损失计量损失准备；金融工具自初始确认后已经发生信用减值的，处于第三阶段， 公司按照该工具整个存续期的预期信用损失计量损失准备。</w:t>
      </w:r>
    </w:p>
    <w:p>
      <w:pPr>
        <w:pStyle w:val="Style10"/>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对于在资产负债表日具有较低信用风险的金融工具，公司假设其信用风险自初始确认后并未显著增 加，按照未来</w:t>
      </w:r>
      <w:r>
        <w:rPr>
          <w:color w:val="000000"/>
          <w:spacing w:val="0"/>
          <w:w w:val="100"/>
          <w:position w:val="0"/>
        </w:rPr>
        <w:t>12</w:t>
      </w:r>
      <w:r>
        <w:rPr>
          <w:color w:val="000000"/>
          <w:spacing w:val="0"/>
          <w:w w:val="100"/>
          <w:position w:val="0"/>
        </w:rPr>
        <w:t>个月内的预期信用损失计量损失准备。</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公司对于处于第一阶段和第二阶段、以及较低信用风险的金融工具，按照其未扣除减值准备的账面余 额和实际利率计算利息收入。对于处于第三阶段的金融工具，按照其账面余额减己计提减值准备后的摊余 成本和实际利率计算利息收入。</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对于应收票据及应收账款、租赁应收款和合同资产，无论是否存在重大融资成分，公司均可以按照整 个存续期的预期信用损失计量损失准备。</w:t>
      </w:r>
    </w:p>
    <w:p>
      <w:pPr>
        <w:pStyle w:val="Style10"/>
        <w:keepNext w:val="0"/>
        <w:keepLines w:val="0"/>
        <w:widowControl w:val="0"/>
        <w:shd w:val="clear" w:color="auto" w:fill="auto"/>
        <w:tabs>
          <w:tab w:pos="784" w:val="left"/>
        </w:tabs>
        <w:bidi w:val="0"/>
        <w:spacing w:before="0" w:after="0" w:line="469" w:lineRule="exact"/>
        <w:ind w:left="0" w:right="0" w:firstLine="440"/>
        <w:jc w:val="both"/>
      </w:pPr>
      <w:bookmarkStart w:id="801" w:name="bookmark801"/>
      <w:r>
        <w:rPr>
          <w:color w:val="000000"/>
          <w:spacing w:val="0"/>
          <w:w w:val="100"/>
          <w:position w:val="0"/>
        </w:rPr>
        <w:t>1</w:t>
      </w:r>
      <w:bookmarkEnd w:id="801"/>
      <w:r>
        <w:rPr>
          <w:color w:val="000000"/>
          <w:spacing w:val="0"/>
          <w:w w:val="100"/>
          <w:position w:val="0"/>
        </w:rPr>
        <w:t>）</w:t>
        <w:tab/>
      </w:r>
      <w:r>
        <w:rPr>
          <w:color w:val="000000"/>
          <w:spacing w:val="0"/>
          <w:w w:val="100"/>
          <w:position w:val="0"/>
        </w:rPr>
        <w:t>信用风险显著增加判断标准</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公司在每个资产负债表日评估相关金融工具的信用风险自初始确认后是否已显著增加。</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在确定信用风险自初始确认后是否显著增加时，公司考虑在无须付出不必要的额外成本或努力即可获 得合理且有依据的信息，包括基于公司历史数据的定性和定量分析、外部信用风险评级以及前瞻性信息。 公司以单项金融工具或者具有相似信用风险特征的金融工具组合为基础，通过比较金融工具在资产负债表 日发生违约的风险与在初始确认日发生违约的风险，以确定金融工具预计存续期内发生违约风险的变化情 况。</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当触发以下一个或多个定量或定性标准时，公司认为金融工具的信用风险已发生显著增加：</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&lt;1&gt;</w:t>
      </w:r>
      <w:r>
        <w:rPr>
          <w:color w:val="000000"/>
          <w:spacing w:val="0"/>
          <w:w w:val="100"/>
          <w:position w:val="0"/>
        </w:rPr>
        <w:t>定量标准主要为报告日剩余存续期违约概率较初始确认时上升超过一定比例。</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&lt;2&gt;</w:t>
      </w:r>
      <w:r>
        <w:rPr>
          <w:color w:val="000000"/>
          <w:spacing w:val="0"/>
          <w:w w:val="100"/>
          <w:position w:val="0"/>
        </w:rPr>
        <w:t>定性标准主要为债务人经营或财务情况出现重大不利变化、预警客户清单等。</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&lt;3&gt;</w:t>
      </w:r>
      <w:r>
        <w:rPr>
          <w:color w:val="000000"/>
          <w:spacing w:val="0"/>
          <w:w w:val="100"/>
          <w:position w:val="0"/>
        </w:rPr>
        <w:t>上限指标为债务人合同付款（包括本金和利息）一般逾期超过</w:t>
      </w:r>
      <w:r>
        <w:rPr>
          <w:color w:val="000000"/>
          <w:spacing w:val="0"/>
          <w:w w:val="100"/>
          <w:position w:val="0"/>
        </w:rPr>
        <w:t>30</w:t>
      </w:r>
      <w:r>
        <w:rPr>
          <w:color w:val="000000"/>
          <w:spacing w:val="0"/>
          <w:w w:val="100"/>
          <w:position w:val="0"/>
        </w:rPr>
        <w:t>天，最长不超过</w:t>
      </w:r>
      <w:r>
        <w:rPr>
          <w:color w:val="000000"/>
          <w:spacing w:val="0"/>
          <w:w w:val="100"/>
          <w:position w:val="0"/>
        </w:rPr>
        <w:t>90</w:t>
      </w:r>
      <w:r>
        <w:rPr>
          <w:color w:val="000000"/>
          <w:spacing w:val="0"/>
          <w:w w:val="100"/>
          <w:position w:val="0"/>
        </w:rPr>
        <w:t>天。</w:t>
      </w:r>
    </w:p>
    <w:p>
      <w:pPr>
        <w:pStyle w:val="Style10"/>
        <w:keepNext w:val="0"/>
        <w:keepLines w:val="0"/>
        <w:widowControl w:val="0"/>
        <w:shd w:val="clear" w:color="auto" w:fill="auto"/>
        <w:tabs>
          <w:tab w:pos="798" w:val="left"/>
        </w:tabs>
        <w:bidi w:val="0"/>
        <w:spacing w:before="0" w:after="0" w:line="469" w:lineRule="exact"/>
        <w:ind w:left="0" w:right="0" w:firstLine="440"/>
        <w:jc w:val="both"/>
      </w:pPr>
      <w:bookmarkStart w:id="802" w:name="bookmark802"/>
      <w:r>
        <w:rPr>
          <w:color w:val="000000"/>
          <w:spacing w:val="0"/>
          <w:w w:val="100"/>
          <w:position w:val="0"/>
        </w:rPr>
        <w:t>2</w:t>
      </w:r>
      <w:bookmarkEnd w:id="802"/>
      <w:r>
        <w:rPr>
          <w:color w:val="000000"/>
          <w:spacing w:val="0"/>
          <w:w w:val="100"/>
          <w:position w:val="0"/>
        </w:rPr>
        <w:t>）</w:t>
        <w:tab/>
      </w:r>
      <w:r>
        <w:rPr>
          <w:color w:val="000000"/>
          <w:spacing w:val="0"/>
          <w:w w:val="100"/>
          <w:position w:val="0"/>
        </w:rPr>
        <w:t>已发生信用减值资产的定义</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为确定是否发生信用减值，公司所采用的界定标准，与内部针对相关金融工具的信用风险管理目标保 持一致，同时考虑定量、定性指标。公司评估债务人是否发生信用减值时，主要考虑以下因素：</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&lt;1&gt;</w:t>
      </w:r>
      <w:r>
        <w:rPr>
          <w:color w:val="000000"/>
          <w:spacing w:val="0"/>
          <w:w w:val="100"/>
          <w:position w:val="0"/>
        </w:rPr>
        <w:t>发行方或债务人发生重大财务困难；</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&lt;2&gt;</w:t>
      </w:r>
      <w:r>
        <w:rPr>
          <w:color w:val="000000"/>
          <w:spacing w:val="0"/>
          <w:w w:val="100"/>
          <w:position w:val="0"/>
        </w:rPr>
        <w:t>债务人违反合同，如偿付利息或本金违约或逾期等；</w:t>
      </w:r>
    </w:p>
    <w:p>
      <w:pPr>
        <w:pStyle w:val="Style10"/>
        <w:keepNext w:val="0"/>
        <w:keepLines w:val="0"/>
        <w:widowControl w:val="0"/>
        <w:shd w:val="clear" w:color="auto" w:fill="auto"/>
        <w:bidi w:val="0"/>
        <w:spacing w:before="0" w:after="0" w:line="480" w:lineRule="exact"/>
        <w:ind w:left="0" w:right="0" w:firstLine="440"/>
        <w:jc w:val="both"/>
      </w:pPr>
      <w:r>
        <w:rPr>
          <w:color w:val="000000"/>
          <w:spacing w:val="0"/>
          <w:w w:val="100"/>
          <w:position w:val="0"/>
        </w:rPr>
        <w:t>&lt;3&gt;</w:t>
      </w:r>
      <w:r>
        <w:rPr>
          <w:color w:val="000000"/>
          <w:spacing w:val="0"/>
          <w:w w:val="100"/>
          <w:position w:val="0"/>
        </w:rPr>
        <w:t>债权人出于与债务人财务困难有关的经济或合同考虑，给予债务人在任何其他情况下都不会做出 的让步；</w:t>
      </w:r>
    </w:p>
    <w:p>
      <w:pPr>
        <w:pStyle w:val="Style10"/>
        <w:keepNext w:val="0"/>
        <w:keepLines w:val="0"/>
        <w:widowControl w:val="0"/>
        <w:shd w:val="clear" w:color="auto" w:fill="auto"/>
        <w:bidi w:val="0"/>
        <w:spacing w:before="0" w:after="0" w:line="480" w:lineRule="exact"/>
        <w:ind w:left="0" w:right="0" w:firstLine="440"/>
        <w:jc w:val="both"/>
      </w:pPr>
      <w:r>
        <w:rPr>
          <w:color w:val="000000"/>
          <w:spacing w:val="0"/>
          <w:w w:val="100"/>
          <w:position w:val="0"/>
        </w:rPr>
        <w:t>&lt;4&gt;</w:t>
      </w:r>
      <w:r>
        <w:rPr>
          <w:color w:val="000000"/>
          <w:spacing w:val="0"/>
          <w:w w:val="100"/>
          <w:position w:val="0"/>
        </w:rPr>
        <w:t>债务人很可能破产或进行其他财务重组；</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&lt;5&gt;</w:t>
      </w:r>
      <w:r>
        <w:rPr>
          <w:color w:val="000000"/>
          <w:spacing w:val="0"/>
          <w:w w:val="100"/>
          <w:position w:val="0"/>
        </w:rPr>
        <w:t>发行方或债务人财务困难导致该金融资产的活跃市场消失；</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&lt;6&gt;</w:t>
      </w:r>
      <w:r>
        <w:rPr>
          <w:color w:val="000000"/>
          <w:spacing w:val="0"/>
          <w:w w:val="100"/>
          <w:position w:val="0"/>
        </w:rPr>
        <w:t>以大幅折扣购买或源生一项金融资产，该折扣反映了发生信用损失的事实。</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金融资产发生信用减值，有可能是多个事件的共同作用所致，未必是可单独识别的事件所致。</w:t>
      </w:r>
    </w:p>
    <w:p>
      <w:pPr>
        <w:pStyle w:val="Style10"/>
        <w:keepNext w:val="0"/>
        <w:keepLines w:val="0"/>
        <w:widowControl w:val="0"/>
        <w:shd w:val="clear" w:color="auto" w:fill="auto"/>
        <w:tabs>
          <w:tab w:pos="798" w:val="left"/>
        </w:tabs>
        <w:bidi w:val="0"/>
        <w:spacing w:before="0" w:after="0" w:line="469" w:lineRule="exact"/>
        <w:ind w:left="0" w:right="0" w:firstLine="440"/>
        <w:jc w:val="both"/>
      </w:pPr>
      <w:bookmarkStart w:id="803" w:name="bookmark803"/>
      <w:r>
        <w:rPr>
          <w:color w:val="000000"/>
          <w:spacing w:val="0"/>
          <w:w w:val="100"/>
          <w:position w:val="0"/>
        </w:rPr>
        <w:t>3</w:t>
      </w:r>
      <w:bookmarkEnd w:id="803"/>
      <w:r>
        <w:rPr>
          <w:color w:val="000000"/>
          <w:spacing w:val="0"/>
          <w:w w:val="100"/>
          <w:position w:val="0"/>
        </w:rPr>
        <w:t>）</w:t>
        <w:tab/>
      </w:r>
      <w:r>
        <w:rPr>
          <w:color w:val="000000"/>
          <w:spacing w:val="0"/>
          <w:w w:val="100"/>
          <w:position w:val="0"/>
        </w:rPr>
        <w:t>预期信用损失计量的参数</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根据信用风险是否发生显著增加以及是否已发生信用减值，公司对不同的资产分别以</w:t>
      </w:r>
      <w:r>
        <w:rPr>
          <w:color w:val="000000"/>
          <w:spacing w:val="0"/>
          <w:w w:val="100"/>
          <w:position w:val="0"/>
        </w:rPr>
        <w:t>12</w:t>
      </w:r>
      <w:r>
        <w:rPr>
          <w:color w:val="000000"/>
          <w:spacing w:val="0"/>
          <w:w w:val="100"/>
          <w:position w:val="0"/>
        </w:rPr>
        <w:t>个月或整个 存续期的预期信用损失计量减值准备。预期信用损失计量的关键参数包括违约概率、违约损失率和违约风 险敞口。公司考虑历史统计数据（如交易对手评级、担保方式及抵质押物类别、还款方式等）的定量分析 及前瞻性信息，建立违约概率、违约损失率及违约风险敞口模型。</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相关定义如下：</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&lt;1&gt;</w:t>
      </w:r>
      <w:r>
        <w:rPr>
          <w:color w:val="000000"/>
          <w:spacing w:val="0"/>
          <w:w w:val="100"/>
          <w:position w:val="0"/>
        </w:rPr>
        <w:t>违约概率是指债务人在未来</w:t>
      </w:r>
      <w:r>
        <w:rPr>
          <w:color w:val="000000"/>
          <w:spacing w:val="0"/>
          <w:w w:val="100"/>
          <w:position w:val="0"/>
        </w:rPr>
        <w:t>12</w:t>
      </w:r>
      <w:r>
        <w:rPr>
          <w:color w:val="000000"/>
          <w:spacing w:val="0"/>
          <w:w w:val="100"/>
          <w:position w:val="0"/>
        </w:rPr>
        <w:t>个月或在整个剩余存续期，无法履行其偿付义务的可能性。公司 的违约概率以历史信用损失模型结果为基础进行调整，加入前瞻性信息，以反映当前宏观经济环境下债务 人违约概率；</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&lt;2&gt;</w:t>
      </w:r>
      <w:r>
        <w:rPr>
          <w:color w:val="000000"/>
          <w:spacing w:val="0"/>
          <w:w w:val="100"/>
          <w:position w:val="0"/>
        </w:rPr>
        <w:t>违约损失率是指公司对违约风险暴露发生损失程度作出的预期。根据交易对手的类型、追索的方 式和优先级，以及担保品的不同，违约损失率也有所不同。违约损失率为违约发生时风险敞口损失的百分 比，以未来</w:t>
      </w:r>
      <w:r>
        <w:rPr>
          <w:color w:val="000000"/>
          <w:spacing w:val="0"/>
          <w:w w:val="100"/>
          <w:position w:val="0"/>
        </w:rPr>
        <w:t>12</w:t>
      </w:r>
      <w:r>
        <w:rPr>
          <w:color w:val="000000"/>
          <w:spacing w:val="0"/>
          <w:w w:val="100"/>
          <w:position w:val="0"/>
        </w:rPr>
        <w:t>个月内或整个存续期为基准进行计算；</w:t>
      </w:r>
    </w:p>
    <w:p>
      <w:pPr>
        <w:pStyle w:val="Style10"/>
        <w:keepNext w:val="0"/>
        <w:keepLines w:val="0"/>
        <w:widowControl w:val="0"/>
        <w:shd w:val="clear" w:color="auto" w:fill="auto"/>
        <w:bidi w:val="0"/>
        <w:spacing w:before="0" w:after="0" w:line="490" w:lineRule="exact"/>
        <w:ind w:left="0" w:right="0" w:firstLine="440"/>
        <w:jc w:val="left"/>
      </w:pPr>
      <w:r>
        <w:rPr>
          <w:color w:val="000000"/>
          <w:spacing w:val="0"/>
          <w:w w:val="100"/>
          <w:position w:val="0"/>
        </w:rPr>
        <w:t>&lt;3&gt;</w:t>
      </w:r>
      <w:r>
        <w:rPr>
          <w:color w:val="000000"/>
          <w:spacing w:val="0"/>
          <w:w w:val="100"/>
          <w:position w:val="0"/>
        </w:rPr>
        <w:t>违约风险敞口是指，在未来</w:t>
      </w:r>
      <w:r>
        <w:rPr>
          <w:color w:val="000000"/>
          <w:spacing w:val="0"/>
          <w:w w:val="100"/>
          <w:position w:val="0"/>
        </w:rPr>
        <w:t>12</w:t>
      </w:r>
      <w:r>
        <w:rPr>
          <w:color w:val="000000"/>
          <w:spacing w:val="0"/>
          <w:w w:val="100"/>
          <w:position w:val="0"/>
        </w:rPr>
        <w:t>个月或在整个剩余存续期中，在违约发生时，公司应被偿付的金 额。</w:t>
      </w:r>
    </w:p>
    <w:p>
      <w:pPr>
        <w:pStyle w:val="Style10"/>
        <w:keepNext w:val="0"/>
        <w:keepLines w:val="0"/>
        <w:widowControl w:val="0"/>
        <w:shd w:val="clear" w:color="auto" w:fill="auto"/>
        <w:bidi w:val="0"/>
        <w:spacing w:before="0" w:after="0" w:line="490" w:lineRule="exact"/>
        <w:ind w:left="0" w:right="0" w:firstLine="440"/>
        <w:jc w:val="left"/>
      </w:pPr>
      <w:bookmarkStart w:id="804" w:name="bookmark804"/>
      <w:r>
        <w:rPr>
          <w:color w:val="000000"/>
          <w:spacing w:val="0"/>
          <w:w w:val="100"/>
          <w:position w:val="0"/>
        </w:rPr>
        <w:t>4</w:t>
      </w:r>
      <w:bookmarkEnd w:id="804"/>
      <w:r>
        <w:rPr>
          <w:color w:val="000000"/>
          <w:spacing w:val="0"/>
          <w:w w:val="100"/>
          <w:position w:val="0"/>
        </w:rPr>
        <w:t>）</w:t>
      </w:r>
      <w:r>
        <w:rPr>
          <w:color w:val="000000"/>
          <w:spacing w:val="0"/>
          <w:w w:val="100"/>
          <w:position w:val="0"/>
        </w:rPr>
        <w:t>前瞻性信息</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信用风险显著增加的评估及预期信用损失的计算均涉及前瞻性信息。公司通过进行历史数据分析，识 别出影响各业务类型信用风险及预期信用损失的关键经济指标。</w:t>
      </w:r>
    </w:p>
    <w:p>
      <w:pPr>
        <w:pStyle w:val="Style10"/>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 xml:space="preserve">当单项金融资产无法以合理成本评估预期信用损失的信息时，公司依据信用风险特征将应收款项划分 </w:t>
      </w:r>
      <w:r>
        <w:rPr>
          <w:color w:val="000000"/>
          <w:spacing w:val="0"/>
          <w:w w:val="100"/>
          <w:position w:val="0"/>
        </w:rPr>
        <w:t>为若干组合，在组合基础上计算预期信用损失，确定组合的依据如下:</w:t>
      </w:r>
    </w:p>
    <w:p>
      <w:pPr>
        <w:pStyle w:val="Style10"/>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&lt;1&gt;</w:t>
      </w:r>
      <w:r>
        <w:rPr>
          <w:color w:val="000000"/>
          <w:spacing w:val="0"/>
          <w:w w:val="100"/>
          <w:position w:val="0"/>
        </w:rPr>
        <w:t>应收票据组合：</w:t>
      </w:r>
    </w:p>
    <w:p>
      <w:pPr>
        <w:pStyle w:val="Style10"/>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具体组合及计量预期信用损失的方法：</w:t>
      </w:r>
    </w:p>
    <w:tbl>
      <w:tblPr>
        <w:tblOverlap w:val="never"/>
        <w:jc w:val="center"/>
        <w:tblLayout w:type="fixed"/>
      </w:tblPr>
      <w:tblGrid>
        <w:gridCol w:w="3619"/>
        <w:gridCol w:w="1867"/>
        <w:gridCol w:w="4190"/>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计量预期信用损失的方法</w:t>
            </w:r>
          </w:p>
        </w:tc>
      </w:tr>
      <w:tr>
        <w:trPr>
          <w:trHeight w:val="141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0" w:after="500" w:line="240" w:lineRule="auto"/>
              <w:ind w:left="0" w:right="0" w:firstLine="0"/>
              <w:jc w:val="left"/>
            </w:pPr>
            <w:r>
              <w:rPr>
                <w:color w:val="000000"/>
                <w:spacing w:val="0"/>
                <w:w w:val="100"/>
                <w:position w:val="0"/>
              </w:rPr>
              <w:t>应收银行承兑汇票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应收商业承兑汇票</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票据类型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一般不计提预期信用损失；</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 济状况的预测，通过违风险敞口和整个存续期预期信 用损失率，计算预期信用损失。</w:t>
            </w:r>
          </w:p>
        </w:tc>
      </w:tr>
    </w:tbl>
    <w:p>
      <w:pPr>
        <w:widowControl w:val="0"/>
        <w:spacing w:after="139" w:line="1" w:lineRule="exact"/>
      </w:pPr>
    </w:p>
    <w:p>
      <w:pPr>
        <w:pStyle w:val="Style10"/>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&lt;2&gt;</w:t>
      </w:r>
      <w:r>
        <w:rPr>
          <w:color w:val="000000"/>
          <w:spacing w:val="0"/>
          <w:w w:val="100"/>
          <w:position w:val="0"/>
        </w:rPr>
        <w:t>应收账款组合：</w:t>
      </w:r>
    </w:p>
    <w:p>
      <w:pPr>
        <w:pStyle w:val="Style10"/>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具体组合及计量预期信用损失的方法：</w:t>
      </w:r>
    </w:p>
    <w:tbl>
      <w:tblPr>
        <w:tblOverlap w:val="never"/>
        <w:jc w:val="center"/>
        <w:tblLayout w:type="fixed"/>
      </w:tblPr>
      <w:tblGrid>
        <w:gridCol w:w="3619"/>
        <w:gridCol w:w="1867"/>
        <w:gridCol w:w="4190"/>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计量预期信用损失的方法</w:t>
            </w:r>
          </w:p>
        </w:tc>
      </w:tr>
      <w:tr>
        <w:trPr>
          <w:trHeight w:val="106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应收账款一信用风险特征组合</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 济状况的预测，编制应收账款逾期天数与整个存续期 预期信用损失率对照表，计算预期信用损失。</w:t>
            </w:r>
          </w:p>
        </w:tc>
      </w:tr>
    </w:tbl>
    <w:p>
      <w:pPr>
        <w:widowControl w:val="0"/>
        <w:spacing w:after="1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应收账款一账龄组合的账龄与整个存续期预期信用损失率对照表:</w:t>
      </w:r>
    </w:p>
    <w:tbl>
      <w:tblPr>
        <w:tblOverlap w:val="never"/>
        <w:jc w:val="center"/>
        <w:tblLayout w:type="fixed"/>
      </w:tblPr>
      <w:tblGrid>
        <w:gridCol w:w="5486"/>
        <w:gridCol w:w="4190"/>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应收账款预期信用损失率</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年以内（含，下同）</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line="1" w:lineRule="exact"/>
      </w:pPr>
      <w:r>
        <w:br w:type="page"/>
      </w:r>
    </w:p>
    <w:tbl>
      <w:tblPr>
        <w:tblOverlap w:val="never"/>
        <w:jc w:val="center"/>
        <w:tblLayout w:type="fixed"/>
      </w:tblPr>
      <w:tblGrid>
        <w:gridCol w:w="5486"/>
        <w:gridCol w:w="4190"/>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139" w:line="1" w:lineRule="exact"/>
      </w:pPr>
    </w:p>
    <w:p>
      <w:pPr>
        <w:pStyle w:val="Style10"/>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&lt;3&gt;</w:t>
      </w:r>
      <w:r>
        <w:rPr>
          <w:color w:val="000000"/>
          <w:spacing w:val="0"/>
          <w:w w:val="100"/>
          <w:position w:val="0"/>
        </w:rPr>
        <w:t>其他应收款组合：</w:t>
      </w:r>
    </w:p>
    <w:p>
      <w:pPr>
        <w:pStyle w:val="Style10"/>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具体组合及计量预期信用损失的方法:</w:t>
      </w:r>
    </w:p>
    <w:tbl>
      <w:tblPr>
        <w:tblOverlap w:val="never"/>
        <w:jc w:val="left"/>
        <w:tblLayout w:type="fixed"/>
      </w:tblPr>
      <w:tblGrid>
        <w:gridCol w:w="3456"/>
        <w:gridCol w:w="1546"/>
        <w:gridCol w:w="3816"/>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计量预期信用损失的方法</w:t>
            </w:r>
          </w:p>
        </w:tc>
      </w:tr>
      <w:tr>
        <w:trPr>
          <w:trHeight w:val="172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0" w:after="500" w:line="240" w:lineRule="auto"/>
              <w:ind w:left="0" w:right="0" w:firstLine="0"/>
              <w:jc w:val="left"/>
            </w:pPr>
            <w:r>
              <w:rPr>
                <w:color w:val="000000"/>
                <w:spacing w:val="0"/>
                <w:w w:val="100"/>
                <w:position w:val="0"/>
              </w:rPr>
              <w:t>其他应收款一押金保证金备用金组合</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其他应收款一往来款组合</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其他应收款一其他组合</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0" w:after="500" w:line="240" w:lineRule="auto"/>
              <w:ind w:left="0" w:right="0" w:firstLine="0"/>
              <w:jc w:val="left"/>
            </w:pPr>
            <w:r>
              <w:rPr>
                <w:color w:val="000000"/>
                <w:spacing w:val="0"/>
                <w:w w:val="100"/>
                <w:position w:val="0"/>
              </w:rPr>
              <w:t>款项性质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账龄组合</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一般不计提预期信用损失；</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 来经济状况的预测，通过违约风险敞口和未来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个月内或整个存续期预期信用损失率，计算预期 信用损失。</w:t>
            </w:r>
          </w:p>
        </w:tc>
      </w:tr>
    </w:tbl>
    <w:p>
      <w:pPr>
        <w:widowControl w:val="0"/>
        <w:spacing w:after="1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其他应收款一账龄组合的账龄与整个存续期预期信用损失率对照表:</w:t>
      </w:r>
    </w:p>
    <w:tbl>
      <w:tblPr>
        <w:tblOverlap w:val="never"/>
        <w:jc w:val="left"/>
        <w:tblLayout w:type="fixed"/>
      </w:tblPr>
      <w:tblGrid>
        <w:gridCol w:w="5002"/>
        <w:gridCol w:w="3816"/>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其他应收款预期信用损失率</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年以内（含，下同）</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10"/>
        <w:keepNext w:val="0"/>
        <w:keepLines w:val="0"/>
        <w:widowControl w:val="0"/>
        <w:shd w:val="clear" w:color="auto" w:fill="auto"/>
        <w:bidi w:val="0"/>
        <w:spacing w:before="0" w:line="466" w:lineRule="exact"/>
        <w:ind w:left="0" w:right="0" w:firstLine="440"/>
        <w:jc w:val="both"/>
      </w:pPr>
      <w:r>
        <w:rPr>
          <w:color w:val="000000"/>
          <w:spacing w:val="0"/>
          <w:w w:val="100"/>
          <w:position w:val="0"/>
        </w:rPr>
        <w:t>为反映金融工具的信用风险自初始确认后的变化，公司及其子公司在每个资产负债表日重新计量预期 信用损失，由此形成的损失准备的增加或转回金额，应当作为减值损失或利得计入当期损益。对于以摊余 成本计量的金融资产，损失准备抵减该金融资产在资产负债表中列示的账面价值；对于以公允价值计量且 其变动计入其他综合收益的债权投资，公司及其子公司在其他综合收益中确认其损失准备，不抵减该金融 资产的账面价值。</w:t>
      </w:r>
    </w:p>
    <w:p>
      <w:pPr>
        <w:pStyle w:val="Style10"/>
        <w:keepNext w:val="0"/>
        <w:keepLines w:val="0"/>
        <w:widowControl w:val="0"/>
        <w:numPr>
          <w:ilvl w:val="0"/>
          <w:numId w:val="59"/>
        </w:numPr>
        <w:shd w:val="clear" w:color="auto" w:fill="auto"/>
        <w:bidi w:val="0"/>
        <w:spacing w:before="0" w:line="466" w:lineRule="exact"/>
        <w:ind w:left="0" w:right="0" w:firstLine="440"/>
        <w:jc w:val="left"/>
      </w:pPr>
      <w:bookmarkStart w:id="805" w:name="bookmark805"/>
      <w:bookmarkEnd w:id="805"/>
      <w:r>
        <w:rPr>
          <w:color w:val="000000"/>
          <w:spacing w:val="0"/>
          <w:w w:val="100"/>
          <w:position w:val="0"/>
        </w:rPr>
        <w:t>终止确认</w:t>
      </w:r>
    </w:p>
    <w:p>
      <w:pPr>
        <w:pStyle w:val="Style10"/>
        <w:keepNext w:val="0"/>
        <w:keepLines w:val="0"/>
        <w:widowControl w:val="0"/>
        <w:shd w:val="clear" w:color="auto" w:fill="auto"/>
        <w:bidi w:val="0"/>
        <w:spacing w:before="0" w:line="466" w:lineRule="exact"/>
        <w:ind w:left="0" w:right="0" w:firstLine="440"/>
        <w:jc w:val="left"/>
      </w:pPr>
      <w:r>
        <w:rPr>
          <w:color w:val="000000"/>
          <w:spacing w:val="0"/>
          <w:w w:val="100"/>
          <w:position w:val="0"/>
        </w:rPr>
        <w:t>金融资产满足下列条件之一的，予以终止确认：</w:t>
      </w:r>
    </w:p>
    <w:p>
      <w:pPr>
        <w:pStyle w:val="Style10"/>
        <w:keepNext w:val="0"/>
        <w:keepLines w:val="0"/>
        <w:widowControl w:val="0"/>
        <w:shd w:val="clear" w:color="auto" w:fill="auto"/>
        <w:tabs>
          <w:tab w:pos="784" w:val="left"/>
        </w:tabs>
        <w:bidi w:val="0"/>
        <w:spacing w:before="0" w:line="466" w:lineRule="exact"/>
        <w:ind w:left="0" w:right="0" w:firstLine="440"/>
        <w:jc w:val="left"/>
      </w:pPr>
      <w:bookmarkStart w:id="806" w:name="bookmark806"/>
      <w:r>
        <w:rPr>
          <w:color w:val="000000"/>
          <w:spacing w:val="0"/>
          <w:w w:val="100"/>
          <w:position w:val="0"/>
        </w:rPr>
        <w:t>1</w:t>
      </w:r>
      <w:bookmarkEnd w:id="806"/>
      <w:r>
        <w:rPr>
          <w:color w:val="000000"/>
          <w:spacing w:val="0"/>
          <w:w w:val="100"/>
          <w:position w:val="0"/>
        </w:rPr>
        <w:t>）</w:t>
        <w:tab/>
      </w:r>
      <w:r>
        <w:rPr>
          <w:color w:val="000000"/>
          <w:spacing w:val="0"/>
          <w:w w:val="100"/>
          <w:position w:val="0"/>
        </w:rPr>
        <w:t>收取该金融资产现金流量的合同权利终止；</w:t>
      </w:r>
    </w:p>
    <w:p>
      <w:pPr>
        <w:pStyle w:val="Style10"/>
        <w:keepNext w:val="0"/>
        <w:keepLines w:val="0"/>
        <w:widowControl w:val="0"/>
        <w:shd w:val="clear" w:color="auto" w:fill="auto"/>
        <w:tabs>
          <w:tab w:pos="798" w:val="left"/>
        </w:tabs>
        <w:bidi w:val="0"/>
        <w:spacing w:before="0" w:line="466" w:lineRule="exact"/>
        <w:ind w:left="0" w:right="0" w:firstLine="440"/>
        <w:jc w:val="left"/>
      </w:pPr>
      <w:bookmarkStart w:id="807" w:name="bookmark807"/>
      <w:r>
        <w:rPr>
          <w:color w:val="000000"/>
          <w:spacing w:val="0"/>
          <w:w w:val="100"/>
          <w:position w:val="0"/>
        </w:rPr>
        <w:t>2</w:t>
      </w:r>
      <w:bookmarkEnd w:id="807"/>
      <w:r>
        <w:rPr>
          <w:color w:val="000000"/>
          <w:spacing w:val="0"/>
          <w:w w:val="100"/>
          <w:position w:val="0"/>
        </w:rPr>
        <w:t>）</w:t>
        <w:tab/>
      </w:r>
      <w:r>
        <w:rPr>
          <w:color w:val="000000"/>
          <w:spacing w:val="0"/>
          <w:w w:val="100"/>
          <w:position w:val="0"/>
        </w:rPr>
        <w:t>该金融资产已转移，且公司将金融资产所有权上几乎所有的风险和报酬转移给转入方；</w:t>
      </w:r>
    </w:p>
    <w:p>
      <w:pPr>
        <w:pStyle w:val="Style10"/>
        <w:keepNext w:val="0"/>
        <w:keepLines w:val="0"/>
        <w:widowControl w:val="0"/>
        <w:shd w:val="clear" w:color="auto" w:fill="auto"/>
        <w:tabs>
          <w:tab w:pos="786" w:val="left"/>
        </w:tabs>
        <w:bidi w:val="0"/>
        <w:spacing w:before="0" w:after="80" w:line="470" w:lineRule="exact"/>
        <w:ind w:left="0" w:right="0" w:firstLine="440"/>
        <w:jc w:val="left"/>
      </w:pPr>
      <w:bookmarkStart w:id="808" w:name="bookmark808"/>
      <w:r>
        <w:rPr>
          <w:color w:val="000000"/>
          <w:spacing w:val="0"/>
          <w:w w:val="100"/>
          <w:position w:val="0"/>
        </w:rPr>
        <w:t>3</w:t>
      </w:r>
      <w:bookmarkEnd w:id="808"/>
      <w:r>
        <w:rPr>
          <w:color w:val="000000"/>
          <w:spacing w:val="0"/>
          <w:w w:val="100"/>
          <w:position w:val="0"/>
        </w:rPr>
        <w:t>）</w:t>
        <w:tab/>
      </w:r>
      <w:r>
        <w:rPr>
          <w:color w:val="000000"/>
          <w:spacing w:val="0"/>
          <w:w w:val="100"/>
          <w:position w:val="0"/>
        </w:rPr>
        <w:t>该金融资产已转移，虽然公司既没有转移也没有保留金融资产所有权上几乎所有的风险和报酬， 但是放弃了对该金融资产控制。</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其他权益工具投资终止确认时，其账面价值与收到的对价以及原直接计入其他综合收益的公允价值变 动累计额之和的差额，计入留存收益；其余金融资产终止确认时，其账面价值与收到的对价以及原直接计 入其他综合收益的公允价值变动累计额之和的差额，计入当期损益。</w:t>
      </w:r>
    </w:p>
    <w:p>
      <w:pPr>
        <w:pStyle w:val="Style10"/>
        <w:keepNext w:val="0"/>
        <w:keepLines w:val="0"/>
        <w:widowControl w:val="0"/>
        <w:numPr>
          <w:ilvl w:val="0"/>
          <w:numId w:val="59"/>
        </w:numPr>
        <w:shd w:val="clear" w:color="auto" w:fill="auto"/>
        <w:bidi w:val="0"/>
        <w:spacing w:before="0" w:after="0" w:line="470" w:lineRule="exact"/>
        <w:ind w:left="0" w:right="0" w:firstLine="440"/>
        <w:jc w:val="both"/>
      </w:pPr>
      <w:bookmarkStart w:id="809" w:name="bookmark809"/>
      <w:bookmarkEnd w:id="809"/>
      <w:r>
        <w:rPr>
          <w:color w:val="000000"/>
          <w:spacing w:val="0"/>
          <w:w w:val="100"/>
          <w:position w:val="0"/>
        </w:rPr>
        <w:t>核销</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如果公司及其子公司不再合理预期金融资产合同现金流量能够全部或部分收回，则直接减记该金融资 产的账面余额。这种减记构成相关金融资产的终止确认。这种情况通常发生在公司及其子公司确定债务人 没有资产或收入来源可产生足够的现金流量以偿还将被减记的金额。但是，按照公司及其子公司收回到期 款项的程序，被减记的金融资产仍可能受到执行活动的影响。</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已减记的金融资产以后又收回的，作为减值损失的转回计入收回当期的损益。</w:t>
      </w:r>
    </w:p>
    <w:p>
      <w:pPr>
        <w:pStyle w:val="Style10"/>
        <w:keepNext w:val="0"/>
        <w:keepLines w:val="0"/>
        <w:widowControl w:val="0"/>
        <w:shd w:val="clear" w:color="auto" w:fill="auto"/>
        <w:bidi w:val="0"/>
        <w:spacing w:before="0" w:after="0" w:line="470" w:lineRule="exact"/>
        <w:ind w:left="0" w:right="0" w:firstLine="440"/>
        <w:jc w:val="left"/>
      </w:pPr>
      <w:bookmarkStart w:id="810" w:name="bookmark810"/>
      <w:r>
        <w:rPr>
          <w:color w:val="000000"/>
          <w:spacing w:val="0"/>
          <w:w w:val="100"/>
          <w:position w:val="0"/>
        </w:rPr>
        <w:t>（</w:t>
      </w:r>
      <w:bookmarkEnd w:id="810"/>
      <w:r>
        <w:rPr>
          <w:color w:val="000000"/>
          <w:spacing w:val="0"/>
          <w:w w:val="100"/>
          <w:position w:val="0"/>
        </w:rPr>
        <w:t>2）</w:t>
      </w:r>
      <w:r>
        <w:rPr>
          <w:color w:val="000000"/>
          <w:spacing w:val="0"/>
          <w:w w:val="100"/>
          <w:position w:val="0"/>
        </w:rPr>
        <w:t>金融负债</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金融负债于初始确认时分类为以摊余成本计量的金融负债和以公允价值计量且其变动计入当期损益 的金融负债。</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除下列各项外，公司将金融负债分类为以摊余成本计量的金融负债：</w:t>
      </w:r>
    </w:p>
    <w:p>
      <w:pPr>
        <w:pStyle w:val="Style10"/>
        <w:keepNext w:val="0"/>
        <w:keepLines w:val="0"/>
        <w:widowControl w:val="0"/>
        <w:numPr>
          <w:ilvl w:val="0"/>
          <w:numId w:val="61"/>
        </w:numPr>
        <w:shd w:val="clear" w:color="auto" w:fill="auto"/>
        <w:tabs>
          <w:tab w:pos="806" w:val="left"/>
        </w:tabs>
        <w:bidi w:val="0"/>
        <w:spacing w:before="0" w:after="0" w:line="470" w:lineRule="exact"/>
        <w:ind w:left="0" w:right="0" w:firstLine="440"/>
        <w:jc w:val="left"/>
      </w:pPr>
      <w:bookmarkStart w:id="811" w:name="bookmark811"/>
      <w:bookmarkEnd w:id="811"/>
      <w:r>
        <w:rPr>
          <w:color w:val="000000"/>
          <w:spacing w:val="0"/>
          <w:w w:val="100"/>
          <w:position w:val="0"/>
        </w:rPr>
        <w:t>以公允价值计量且其变动计入当期损益的金融负债，包括交易性金融负债（含属于金融负债的衍 生工具）和指定为以公允价值计量且其变动计入当期损益的金融负债。</w:t>
      </w:r>
    </w:p>
    <w:p>
      <w:pPr>
        <w:pStyle w:val="Style10"/>
        <w:keepNext w:val="0"/>
        <w:keepLines w:val="0"/>
        <w:widowControl w:val="0"/>
        <w:numPr>
          <w:ilvl w:val="0"/>
          <w:numId w:val="61"/>
        </w:numPr>
        <w:shd w:val="clear" w:color="auto" w:fill="auto"/>
        <w:tabs>
          <w:tab w:pos="833" w:val="left"/>
        </w:tabs>
        <w:bidi w:val="0"/>
        <w:spacing w:before="0" w:after="0" w:line="470" w:lineRule="exact"/>
        <w:ind w:left="0" w:right="0" w:firstLine="440"/>
        <w:jc w:val="left"/>
      </w:pPr>
      <w:bookmarkStart w:id="812" w:name="bookmark812"/>
      <w:bookmarkEnd w:id="812"/>
      <w:r>
        <w:rPr>
          <w:color w:val="000000"/>
          <w:spacing w:val="0"/>
          <w:w w:val="100"/>
          <w:position w:val="0"/>
        </w:rPr>
        <w:t>金融资产转移不符合终止确认条件或继续涉入被转移金融资产所形成的金融负债。</w:t>
      </w:r>
    </w:p>
    <w:p>
      <w:pPr>
        <w:pStyle w:val="Style10"/>
        <w:keepNext w:val="0"/>
        <w:keepLines w:val="0"/>
        <w:widowControl w:val="0"/>
        <w:numPr>
          <w:ilvl w:val="0"/>
          <w:numId w:val="61"/>
        </w:numPr>
        <w:shd w:val="clear" w:color="auto" w:fill="auto"/>
        <w:tabs>
          <w:tab w:pos="815" w:val="left"/>
        </w:tabs>
        <w:bidi w:val="0"/>
        <w:spacing w:before="0" w:after="0" w:line="468" w:lineRule="exact"/>
        <w:ind w:left="0" w:right="0" w:firstLine="440"/>
        <w:jc w:val="left"/>
      </w:pPr>
      <w:bookmarkStart w:id="813" w:name="bookmark813"/>
      <w:bookmarkEnd w:id="813"/>
      <w:r>
        <w:rPr>
          <w:color w:val="000000"/>
          <w:spacing w:val="0"/>
          <w:w w:val="100"/>
          <w:position w:val="0"/>
        </w:rPr>
        <w:t>不属于本条第①项或第②项情形的财务担保合同，以及不属于本条第①项情形的以低于市场利率 贷款的贷款承诺。在非同一控制下的企业合并中，公司作为购买方确认的或有对价形成金融负债的，该金 融负债按照以公允价值计量且其变动计入当期损益进行会计处理。</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在初始确认时，为了提供更相关的会计信息，公司可以将金融负债指定为以公允价值计量且其变动计 入当期损益的金融负债，该指定满足下列条件之一：</w:t>
      </w:r>
    </w:p>
    <w:p>
      <w:pPr>
        <w:pStyle w:val="Style10"/>
        <w:keepNext w:val="0"/>
        <w:keepLines w:val="0"/>
        <w:widowControl w:val="0"/>
        <w:shd w:val="clear" w:color="auto" w:fill="auto"/>
        <w:tabs>
          <w:tab w:pos="780" w:val="left"/>
        </w:tabs>
        <w:bidi w:val="0"/>
        <w:spacing w:before="0" w:after="0" w:line="470" w:lineRule="exact"/>
        <w:ind w:left="0" w:right="0" w:firstLine="440"/>
        <w:jc w:val="left"/>
      </w:pPr>
      <w:bookmarkStart w:id="814" w:name="bookmark814"/>
      <w:r>
        <w:rPr>
          <w:color w:val="000000"/>
          <w:spacing w:val="0"/>
          <w:w w:val="100"/>
          <w:position w:val="0"/>
        </w:rPr>
        <w:t>1</w:t>
      </w:r>
      <w:bookmarkEnd w:id="814"/>
      <w:r>
        <w:rPr>
          <w:color w:val="000000"/>
          <w:spacing w:val="0"/>
          <w:w w:val="100"/>
          <w:position w:val="0"/>
        </w:rPr>
        <w:t>）</w:t>
        <w:tab/>
      </w:r>
      <w:r>
        <w:rPr>
          <w:color w:val="000000"/>
          <w:spacing w:val="0"/>
          <w:w w:val="100"/>
          <w:position w:val="0"/>
        </w:rPr>
        <w:t>能够消除或显著减少会计错配。</w:t>
      </w:r>
    </w:p>
    <w:p>
      <w:pPr>
        <w:pStyle w:val="Style10"/>
        <w:keepNext w:val="0"/>
        <w:keepLines w:val="0"/>
        <w:widowControl w:val="0"/>
        <w:shd w:val="clear" w:color="auto" w:fill="auto"/>
        <w:tabs>
          <w:tab w:pos="777" w:val="left"/>
        </w:tabs>
        <w:bidi w:val="0"/>
        <w:spacing w:before="0" w:after="0" w:line="475" w:lineRule="exact"/>
        <w:ind w:left="0" w:right="0" w:firstLine="440"/>
        <w:jc w:val="left"/>
      </w:pPr>
      <w:bookmarkStart w:id="815" w:name="bookmark815"/>
      <w:r>
        <w:rPr>
          <w:color w:val="000000"/>
          <w:spacing w:val="0"/>
          <w:w w:val="100"/>
          <w:position w:val="0"/>
        </w:rPr>
        <w:t>2</w:t>
      </w:r>
      <w:bookmarkEnd w:id="815"/>
      <w:r>
        <w:rPr>
          <w:color w:val="000000"/>
          <w:spacing w:val="0"/>
          <w:w w:val="100"/>
          <w:position w:val="0"/>
        </w:rPr>
        <w:t>）</w:t>
        <w:tab/>
      </w:r>
      <w:r>
        <w:rPr>
          <w:color w:val="000000"/>
          <w:spacing w:val="0"/>
          <w:w w:val="100"/>
          <w:position w:val="0"/>
        </w:rPr>
        <w:t>根据正式书面文件载明的企业风险管理或投资策略，以公允价值为基础对金融负债组合或金融资 产和金融负债组合进行管理和业绩评价，并在公司内部以此为基础向关键管理人员报告。该指定一经做出， 不得撤销。</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 xml:space="preserve">公司的金融负债主要为以摊余成本计量的金融负债，包括应付票据及应付账款、其他应付款、借款及 应付债券等。该类金融负债按其公允价值扣除交易费用后的金额进行初始计量，并采用实际利率法进行后 续计量。期限在一年以下（含一年）的，列示为流动负债；期限在一年以上但自资产负债表日起一年内（含 </w:t>
      </w:r>
      <w:r>
        <w:rPr>
          <w:color w:val="000000"/>
          <w:spacing w:val="0"/>
          <w:w w:val="100"/>
          <w:position w:val="0"/>
        </w:rPr>
        <w:t>一年）到期的，列示为一年内到期的非流动负债；其余列示为非流动负债。</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当金融负债的现时义务全部或部分已经解除时，公司终止确认该金融负债或义务已解除的部分。终止 确认部分的账面价值与支付的对价之间的差额，计入当期损益。</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金融负债（或其一部分）的现时义务已经解除的，公司终止确认该金融负债（或该部分金融负债）。</w:t>
      </w:r>
    </w:p>
    <w:p>
      <w:pPr>
        <w:pStyle w:val="Style10"/>
        <w:keepNext w:val="0"/>
        <w:keepLines w:val="0"/>
        <w:widowControl w:val="0"/>
        <w:shd w:val="clear" w:color="auto" w:fill="auto"/>
        <w:tabs>
          <w:tab w:pos="928" w:val="left"/>
        </w:tabs>
        <w:bidi w:val="0"/>
        <w:spacing w:before="0" w:after="0" w:line="472" w:lineRule="exact"/>
        <w:ind w:left="0" w:right="0" w:firstLine="440"/>
        <w:jc w:val="both"/>
      </w:pPr>
      <w:bookmarkStart w:id="816" w:name="bookmark816"/>
      <w:r>
        <w:rPr>
          <w:color w:val="000000"/>
          <w:spacing w:val="0"/>
          <w:w w:val="100"/>
          <w:position w:val="0"/>
        </w:rPr>
        <w:t>（</w:t>
      </w:r>
      <w:bookmarkEnd w:id="816"/>
      <w:r>
        <w:rPr>
          <w:color w:val="000000"/>
          <w:spacing w:val="0"/>
          <w:w w:val="100"/>
          <w:position w:val="0"/>
        </w:rPr>
        <w:t>3）</w:t>
        <w:tab/>
      </w:r>
      <w:r>
        <w:rPr>
          <w:color w:val="000000"/>
          <w:spacing w:val="0"/>
          <w:w w:val="100"/>
          <w:position w:val="0"/>
        </w:rPr>
        <w:t>金融工具的公允价值确定</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估值技术确定其公允价值。在估值时，公司采用在当前情况下适用并且有足够可利用数据和其他信息支持 的估值技术，选择与市场参与者在相关资产或负债的交易中所考虑的资产或负债特征相一致的输入值，并 尽可能优先使用相关可观察输入值。在相关可观察输入值无法取得或取得不切实可行的情况下，使用不可 观察输入值。</w:t>
      </w:r>
    </w:p>
    <w:p>
      <w:pPr>
        <w:pStyle w:val="Style10"/>
        <w:keepNext w:val="0"/>
        <w:keepLines w:val="0"/>
        <w:widowControl w:val="0"/>
        <w:shd w:val="clear" w:color="auto" w:fill="auto"/>
        <w:tabs>
          <w:tab w:pos="928" w:val="left"/>
        </w:tabs>
        <w:bidi w:val="0"/>
        <w:spacing w:before="0" w:after="0" w:line="472" w:lineRule="exact"/>
        <w:ind w:left="0" w:right="0" w:firstLine="440"/>
        <w:jc w:val="both"/>
      </w:pPr>
      <w:bookmarkStart w:id="817" w:name="bookmark817"/>
      <w:r>
        <w:rPr>
          <w:color w:val="000000"/>
          <w:spacing w:val="0"/>
          <w:w w:val="100"/>
          <w:position w:val="0"/>
        </w:rPr>
        <w:t>（</w:t>
      </w:r>
      <w:bookmarkEnd w:id="817"/>
      <w:r>
        <w:rPr>
          <w:color w:val="000000"/>
          <w:spacing w:val="0"/>
          <w:w w:val="100"/>
          <w:position w:val="0"/>
        </w:rPr>
        <w:t>4）</w:t>
        <w:tab/>
      </w:r>
      <w:r>
        <w:rPr>
          <w:color w:val="000000"/>
          <w:spacing w:val="0"/>
          <w:w w:val="100"/>
          <w:position w:val="0"/>
        </w:rPr>
        <w:t>后续计量</w:t>
      </w:r>
    </w:p>
    <w:p>
      <w:pPr>
        <w:pStyle w:val="Style1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初始确认后，公司对不同类别的金融资产，分别以摊余成本、以公允价值计量且其变动计入其他综合 收益或以公允价值计量且其变动计入当期损益进行后续计量。</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初始确认后，公司对不同类别的金融负债，分别以摊余成本、以公允价值计量且其变动计入当期损益 或以其他适当方法进行后续计量。</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金融资产或金融负债的摊余成本，以该金融资产或金融负债的初始确认金额经下列调整后的结果确 定：</w:t>
      </w:r>
    </w:p>
    <w:p>
      <w:pPr>
        <w:pStyle w:val="Style10"/>
        <w:keepNext w:val="0"/>
        <w:keepLines w:val="0"/>
        <w:widowControl w:val="0"/>
        <w:numPr>
          <w:ilvl w:val="0"/>
          <w:numId w:val="63"/>
        </w:numPr>
        <w:shd w:val="clear" w:color="auto" w:fill="auto"/>
        <w:tabs>
          <w:tab w:pos="832" w:val="left"/>
        </w:tabs>
        <w:bidi w:val="0"/>
        <w:spacing w:before="0" w:after="0" w:line="472" w:lineRule="exact"/>
        <w:ind w:left="0" w:right="0" w:firstLine="440"/>
        <w:jc w:val="both"/>
      </w:pPr>
      <w:bookmarkStart w:id="818" w:name="bookmark818"/>
      <w:bookmarkEnd w:id="818"/>
      <w:r>
        <w:rPr>
          <w:color w:val="000000"/>
          <w:spacing w:val="0"/>
          <w:w w:val="100"/>
          <w:position w:val="0"/>
        </w:rPr>
        <w:t>扣除已偿还的本金。</w:t>
      </w:r>
    </w:p>
    <w:p>
      <w:pPr>
        <w:pStyle w:val="Style10"/>
        <w:keepNext w:val="0"/>
        <w:keepLines w:val="0"/>
        <w:widowControl w:val="0"/>
        <w:numPr>
          <w:ilvl w:val="0"/>
          <w:numId w:val="63"/>
        </w:numPr>
        <w:shd w:val="clear" w:color="auto" w:fill="auto"/>
        <w:tabs>
          <w:tab w:pos="814" w:val="left"/>
        </w:tabs>
        <w:bidi w:val="0"/>
        <w:spacing w:before="0" w:after="0" w:line="480" w:lineRule="exact"/>
        <w:ind w:left="0" w:right="0" w:firstLine="440"/>
        <w:jc w:val="both"/>
      </w:pPr>
      <w:bookmarkStart w:id="819" w:name="bookmark819"/>
      <w:bookmarkEnd w:id="819"/>
      <w:r>
        <w:rPr>
          <w:color w:val="000000"/>
          <w:spacing w:val="0"/>
          <w:w w:val="100"/>
          <w:position w:val="0"/>
        </w:rPr>
        <w:t>加上或减去采用实际利率法将该初始确认金额与到期日金额之间的差额进行摊销形成的累计摊销 额。</w:t>
      </w:r>
    </w:p>
    <w:p>
      <w:pPr>
        <w:pStyle w:val="Style10"/>
        <w:keepNext w:val="0"/>
        <w:keepLines w:val="0"/>
        <w:widowControl w:val="0"/>
        <w:numPr>
          <w:ilvl w:val="0"/>
          <w:numId w:val="63"/>
        </w:numPr>
        <w:shd w:val="clear" w:color="auto" w:fill="auto"/>
        <w:tabs>
          <w:tab w:pos="837" w:val="left"/>
        </w:tabs>
        <w:bidi w:val="0"/>
        <w:spacing w:before="0" w:after="0" w:line="480" w:lineRule="exact"/>
        <w:ind w:left="0" w:right="0" w:firstLine="440"/>
        <w:jc w:val="both"/>
      </w:pPr>
      <w:bookmarkStart w:id="820" w:name="bookmark820"/>
      <w:bookmarkEnd w:id="820"/>
      <w:r>
        <w:rPr>
          <w:color w:val="000000"/>
          <w:spacing w:val="0"/>
          <w:w w:val="100"/>
          <w:position w:val="0"/>
        </w:rPr>
        <w:t>扣除累计计提的损失准备（仅适用于金融资产）。</w:t>
      </w:r>
    </w:p>
    <w:p>
      <w:pPr>
        <w:pStyle w:val="Style1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公司按照实际利率法确认利息收入。利息收入根据金融资产账面余额乘以实际利率计算确定，但下列 情况除外：</w:t>
      </w:r>
    </w:p>
    <w:p>
      <w:pPr>
        <w:pStyle w:val="Style10"/>
        <w:keepNext w:val="0"/>
        <w:keepLines w:val="0"/>
        <w:widowControl w:val="0"/>
        <w:shd w:val="clear" w:color="auto" w:fill="auto"/>
        <w:tabs>
          <w:tab w:pos="781" w:val="left"/>
        </w:tabs>
        <w:bidi w:val="0"/>
        <w:spacing w:before="0" w:after="0" w:line="461" w:lineRule="exact"/>
        <w:ind w:left="0" w:right="0" w:firstLine="440"/>
        <w:jc w:val="both"/>
      </w:pPr>
      <w:bookmarkStart w:id="821" w:name="bookmark821"/>
      <w:r>
        <w:rPr>
          <w:color w:val="000000"/>
          <w:spacing w:val="0"/>
          <w:w w:val="100"/>
          <w:position w:val="0"/>
        </w:rPr>
        <w:t>1</w:t>
      </w:r>
      <w:bookmarkEnd w:id="821"/>
      <w:r>
        <w:rPr>
          <w:color w:val="000000"/>
          <w:spacing w:val="0"/>
          <w:w w:val="100"/>
          <w:position w:val="0"/>
        </w:rPr>
        <w:t>）</w:t>
        <w:tab/>
      </w:r>
      <w:r>
        <w:rPr>
          <w:color w:val="000000"/>
          <w:spacing w:val="0"/>
          <w:w w:val="100"/>
          <w:position w:val="0"/>
        </w:rPr>
        <w:t>对于购入或源生的已发生信用减值的金融资产，公司自初始确认起，按照该金融资产的摊余成本 和经信用调整的实际利率计算确定其利息收入。</w:t>
      </w:r>
    </w:p>
    <w:p>
      <w:pPr>
        <w:pStyle w:val="Style10"/>
        <w:keepNext w:val="0"/>
        <w:keepLines w:val="0"/>
        <w:widowControl w:val="0"/>
        <w:shd w:val="clear" w:color="auto" w:fill="auto"/>
        <w:tabs>
          <w:tab w:pos="781" w:val="left"/>
        </w:tabs>
        <w:bidi w:val="0"/>
        <w:spacing w:before="0" w:after="440" w:line="468" w:lineRule="exact"/>
        <w:ind w:left="0" w:right="0" w:firstLine="440"/>
        <w:jc w:val="both"/>
      </w:pPr>
      <w:bookmarkStart w:id="822" w:name="bookmark822"/>
      <w:r>
        <w:rPr>
          <w:color w:val="000000"/>
          <w:spacing w:val="0"/>
          <w:w w:val="100"/>
          <w:position w:val="0"/>
        </w:rPr>
        <w:t>2</w:t>
      </w:r>
      <w:bookmarkEnd w:id="822"/>
      <w:r>
        <w:rPr>
          <w:color w:val="000000"/>
          <w:spacing w:val="0"/>
          <w:w w:val="100"/>
          <w:position w:val="0"/>
        </w:rPr>
        <w:t>）</w:t>
        <w:tab/>
      </w:r>
      <w:r>
        <w:rPr>
          <w:color w:val="000000"/>
          <w:spacing w:val="0"/>
          <w:w w:val="100"/>
          <w:position w:val="0"/>
        </w:rPr>
        <w:t xml:space="preserve">对于购入或源生的未发生信用减值、但在后续期间成为已发生信用减值的金融资产，公司在后续 期间，按照该金融资产的摊余成本和实际利率计算确定其利息收入。公司按照上述政策对金融资产的摊余 成本运用实际利率法计算利息收入的，若该金融工具在后续期间因其信用风险有所改善而不再存在信用减 </w:t>
      </w:r>
      <w:r>
        <w:rPr>
          <w:color w:val="000000"/>
          <w:spacing w:val="0"/>
          <w:w w:val="100"/>
          <w:position w:val="0"/>
        </w:rPr>
        <w:t>值，并且这一改善在客观上可与应用上述政策之后发生的某一事件相联系(如债务人的信用评级被上调)， 公司转按实际利率乘以该金融资产账面余额来计算确定利息收入。</w:t>
      </w:r>
    </w:p>
    <w:p>
      <w:pPr>
        <w:pStyle w:val="Style29"/>
        <w:keepNext/>
        <w:keepLines/>
        <w:widowControl w:val="0"/>
        <w:shd w:val="clear" w:color="auto" w:fill="auto"/>
        <w:tabs>
          <w:tab w:pos="459" w:val="left"/>
        </w:tabs>
        <w:bidi w:val="0"/>
        <w:spacing w:before="0" w:after="0" w:line="480" w:lineRule="auto"/>
        <w:ind w:left="0" w:right="0" w:firstLine="0"/>
        <w:jc w:val="both"/>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23"/>
      <w:bookmarkEnd w:id="824"/>
      <w:bookmarkEnd w:id="826"/>
    </w:p>
    <w:p>
      <w:pPr>
        <w:pStyle w:val="Style10"/>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应收票据的预期信用损失确定方法及会计处理方法详见“附注五、</w:t>
      </w:r>
      <w:r>
        <w:rPr>
          <w:color w:val="000000"/>
          <w:spacing w:val="0"/>
          <w:w w:val="100"/>
          <w:position w:val="0"/>
        </w:rPr>
        <w:t>10</w:t>
      </w:r>
      <w:r>
        <w:rPr>
          <w:color w:val="000000"/>
          <w:spacing w:val="0"/>
          <w:w w:val="100"/>
          <w:position w:val="0"/>
        </w:rPr>
        <w:t>、金融工具”。</w:t>
      </w:r>
    </w:p>
    <w:p>
      <w:pPr>
        <w:pStyle w:val="Style29"/>
        <w:keepNext/>
        <w:keepLines/>
        <w:widowControl w:val="0"/>
        <w:shd w:val="clear" w:color="auto" w:fill="auto"/>
        <w:tabs>
          <w:tab w:pos="459" w:val="left"/>
        </w:tabs>
        <w:bidi w:val="0"/>
        <w:spacing w:before="0" w:after="0" w:line="480" w:lineRule="auto"/>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27"/>
      <w:bookmarkEnd w:id="828"/>
      <w:bookmarkEnd w:id="830"/>
    </w:p>
    <w:p>
      <w:pPr>
        <w:pStyle w:val="Style10"/>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应收账款的预期信用损失确定方法及会计处理方法详见“附注五、</w:t>
      </w:r>
      <w:r>
        <w:rPr>
          <w:color w:val="000000"/>
          <w:spacing w:val="0"/>
          <w:w w:val="100"/>
          <w:position w:val="0"/>
        </w:rPr>
        <w:t>10</w:t>
      </w:r>
      <w:r>
        <w:rPr>
          <w:color w:val="000000"/>
          <w:spacing w:val="0"/>
          <w:w w:val="100"/>
          <w:position w:val="0"/>
        </w:rPr>
        <w:t>、金融工具”。</w:t>
      </w:r>
    </w:p>
    <w:p>
      <w:pPr>
        <w:pStyle w:val="Style29"/>
        <w:keepNext/>
        <w:keepLines/>
        <w:widowControl w:val="0"/>
        <w:shd w:val="clear" w:color="auto" w:fill="auto"/>
        <w:tabs>
          <w:tab w:pos="459" w:val="left"/>
        </w:tabs>
        <w:bidi w:val="0"/>
        <w:spacing w:before="0" w:after="0" w:line="480" w:lineRule="auto"/>
        <w:ind w:left="0" w:right="0" w:firstLine="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31"/>
      <w:bookmarkEnd w:id="832"/>
      <w:bookmarkEnd w:id="834"/>
    </w:p>
    <w:p>
      <w:pPr>
        <w:pStyle w:val="Style10"/>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应收款项融资的预期信用损失确定方法及会计处理方法详见“附注五、</w:t>
      </w:r>
      <w:r>
        <w:rPr>
          <w:color w:val="000000"/>
          <w:spacing w:val="0"/>
          <w:w w:val="100"/>
          <w:position w:val="0"/>
        </w:rPr>
        <w:t>10</w:t>
      </w:r>
      <w:r>
        <w:rPr>
          <w:color w:val="000000"/>
          <w:spacing w:val="0"/>
          <w:w w:val="100"/>
          <w:position w:val="0"/>
        </w:rPr>
        <w:t>、金融工具”。</w:t>
      </w:r>
    </w:p>
    <w:p>
      <w:pPr>
        <w:pStyle w:val="Style29"/>
        <w:keepNext/>
        <w:keepLines/>
        <w:widowControl w:val="0"/>
        <w:shd w:val="clear" w:color="auto" w:fill="auto"/>
        <w:tabs>
          <w:tab w:pos="459" w:val="left"/>
        </w:tabs>
        <w:bidi w:val="0"/>
        <w:spacing w:before="0" w:after="0" w:line="480" w:lineRule="auto"/>
        <w:ind w:left="0" w:right="0" w:firstLine="0"/>
        <w:jc w:val="both"/>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35"/>
      <w:bookmarkEnd w:id="836"/>
      <w:bookmarkEnd w:id="838"/>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其他应收款的预期信用损失的确定方法及会计处理方法</w:t>
      </w:r>
    </w:p>
    <w:p>
      <w:pPr>
        <w:pStyle w:val="Style10"/>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其他应收款的预期信用损失确定方法及会计处理方法详见“附注五、</w:t>
      </w:r>
      <w:r>
        <w:rPr>
          <w:color w:val="000000"/>
          <w:spacing w:val="0"/>
          <w:w w:val="100"/>
          <w:position w:val="0"/>
        </w:rPr>
        <w:t>10</w:t>
      </w:r>
      <w:r>
        <w:rPr>
          <w:color w:val="000000"/>
          <w:spacing w:val="0"/>
          <w:w w:val="100"/>
          <w:position w:val="0"/>
        </w:rPr>
        <w:t>、金融工具”。</w:t>
      </w:r>
    </w:p>
    <w:p>
      <w:pPr>
        <w:pStyle w:val="Style29"/>
        <w:keepNext/>
        <w:keepLines/>
        <w:widowControl w:val="0"/>
        <w:shd w:val="clear" w:color="auto" w:fill="auto"/>
        <w:tabs>
          <w:tab w:pos="459" w:val="left"/>
        </w:tabs>
        <w:bidi w:val="0"/>
        <w:spacing w:before="0" w:after="0" w:line="480" w:lineRule="auto"/>
        <w:ind w:left="0" w:right="0" w:firstLine="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39"/>
      <w:bookmarkEnd w:id="840"/>
      <w:bookmarkEnd w:id="842"/>
    </w:p>
    <w:p>
      <w:pPr>
        <w:pStyle w:val="Style10"/>
        <w:keepNext w:val="0"/>
        <w:keepLines w:val="0"/>
        <w:widowControl w:val="0"/>
        <w:numPr>
          <w:ilvl w:val="0"/>
          <w:numId w:val="65"/>
        </w:numPr>
        <w:shd w:val="clear" w:color="auto" w:fill="auto"/>
        <w:tabs>
          <w:tab w:pos="870" w:val="left"/>
        </w:tabs>
        <w:bidi w:val="0"/>
        <w:spacing w:before="0" w:after="0" w:line="468" w:lineRule="exact"/>
        <w:ind w:left="0" w:right="0" w:firstLine="440"/>
        <w:jc w:val="both"/>
      </w:pPr>
      <w:bookmarkStart w:id="843" w:name="bookmark843"/>
      <w:bookmarkEnd w:id="843"/>
      <w:r>
        <w:rPr>
          <w:color w:val="000000"/>
          <w:spacing w:val="0"/>
          <w:w w:val="100"/>
          <w:position w:val="0"/>
        </w:rPr>
        <w:t>存货的分类</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或提供劳务过程中耗用的材料和物料等。主要包括原材料、周转材料、在产品、产成品(库存商品)、发 出商品等。</w:t>
      </w:r>
    </w:p>
    <w:p>
      <w:pPr>
        <w:pStyle w:val="Style10"/>
        <w:keepNext w:val="0"/>
        <w:keepLines w:val="0"/>
        <w:widowControl w:val="0"/>
        <w:numPr>
          <w:ilvl w:val="0"/>
          <w:numId w:val="65"/>
        </w:numPr>
        <w:shd w:val="clear" w:color="auto" w:fill="auto"/>
        <w:tabs>
          <w:tab w:pos="870" w:val="left"/>
        </w:tabs>
        <w:bidi w:val="0"/>
        <w:spacing w:before="0" w:after="0" w:line="468" w:lineRule="exact"/>
        <w:ind w:left="0" w:right="0" w:firstLine="440"/>
        <w:jc w:val="both"/>
      </w:pPr>
      <w:bookmarkStart w:id="844" w:name="bookmark844"/>
      <w:bookmarkEnd w:id="844"/>
      <w:r>
        <w:rPr>
          <w:color w:val="000000"/>
          <w:spacing w:val="0"/>
          <w:w w:val="100"/>
          <w:position w:val="0"/>
        </w:rPr>
        <w:t>发出存货的计价方法</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存货在取得时，按成本进行初始计量，包括采购成本、加工成本和其他成本。存货发出时按月末一次 加权平均法计价。</w:t>
      </w:r>
    </w:p>
    <w:p>
      <w:pPr>
        <w:pStyle w:val="Style10"/>
        <w:keepNext w:val="0"/>
        <w:keepLines w:val="0"/>
        <w:widowControl w:val="0"/>
        <w:numPr>
          <w:ilvl w:val="0"/>
          <w:numId w:val="65"/>
        </w:numPr>
        <w:shd w:val="clear" w:color="auto" w:fill="auto"/>
        <w:tabs>
          <w:tab w:pos="870" w:val="left"/>
        </w:tabs>
        <w:bidi w:val="0"/>
        <w:spacing w:before="0" w:after="0" w:line="468" w:lineRule="exact"/>
        <w:ind w:left="0" w:right="0" w:firstLine="440"/>
        <w:jc w:val="both"/>
      </w:pPr>
      <w:bookmarkStart w:id="845" w:name="bookmark845"/>
      <w:bookmarkEnd w:id="845"/>
      <w:r>
        <w:rPr>
          <w:color w:val="000000"/>
          <w:spacing w:val="0"/>
          <w:w w:val="100"/>
          <w:position w:val="0"/>
        </w:rPr>
        <w:t>存货可变现净值的确定依据及存货跌价准备的计提方法</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于资产负债表日，存货按照成本与可变现净值孰低计量，存货成本高于其可变现净值的，应当计提存 货跌价准备，计入当期损益。可变现净值，是指在日常活动中，存货的估计售价减去至完工时估计将要发 生的成本、估计的销售费用以及相关税费后的金额。</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各类存货可变现净值的确定依据如下：</w:t>
      </w:r>
    </w:p>
    <w:p>
      <w:pPr>
        <w:pStyle w:val="Style10"/>
        <w:keepNext w:val="0"/>
        <w:keepLines w:val="0"/>
        <w:widowControl w:val="0"/>
        <w:numPr>
          <w:ilvl w:val="0"/>
          <w:numId w:val="67"/>
        </w:numPr>
        <w:shd w:val="clear" w:color="auto" w:fill="auto"/>
        <w:tabs>
          <w:tab w:pos="800" w:val="left"/>
        </w:tabs>
        <w:bidi w:val="0"/>
        <w:spacing w:before="0" w:after="0" w:line="470" w:lineRule="exact"/>
        <w:ind w:left="0" w:right="0" w:firstLine="440"/>
        <w:jc w:val="left"/>
      </w:pPr>
      <w:bookmarkStart w:id="846" w:name="bookmark846"/>
      <w:bookmarkEnd w:id="846"/>
      <w:r>
        <w:rPr>
          <w:color w:val="000000"/>
          <w:spacing w:val="0"/>
          <w:w w:val="100"/>
          <w:position w:val="0"/>
        </w:rPr>
        <w:t>产成品、商品和用于出售的材料等直接用于出售的商品存货，在正常生产经营过程中，以该存货 的估计售价减去估计的销售费用和相关税费后的金额，确定其可变现净值。</w:t>
      </w:r>
    </w:p>
    <w:p>
      <w:pPr>
        <w:pStyle w:val="Style10"/>
        <w:keepNext w:val="0"/>
        <w:keepLines w:val="0"/>
        <w:widowControl w:val="0"/>
        <w:numPr>
          <w:ilvl w:val="0"/>
          <w:numId w:val="67"/>
        </w:numPr>
        <w:shd w:val="clear" w:color="auto" w:fill="auto"/>
        <w:tabs>
          <w:tab w:pos="814" w:val="left"/>
        </w:tabs>
        <w:bidi w:val="0"/>
        <w:spacing w:before="0" w:after="0" w:line="475" w:lineRule="exact"/>
        <w:ind w:left="0" w:right="0" w:firstLine="440"/>
        <w:jc w:val="left"/>
      </w:pPr>
      <w:bookmarkStart w:id="847" w:name="bookmark847"/>
      <w:bookmarkEnd w:id="847"/>
      <w:r>
        <w:rPr>
          <w:color w:val="000000"/>
          <w:spacing w:val="0"/>
          <w:w w:val="100"/>
          <w:position w:val="0"/>
        </w:rPr>
        <w:t>需要经过加工的材料存货，在正常生产经营过程中，以所生产的产成品的估计售价减去至完工时 估计将要发生的成本、估计的销售费用和相关税费后的金额，确定其可变现净值。</w:t>
      </w:r>
    </w:p>
    <w:p>
      <w:pPr>
        <w:pStyle w:val="Style10"/>
        <w:keepNext w:val="0"/>
        <w:keepLines w:val="0"/>
        <w:widowControl w:val="0"/>
        <w:numPr>
          <w:ilvl w:val="0"/>
          <w:numId w:val="67"/>
        </w:numPr>
        <w:shd w:val="clear" w:color="auto" w:fill="auto"/>
        <w:tabs>
          <w:tab w:pos="810" w:val="left"/>
        </w:tabs>
        <w:bidi w:val="0"/>
        <w:spacing w:before="0" w:after="0" w:line="466" w:lineRule="exact"/>
        <w:ind w:left="0" w:right="0" w:firstLine="440"/>
        <w:jc w:val="left"/>
      </w:pPr>
      <w:bookmarkStart w:id="848" w:name="bookmark848"/>
      <w:bookmarkEnd w:id="848"/>
      <w:r>
        <w:rPr>
          <w:color w:val="000000"/>
          <w:spacing w:val="0"/>
          <w:w w:val="100"/>
          <w:position w:val="0"/>
        </w:rPr>
        <w:t>资产负债表日，同一项存货中一部分有合同价格约定、其他部分不存在合同价格的，应当分别确 定其可变现净值，并与其相对应的成本进行比较，分别确定存货跌价准备的计提或转回的金额。</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存货跌价准备按单个存货项目（或存货类别）计提，与在同一地区生产和销售的产品系列相关、具有相 同或类似最终用途或目的，且难以与其他项目分开计量的存货，合并计提存货跌价准备。</w:t>
      </w:r>
    </w:p>
    <w:p>
      <w:pPr>
        <w:pStyle w:val="Style10"/>
        <w:keepNext w:val="0"/>
        <w:keepLines w:val="0"/>
        <w:widowControl w:val="0"/>
        <w:shd w:val="clear" w:color="auto" w:fill="auto"/>
        <w:tabs>
          <w:tab w:pos="870" w:val="left"/>
        </w:tabs>
        <w:bidi w:val="0"/>
        <w:spacing w:before="0" w:after="0" w:line="470" w:lineRule="exact"/>
        <w:ind w:left="0" w:right="0" w:firstLine="440"/>
        <w:jc w:val="left"/>
      </w:pPr>
      <w:bookmarkStart w:id="849" w:name="bookmark849"/>
      <w:r>
        <w:rPr>
          <w:color w:val="000000"/>
          <w:spacing w:val="0"/>
          <w:w w:val="100"/>
          <w:position w:val="0"/>
        </w:rPr>
        <w:t>（</w:t>
      </w:r>
      <w:bookmarkEnd w:id="849"/>
      <w:r>
        <w:rPr>
          <w:color w:val="000000"/>
          <w:spacing w:val="0"/>
          <w:w w:val="100"/>
          <w:position w:val="0"/>
        </w:rPr>
        <w:t>4）</w:t>
        <w:tab/>
      </w:r>
      <w:r>
        <w:rPr>
          <w:color w:val="000000"/>
          <w:spacing w:val="0"/>
          <w:w w:val="100"/>
          <w:position w:val="0"/>
        </w:rPr>
        <w:t>存货的盘存制度</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存货的盘存制度采用永续盘存制。</w:t>
      </w:r>
    </w:p>
    <w:p>
      <w:pPr>
        <w:pStyle w:val="Style10"/>
        <w:keepNext w:val="0"/>
        <w:keepLines w:val="0"/>
        <w:widowControl w:val="0"/>
        <w:shd w:val="clear" w:color="auto" w:fill="auto"/>
        <w:tabs>
          <w:tab w:pos="870" w:val="left"/>
        </w:tabs>
        <w:bidi w:val="0"/>
        <w:spacing w:before="0" w:after="0" w:line="470" w:lineRule="exact"/>
        <w:ind w:left="0" w:right="0" w:firstLine="440"/>
        <w:jc w:val="left"/>
      </w:pPr>
      <w:bookmarkStart w:id="850" w:name="bookmark850"/>
      <w:r>
        <w:rPr>
          <w:color w:val="000000"/>
          <w:spacing w:val="0"/>
          <w:w w:val="100"/>
          <w:position w:val="0"/>
        </w:rPr>
        <w:t>（</w:t>
      </w:r>
      <w:bookmarkEnd w:id="850"/>
      <w:r>
        <w:rPr>
          <w:color w:val="000000"/>
          <w:spacing w:val="0"/>
          <w:w w:val="100"/>
          <w:position w:val="0"/>
        </w:rPr>
        <w:t>5）</w:t>
        <w:tab/>
      </w:r>
      <w:r>
        <w:rPr>
          <w:color w:val="000000"/>
          <w:spacing w:val="0"/>
          <w:w w:val="100"/>
          <w:position w:val="0"/>
        </w:rPr>
        <w:t>低值易耗品和包装物的摊销方法</w:t>
      </w:r>
    </w:p>
    <w:p>
      <w:pPr>
        <w:pStyle w:val="Style1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对低值易耗品采用一次转销法进行摊销。</w:t>
      </w:r>
    </w:p>
    <w:p>
      <w:pPr>
        <w:pStyle w:val="Style10"/>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对包装物采用一次转销法进行摊销。</w:t>
      </w:r>
    </w:p>
    <w:p>
      <w:pPr>
        <w:pStyle w:val="Style29"/>
        <w:keepNext/>
        <w:keepLines/>
        <w:widowControl w:val="0"/>
        <w:shd w:val="clear" w:color="auto" w:fill="auto"/>
        <w:tabs>
          <w:tab w:pos="459" w:val="left"/>
        </w:tabs>
        <w:bidi w:val="0"/>
        <w:spacing w:before="0" w:after="0" w:line="492"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51"/>
      <w:bookmarkEnd w:id="852"/>
      <w:bookmarkEnd w:id="854"/>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合同资产，指已向客户转让商品而有权收取对价的权利，且该权利取决于时间流逝之外的其他因素。 向客户销售两项可明确区分的商品，因已交付其中一项商品而有权收取款项，但收取该款项还取决于交付 另一项商品的，该收款权利应作为合同资产。同一合同下的合同资产和合同负债以净额列示，不同合同下 的合同资产和合同负债不予抵销。</w:t>
      </w:r>
    </w:p>
    <w:p>
      <w:pPr>
        <w:pStyle w:val="Style10"/>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正常履行合同形成的合同资产，如果合同付款逾期未超过</w:t>
      </w:r>
      <w:r>
        <w:rPr>
          <w:color w:val="000000"/>
          <w:spacing w:val="0"/>
          <w:w w:val="100"/>
          <w:position w:val="0"/>
        </w:rPr>
        <w:t>30</w:t>
      </w:r>
      <w:r>
        <w:rPr>
          <w:color w:val="000000"/>
          <w:spacing w:val="0"/>
          <w:w w:val="100"/>
          <w:position w:val="0"/>
        </w:rPr>
        <w:t>日的，判断合同应收的现金流量与预期 能收到的现金流量之间不存在差异，不确认合同资产减值准备；如果合同付款逾期超过（含）</w:t>
      </w:r>
      <w:r>
        <w:rPr>
          <w:color w:val="000000"/>
          <w:spacing w:val="0"/>
          <w:w w:val="100"/>
          <w:position w:val="0"/>
        </w:rPr>
        <w:t>30</w:t>
      </w:r>
      <w:r>
        <w:rPr>
          <w:color w:val="000000"/>
          <w:spacing w:val="0"/>
          <w:w w:val="100"/>
          <w:position w:val="0"/>
        </w:rPr>
        <w:t>日的，按 照该合同资产整个存续期的预期信用损失确认合同资产减值准备，具体确定方法和会计处理方法参见“附 注五、</w:t>
      </w:r>
      <w:r>
        <w:rPr>
          <w:color w:val="000000"/>
          <w:spacing w:val="0"/>
          <w:w w:val="100"/>
          <w:position w:val="0"/>
        </w:rPr>
        <w:t>10</w:t>
      </w:r>
      <w:r>
        <w:rPr>
          <w:color w:val="000000"/>
          <w:spacing w:val="0"/>
          <w:w w:val="100"/>
          <w:position w:val="0"/>
        </w:rPr>
        <w:t>、金融工具”。</w:t>
      </w:r>
    </w:p>
    <w:p>
      <w:pPr>
        <w:pStyle w:val="Style29"/>
        <w:keepNext/>
        <w:keepLines/>
        <w:widowControl w:val="0"/>
        <w:shd w:val="clear" w:color="auto" w:fill="auto"/>
        <w:tabs>
          <w:tab w:pos="459" w:val="left"/>
        </w:tabs>
        <w:bidi w:val="0"/>
        <w:spacing w:before="0" w:after="0" w:line="492"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55"/>
      <w:bookmarkEnd w:id="856"/>
      <w:bookmarkEnd w:id="858"/>
    </w:p>
    <w:p>
      <w:pPr>
        <w:pStyle w:val="Style10"/>
        <w:keepNext w:val="0"/>
        <w:keepLines w:val="0"/>
        <w:widowControl w:val="0"/>
        <w:shd w:val="clear" w:color="auto" w:fill="auto"/>
        <w:bidi w:val="0"/>
        <w:spacing w:before="0" w:after="0" w:line="470" w:lineRule="exact"/>
        <w:ind w:left="0" w:right="0" w:firstLine="440"/>
        <w:jc w:val="both"/>
      </w:pPr>
      <w:bookmarkStart w:id="859" w:name="bookmark859"/>
      <w:r>
        <w:rPr>
          <w:color w:val="000000"/>
          <w:spacing w:val="0"/>
          <w:w w:val="100"/>
          <w:position w:val="0"/>
        </w:rPr>
        <w:t>（</w:t>
      </w:r>
      <w:bookmarkEnd w:id="859"/>
      <w:r>
        <w:rPr>
          <w:color w:val="000000"/>
          <w:spacing w:val="0"/>
          <w:w w:val="100"/>
          <w:position w:val="0"/>
        </w:rPr>
        <w:t>1）</w:t>
      </w:r>
      <w:r>
        <w:rPr>
          <w:color w:val="000000"/>
          <w:spacing w:val="0"/>
          <w:w w:val="100"/>
          <w:position w:val="0"/>
        </w:rPr>
        <w:t>合同履约成本</w:t>
      </w:r>
    </w:p>
    <w:p>
      <w:pPr>
        <w:pStyle w:val="Style1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本公司对于为履行合同发生的成本，不属于除收入准则外的其他企业会计准则范围且同时满足下列条 件的作为合同履约成本确认为一项资产：</w:t>
      </w:r>
    </w:p>
    <w:p>
      <w:pPr>
        <w:pStyle w:val="Style10"/>
        <w:keepNext w:val="0"/>
        <w:keepLines w:val="0"/>
        <w:widowControl w:val="0"/>
        <w:numPr>
          <w:ilvl w:val="0"/>
          <w:numId w:val="69"/>
        </w:numPr>
        <w:shd w:val="clear" w:color="auto" w:fill="auto"/>
        <w:bidi w:val="0"/>
        <w:spacing w:before="0" w:after="0" w:line="470" w:lineRule="exact"/>
        <w:ind w:left="0" w:right="0" w:firstLine="440"/>
        <w:jc w:val="left"/>
      </w:pPr>
      <w:bookmarkStart w:id="860" w:name="bookmark860"/>
      <w:bookmarkEnd w:id="860"/>
      <w:r>
        <w:rPr>
          <w:color w:val="000000"/>
          <w:spacing w:val="0"/>
          <w:w w:val="100"/>
          <w:position w:val="0"/>
        </w:rPr>
        <w:t>该成本与一份当前或预期取得的合同直接相关，包括直接人工、直接材料、制造费用（或类似费用）、</w:t>
      </w:r>
    </w:p>
    <w:p>
      <w:pPr>
        <w:pStyle w:val="Style10"/>
        <w:keepNext w:val="0"/>
        <w:keepLines w:val="0"/>
        <w:widowControl w:val="0"/>
        <w:shd w:val="clear" w:color="auto" w:fill="auto"/>
        <w:bidi w:val="0"/>
        <w:spacing w:before="0" w:after="0" w:line="468" w:lineRule="exact"/>
        <w:ind w:left="0" w:right="0" w:firstLine="0"/>
        <w:jc w:val="left"/>
      </w:pPr>
      <w:r>
        <w:rPr>
          <w:color w:val="000000"/>
          <w:spacing w:val="0"/>
          <w:w w:val="100"/>
          <w:position w:val="0"/>
        </w:rPr>
        <w:t>明确由客户承担的成本以及仅因该合同而发生的其他成本；</w:t>
      </w:r>
    </w:p>
    <w:p>
      <w:pPr>
        <w:pStyle w:val="Style10"/>
        <w:keepNext w:val="0"/>
        <w:keepLines w:val="0"/>
        <w:widowControl w:val="0"/>
        <w:numPr>
          <w:ilvl w:val="0"/>
          <w:numId w:val="71"/>
        </w:numPr>
        <w:shd w:val="clear" w:color="auto" w:fill="auto"/>
        <w:tabs>
          <w:tab w:pos="837" w:val="left"/>
        </w:tabs>
        <w:bidi w:val="0"/>
        <w:spacing w:before="0" w:after="0" w:line="468" w:lineRule="exact"/>
        <w:ind w:left="0" w:right="0" w:firstLine="440"/>
        <w:jc w:val="left"/>
      </w:pPr>
      <w:bookmarkStart w:id="861" w:name="bookmark861"/>
      <w:bookmarkEnd w:id="861"/>
      <w:r>
        <w:rPr>
          <w:color w:val="000000"/>
          <w:spacing w:val="0"/>
          <w:w w:val="100"/>
          <w:position w:val="0"/>
        </w:rPr>
        <w:t>该成本增加了企业未来用于履行履约义务的资源。</w:t>
      </w:r>
    </w:p>
    <w:p>
      <w:pPr>
        <w:pStyle w:val="Style10"/>
        <w:keepNext w:val="0"/>
        <w:keepLines w:val="0"/>
        <w:widowControl w:val="0"/>
        <w:numPr>
          <w:ilvl w:val="0"/>
          <w:numId w:val="71"/>
        </w:numPr>
        <w:shd w:val="clear" w:color="auto" w:fill="auto"/>
        <w:tabs>
          <w:tab w:pos="837" w:val="left"/>
        </w:tabs>
        <w:bidi w:val="0"/>
        <w:spacing w:before="0" w:after="0" w:line="468" w:lineRule="exact"/>
        <w:ind w:left="0" w:right="0" w:firstLine="440"/>
        <w:jc w:val="both"/>
      </w:pPr>
      <w:bookmarkStart w:id="862" w:name="bookmark862"/>
      <w:bookmarkEnd w:id="862"/>
      <w:r>
        <w:rPr>
          <w:color w:val="000000"/>
          <w:spacing w:val="0"/>
          <w:w w:val="100"/>
          <w:position w:val="0"/>
        </w:rPr>
        <w:t>该成本预期能够收回。</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该资产根据其初始确认时摊销期限是否超过一个正常营业周期在存货或其他非流动资产中列报。</w:t>
      </w:r>
    </w:p>
    <w:p>
      <w:pPr>
        <w:pStyle w:val="Style10"/>
        <w:keepNext w:val="0"/>
        <w:keepLines w:val="0"/>
        <w:widowControl w:val="0"/>
        <w:shd w:val="clear" w:color="auto" w:fill="auto"/>
        <w:tabs>
          <w:tab w:pos="928" w:val="left"/>
        </w:tabs>
        <w:bidi w:val="0"/>
        <w:spacing w:before="0" w:after="0" w:line="468" w:lineRule="exact"/>
        <w:ind w:left="0" w:right="0" w:firstLine="440"/>
        <w:jc w:val="both"/>
      </w:pPr>
      <w:bookmarkStart w:id="863" w:name="bookmark863"/>
      <w:r>
        <w:rPr>
          <w:color w:val="000000"/>
          <w:spacing w:val="0"/>
          <w:w w:val="100"/>
          <w:position w:val="0"/>
        </w:rPr>
        <w:t>（</w:t>
      </w:r>
      <w:bookmarkEnd w:id="863"/>
      <w:r>
        <w:rPr>
          <w:color w:val="000000"/>
          <w:spacing w:val="0"/>
          <w:w w:val="100"/>
          <w:position w:val="0"/>
        </w:rPr>
        <w:t>2）</w:t>
        <w:tab/>
      </w:r>
      <w:r>
        <w:rPr>
          <w:color w:val="000000"/>
          <w:spacing w:val="0"/>
          <w:w w:val="100"/>
          <w:position w:val="0"/>
        </w:rPr>
        <w:t>合同取得成本</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本公司为取得合同发生的增量成本预期能够收回的，作为合同取得成本确认为一项资产。增量成本是 指本公司不取得合同就不会发生的成本，如销售佣金等。对于摊销期限不超过一年的，在发生时计入当期 损益。</w:t>
      </w:r>
    </w:p>
    <w:p>
      <w:pPr>
        <w:pStyle w:val="Style10"/>
        <w:keepNext w:val="0"/>
        <w:keepLines w:val="0"/>
        <w:widowControl w:val="0"/>
        <w:shd w:val="clear" w:color="auto" w:fill="auto"/>
        <w:tabs>
          <w:tab w:pos="928" w:val="left"/>
        </w:tabs>
        <w:bidi w:val="0"/>
        <w:spacing w:before="0" w:after="0" w:line="468" w:lineRule="exact"/>
        <w:ind w:left="0" w:right="0" w:firstLine="440"/>
        <w:jc w:val="both"/>
      </w:pPr>
      <w:bookmarkStart w:id="864" w:name="bookmark864"/>
      <w:r>
        <w:rPr>
          <w:color w:val="000000"/>
          <w:spacing w:val="0"/>
          <w:w w:val="100"/>
          <w:position w:val="0"/>
        </w:rPr>
        <w:t>（</w:t>
      </w:r>
      <w:bookmarkEnd w:id="864"/>
      <w:r>
        <w:rPr>
          <w:color w:val="000000"/>
          <w:spacing w:val="0"/>
          <w:w w:val="100"/>
          <w:position w:val="0"/>
        </w:rPr>
        <w:t>3）</w:t>
        <w:tab/>
      </w:r>
      <w:r>
        <w:rPr>
          <w:color w:val="000000"/>
          <w:spacing w:val="0"/>
          <w:w w:val="100"/>
          <w:position w:val="0"/>
        </w:rPr>
        <w:t>合同成本摊销</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上述与合同成本有关的资产，采用与该资产相关的商品或服务收入确认相同的基础，在履约义务履行 的时点或按照履约义务的履约进度进行摊销，计入当期损益。</w:t>
      </w:r>
    </w:p>
    <w:p>
      <w:pPr>
        <w:pStyle w:val="Style10"/>
        <w:keepNext w:val="0"/>
        <w:keepLines w:val="0"/>
        <w:widowControl w:val="0"/>
        <w:shd w:val="clear" w:color="auto" w:fill="auto"/>
        <w:tabs>
          <w:tab w:pos="928" w:val="left"/>
        </w:tabs>
        <w:bidi w:val="0"/>
        <w:spacing w:before="0" w:after="0" w:line="468" w:lineRule="exact"/>
        <w:ind w:left="0" w:right="0" w:firstLine="440"/>
        <w:jc w:val="both"/>
      </w:pPr>
      <w:bookmarkStart w:id="865" w:name="bookmark865"/>
      <w:r>
        <w:rPr>
          <w:color w:val="000000"/>
          <w:spacing w:val="0"/>
          <w:w w:val="100"/>
          <w:position w:val="0"/>
        </w:rPr>
        <w:t>（</w:t>
      </w:r>
      <w:bookmarkEnd w:id="865"/>
      <w:r>
        <w:rPr>
          <w:color w:val="000000"/>
          <w:spacing w:val="0"/>
          <w:w w:val="100"/>
          <w:position w:val="0"/>
        </w:rPr>
        <w:t>4）</w:t>
        <w:tab/>
      </w:r>
      <w:r>
        <w:rPr>
          <w:color w:val="000000"/>
          <w:spacing w:val="0"/>
          <w:w w:val="100"/>
          <w:position w:val="0"/>
        </w:rPr>
        <w:t>合同成本减值</w:t>
      </w:r>
    </w:p>
    <w:p>
      <w:pPr>
        <w:pStyle w:val="Style10"/>
        <w:keepNext w:val="0"/>
        <w:keepLines w:val="0"/>
        <w:widowControl w:val="0"/>
        <w:shd w:val="clear" w:color="auto" w:fill="auto"/>
        <w:bidi w:val="0"/>
        <w:spacing w:before="0" w:after="0" w:line="461" w:lineRule="exact"/>
        <w:ind w:left="0" w:right="0" w:firstLine="440"/>
        <w:jc w:val="both"/>
      </w:pPr>
      <w:r>
        <w:rPr>
          <w:color w:val="000000"/>
          <w:spacing w:val="0"/>
          <w:w w:val="100"/>
          <w:position w:val="0"/>
        </w:rPr>
        <w:t>上述与合同成本有关的资产，账面价值高于本公司因转让与该资产相关的商品预期能够取得剩余对价 与为转让该相关商品估计将要发生的成本的差额的，超出部分应当计提减值准备，并确认为资产减值损失。</w:t>
      </w:r>
    </w:p>
    <w:p>
      <w:pPr>
        <w:pStyle w:val="Style10"/>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计提减值准备后，如果以前期间减值的因素发生变化，使得上述两项差额高于该资产账面价值的，转 回原己计提的资产减值准备，并计入当期损益，但转回后的资产账面价值不超过假定不计提减值准备情况 下该资产在转回日的账面价值。</w:t>
      </w:r>
    </w:p>
    <w:p>
      <w:pPr>
        <w:pStyle w:val="Style29"/>
        <w:keepNext/>
        <w:keepLines/>
        <w:widowControl w:val="0"/>
        <w:shd w:val="clear" w:color="auto" w:fill="auto"/>
        <w:bidi w:val="0"/>
        <w:spacing w:before="0" w:after="0" w:line="480" w:lineRule="auto"/>
        <w:ind w:left="0" w:right="0" w:firstLine="0"/>
        <w:jc w:val="both"/>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866"/>
      <w:bookmarkEnd w:id="867"/>
      <w:bookmarkEnd w:id="869"/>
    </w:p>
    <w:p>
      <w:pPr>
        <w:pStyle w:val="Style10"/>
        <w:keepNext w:val="0"/>
        <w:keepLines w:val="0"/>
        <w:widowControl w:val="0"/>
        <w:shd w:val="clear" w:color="auto" w:fill="auto"/>
        <w:tabs>
          <w:tab w:pos="928" w:val="left"/>
        </w:tabs>
        <w:bidi w:val="0"/>
        <w:spacing w:before="0" w:after="0" w:line="468" w:lineRule="exact"/>
        <w:ind w:left="0" w:right="0" w:firstLine="440"/>
        <w:jc w:val="left"/>
      </w:pPr>
      <w:bookmarkStart w:id="870" w:name="bookmark870"/>
      <w:r>
        <w:rPr>
          <w:color w:val="000000"/>
          <w:spacing w:val="0"/>
          <w:w w:val="100"/>
          <w:position w:val="0"/>
        </w:rPr>
        <w:t>（</w:t>
      </w:r>
      <w:bookmarkEnd w:id="870"/>
      <w:r>
        <w:rPr>
          <w:color w:val="000000"/>
          <w:spacing w:val="0"/>
          <w:w w:val="100"/>
          <w:position w:val="0"/>
        </w:rPr>
        <w:t>1）</w:t>
        <w:tab/>
      </w:r>
      <w:r>
        <w:rPr>
          <w:color w:val="000000"/>
          <w:spacing w:val="0"/>
          <w:w w:val="100"/>
          <w:position w:val="0"/>
        </w:rPr>
        <w:t>划分为持有待售确认标准</w:t>
      </w:r>
    </w:p>
    <w:p>
      <w:pPr>
        <w:pStyle w:val="Style1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本公司将同时满足下列条件的非流动资产或处置组确认为持有待售组成部分：</w:t>
      </w:r>
    </w:p>
    <w:p>
      <w:pPr>
        <w:pStyle w:val="Style10"/>
        <w:keepNext w:val="0"/>
        <w:keepLines w:val="0"/>
        <w:widowControl w:val="0"/>
        <w:numPr>
          <w:ilvl w:val="0"/>
          <w:numId w:val="73"/>
        </w:numPr>
        <w:shd w:val="clear" w:color="auto" w:fill="auto"/>
        <w:tabs>
          <w:tab w:pos="832" w:val="left"/>
        </w:tabs>
        <w:bidi w:val="0"/>
        <w:spacing w:before="0" w:after="0" w:line="468" w:lineRule="exact"/>
        <w:ind w:left="0" w:right="0" w:firstLine="440"/>
        <w:jc w:val="left"/>
      </w:pPr>
      <w:bookmarkStart w:id="871" w:name="bookmark871"/>
      <w:bookmarkEnd w:id="871"/>
      <w:r>
        <w:rPr>
          <w:color w:val="000000"/>
          <w:spacing w:val="0"/>
          <w:w w:val="100"/>
          <w:position w:val="0"/>
        </w:rPr>
        <w:t>根据类似交易中出售此类资产或处置组的惯例，在当前状况下即可立即出售；</w:t>
      </w:r>
    </w:p>
    <w:p>
      <w:pPr>
        <w:pStyle w:val="Style10"/>
        <w:keepNext w:val="0"/>
        <w:keepLines w:val="0"/>
        <w:widowControl w:val="0"/>
        <w:numPr>
          <w:ilvl w:val="0"/>
          <w:numId w:val="73"/>
        </w:numPr>
        <w:shd w:val="clear" w:color="auto" w:fill="auto"/>
        <w:tabs>
          <w:tab w:pos="810" w:val="left"/>
        </w:tabs>
        <w:bidi w:val="0"/>
        <w:spacing w:before="0" w:after="0" w:line="470" w:lineRule="exact"/>
        <w:ind w:left="0" w:right="0" w:firstLine="440"/>
        <w:jc w:val="both"/>
      </w:pPr>
      <w:bookmarkStart w:id="872" w:name="bookmark872"/>
      <w:bookmarkEnd w:id="872"/>
      <w:r>
        <w:rPr>
          <w:color w:val="000000"/>
          <w:spacing w:val="0"/>
          <w:w w:val="100"/>
          <w:position w:val="0"/>
        </w:rPr>
        <w:t>出售极可能发生，即本公司已经就一项出售计划作出决议，且获得确定的购买承诺，预计出售将在 一年内完成。</w:t>
      </w:r>
    </w:p>
    <w:p>
      <w:pPr>
        <w:pStyle w:val="Style10"/>
        <w:keepNext w:val="0"/>
        <w:keepLines w:val="0"/>
        <w:widowControl w:val="0"/>
        <w:shd w:val="clear" w:color="auto" w:fill="auto"/>
        <w:bidi w:val="0"/>
        <w:spacing w:before="0" w:after="0" w:line="456" w:lineRule="exact"/>
        <w:ind w:left="0" w:right="0" w:firstLine="440"/>
        <w:jc w:val="both"/>
      </w:pPr>
      <w:r>
        <w:rPr>
          <w:color w:val="000000"/>
          <w:spacing w:val="0"/>
          <w:w w:val="100"/>
          <w:position w:val="0"/>
        </w:rPr>
        <w:t>确定的购买承诺，是指本公司与其他方签订的具有法律约束力的购买协议，该协议包含交易价格、时 间和足够严厉的违约惩罚等重要条款，使协议出现重大调整或者撤销的可能性极小。</w:t>
      </w:r>
    </w:p>
    <w:p>
      <w:pPr>
        <w:pStyle w:val="Style10"/>
        <w:keepNext w:val="0"/>
        <w:keepLines w:val="0"/>
        <w:widowControl w:val="0"/>
        <w:shd w:val="clear" w:color="auto" w:fill="auto"/>
        <w:tabs>
          <w:tab w:pos="928" w:val="left"/>
        </w:tabs>
        <w:bidi w:val="0"/>
        <w:spacing w:before="0" w:after="0" w:line="468" w:lineRule="exact"/>
        <w:ind w:left="0" w:right="0" w:firstLine="440"/>
        <w:jc w:val="both"/>
      </w:pPr>
      <w:bookmarkStart w:id="873" w:name="bookmark873"/>
      <w:r>
        <w:rPr>
          <w:color w:val="000000"/>
          <w:spacing w:val="0"/>
          <w:w w:val="100"/>
          <w:position w:val="0"/>
        </w:rPr>
        <w:t>（</w:t>
      </w:r>
      <w:bookmarkEnd w:id="873"/>
      <w:r>
        <w:rPr>
          <w:color w:val="000000"/>
          <w:spacing w:val="0"/>
          <w:w w:val="100"/>
          <w:position w:val="0"/>
        </w:rPr>
        <w:t>2）</w:t>
        <w:tab/>
      </w:r>
      <w:r>
        <w:rPr>
          <w:color w:val="000000"/>
          <w:spacing w:val="0"/>
          <w:w w:val="100"/>
          <w:position w:val="0"/>
        </w:rPr>
        <w:t>持有待售核算方法</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本公司对于持有待售的非流动资产或处置组不计提折旧或摊销，其账面价值高于公允价值减去出售费 </w:t>
      </w:r>
      <w:r>
        <w:rPr>
          <w:color w:val="000000"/>
          <w:spacing w:val="0"/>
          <w:w w:val="100"/>
          <w:position w:val="0"/>
        </w:rPr>
        <w:t>用后的净额的，应当将账面价值减记至公允价值减去出售费用后的净额，减记的金额确认为资产减值损失， 计入当期损益，同时计提持有待售资产减值准备。</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对于取得日划分为持有待售类别的非流动资产或处置组，在初始计量时比较假定其不划分为持有待售 类别情况下的初始计量金额和公允价值减去出售费用后的净额，以两者孰低计量。</w:t>
      </w:r>
    </w:p>
    <w:p>
      <w:pPr>
        <w:pStyle w:val="Style10"/>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上述原则适用于所有非流动资产，但不包括采用公允价值模式进行后续计量的投资性房地产、采用公 允价值减去出售费用后的净额计量的生物资产、职工薪酬形成的资产、递延所得税资产、由金融工具相关 会计准则规范的金融资产、由保险合同相关会计准则规范的保险合同所产生的权利。</w:t>
      </w:r>
    </w:p>
    <w:p>
      <w:pPr>
        <w:pStyle w:val="Style29"/>
        <w:keepNext/>
        <w:keepLines/>
        <w:widowControl w:val="0"/>
        <w:shd w:val="clear" w:color="auto" w:fill="auto"/>
        <w:tabs>
          <w:tab w:pos="459" w:val="left"/>
        </w:tabs>
        <w:bidi w:val="0"/>
        <w:spacing w:before="0" w:after="0" w:line="492"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74"/>
      <w:bookmarkEnd w:id="875"/>
      <w:bookmarkEnd w:id="877"/>
    </w:p>
    <w:p>
      <w:pPr>
        <w:pStyle w:val="Style10"/>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不适用</w:t>
      </w:r>
    </w:p>
    <w:p>
      <w:pPr>
        <w:pStyle w:val="Style29"/>
        <w:keepNext/>
        <w:keepLines/>
        <w:widowControl w:val="0"/>
        <w:shd w:val="clear" w:color="auto" w:fill="auto"/>
        <w:tabs>
          <w:tab w:pos="469" w:val="left"/>
        </w:tabs>
        <w:bidi w:val="0"/>
        <w:spacing w:before="0" w:after="0" w:line="492"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78"/>
      <w:bookmarkEnd w:id="879"/>
      <w:bookmarkEnd w:id="881"/>
    </w:p>
    <w:p>
      <w:pPr>
        <w:pStyle w:val="Style10"/>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不适用</w:t>
      </w:r>
    </w:p>
    <w:p>
      <w:pPr>
        <w:pStyle w:val="Style29"/>
        <w:keepNext/>
        <w:keepLines/>
        <w:widowControl w:val="0"/>
        <w:shd w:val="clear" w:color="auto" w:fill="auto"/>
        <w:tabs>
          <w:tab w:pos="469" w:val="left"/>
        </w:tabs>
        <w:bidi w:val="0"/>
        <w:spacing w:before="0" w:after="0" w:line="492"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82"/>
      <w:bookmarkEnd w:id="883"/>
      <w:bookmarkEnd w:id="885"/>
    </w:p>
    <w:p>
      <w:pPr>
        <w:pStyle w:val="Style10"/>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不适用</w:t>
      </w:r>
    </w:p>
    <w:p>
      <w:pPr>
        <w:pStyle w:val="Style29"/>
        <w:keepNext/>
        <w:keepLines/>
        <w:widowControl w:val="0"/>
        <w:shd w:val="clear" w:color="auto" w:fill="auto"/>
        <w:tabs>
          <w:tab w:pos="469" w:val="left"/>
        </w:tabs>
        <w:bidi w:val="0"/>
        <w:spacing w:before="0" w:after="0" w:line="492" w:lineRule="auto"/>
        <w:ind w:left="0" w:right="0" w:firstLine="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86"/>
      <w:bookmarkEnd w:id="887"/>
      <w:bookmarkEnd w:id="889"/>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长期股权投资是指公司对被投资单位实施控制、重大影响的权益性投资，以及对其合营企业的投资。</w:t>
      </w:r>
    </w:p>
    <w:p>
      <w:pPr>
        <w:pStyle w:val="Style10"/>
        <w:keepNext w:val="0"/>
        <w:keepLines w:val="0"/>
        <w:widowControl w:val="0"/>
        <w:numPr>
          <w:ilvl w:val="0"/>
          <w:numId w:val="75"/>
        </w:numPr>
        <w:shd w:val="clear" w:color="auto" w:fill="auto"/>
        <w:bidi w:val="0"/>
        <w:spacing w:before="0" w:after="0" w:line="470" w:lineRule="exact"/>
        <w:ind w:left="0" w:right="0" w:firstLine="440"/>
        <w:jc w:val="both"/>
      </w:pPr>
      <w:bookmarkStart w:id="890" w:name="bookmark890"/>
      <w:bookmarkEnd w:id="890"/>
      <w:r>
        <w:rPr>
          <w:color w:val="000000"/>
          <w:spacing w:val="0"/>
          <w:w w:val="100"/>
          <w:position w:val="0"/>
        </w:rPr>
        <w:t>投资成本确定</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除对外合并形成的长期股权投资以外，其他方式取得的长期股权投资，按照下列规定确定其初始投资 成本：</w:t>
      </w:r>
    </w:p>
    <w:p>
      <w:pPr>
        <w:pStyle w:val="Style10"/>
        <w:keepNext w:val="0"/>
        <w:keepLines w:val="0"/>
        <w:widowControl w:val="0"/>
        <w:numPr>
          <w:ilvl w:val="0"/>
          <w:numId w:val="77"/>
        </w:numPr>
        <w:shd w:val="clear" w:color="auto" w:fill="auto"/>
        <w:tabs>
          <w:tab w:pos="814" w:val="left"/>
        </w:tabs>
        <w:bidi w:val="0"/>
        <w:spacing w:before="0" w:after="0" w:line="470" w:lineRule="exact"/>
        <w:ind w:left="0" w:right="0" w:firstLine="440"/>
        <w:jc w:val="both"/>
      </w:pPr>
      <w:bookmarkStart w:id="891" w:name="bookmark891"/>
      <w:bookmarkEnd w:id="891"/>
      <w:r>
        <w:rPr>
          <w:color w:val="000000"/>
          <w:spacing w:val="0"/>
          <w:w w:val="100"/>
          <w:position w:val="0"/>
        </w:rPr>
        <w:t>以支付现金取得的长期股权投资，按照实际支付的购买价款作为初始投资成本。初始投资成本包 括与取得长期股权投资直接相关的费用、税金及其他必要支出；</w:t>
      </w:r>
    </w:p>
    <w:p>
      <w:pPr>
        <w:pStyle w:val="Style10"/>
        <w:keepNext w:val="0"/>
        <w:keepLines w:val="0"/>
        <w:widowControl w:val="0"/>
        <w:numPr>
          <w:ilvl w:val="0"/>
          <w:numId w:val="77"/>
        </w:numPr>
        <w:shd w:val="clear" w:color="auto" w:fill="auto"/>
        <w:tabs>
          <w:tab w:pos="837" w:val="left"/>
        </w:tabs>
        <w:bidi w:val="0"/>
        <w:spacing w:before="0" w:after="0" w:line="470" w:lineRule="exact"/>
        <w:ind w:left="0" w:right="0" w:firstLine="440"/>
        <w:jc w:val="both"/>
      </w:pPr>
      <w:bookmarkStart w:id="892" w:name="bookmark892"/>
      <w:bookmarkEnd w:id="892"/>
      <w:r>
        <w:rPr>
          <w:color w:val="000000"/>
          <w:spacing w:val="0"/>
          <w:w w:val="100"/>
          <w:position w:val="0"/>
        </w:rPr>
        <w:t>以发行权益性证券取得的长期股权投资，按照发行权益性证券的公允价值作为初始投资成本；</w:t>
      </w:r>
    </w:p>
    <w:p>
      <w:pPr>
        <w:pStyle w:val="Style10"/>
        <w:keepNext w:val="0"/>
        <w:keepLines w:val="0"/>
        <w:widowControl w:val="0"/>
        <w:numPr>
          <w:ilvl w:val="0"/>
          <w:numId w:val="77"/>
        </w:numPr>
        <w:shd w:val="clear" w:color="auto" w:fill="auto"/>
        <w:tabs>
          <w:tab w:pos="810" w:val="left"/>
        </w:tabs>
        <w:bidi w:val="0"/>
        <w:spacing w:before="0" w:after="0" w:line="475" w:lineRule="exact"/>
        <w:ind w:left="0" w:right="0" w:firstLine="440"/>
        <w:jc w:val="left"/>
      </w:pPr>
      <w:bookmarkStart w:id="893" w:name="bookmark893"/>
      <w:bookmarkEnd w:id="893"/>
      <w:r>
        <w:rPr>
          <w:color w:val="000000"/>
          <w:spacing w:val="0"/>
          <w:w w:val="100"/>
          <w:position w:val="0"/>
        </w:rPr>
        <w:t>通过非货币性资产交换取得的长期股权投资，其初始投资成本应当按照《企业会计准则第</w:t>
      </w:r>
      <w:r>
        <w:rPr>
          <w:color w:val="000000"/>
          <w:spacing w:val="0"/>
          <w:w w:val="100"/>
          <w:position w:val="0"/>
        </w:rPr>
        <w:t>7</w:t>
      </w:r>
      <w:r>
        <w:rPr>
          <w:color w:val="000000"/>
          <w:spacing w:val="0"/>
          <w:w w:val="100"/>
          <w:position w:val="0"/>
        </w:rPr>
        <w:t>号一 非货币性资产交换》确定；</w:t>
      </w:r>
    </w:p>
    <w:p>
      <w:pPr>
        <w:pStyle w:val="Style10"/>
        <w:keepNext w:val="0"/>
        <w:keepLines w:val="0"/>
        <w:widowControl w:val="0"/>
        <w:numPr>
          <w:ilvl w:val="0"/>
          <w:numId w:val="77"/>
        </w:numPr>
        <w:shd w:val="clear" w:color="auto" w:fill="auto"/>
        <w:tabs>
          <w:tab w:pos="397" w:val="left"/>
        </w:tabs>
        <w:bidi w:val="0"/>
        <w:spacing w:before="0" w:after="0" w:line="475" w:lineRule="exact"/>
        <w:ind w:left="0" w:right="0" w:firstLine="440"/>
        <w:jc w:val="left"/>
      </w:pPr>
      <w:bookmarkStart w:id="894" w:name="bookmark894"/>
      <w:bookmarkEnd w:id="894"/>
      <w:r>
        <w:rPr>
          <w:color w:val="000000"/>
          <w:spacing w:val="0"/>
          <w:w w:val="100"/>
          <w:position w:val="0"/>
        </w:rPr>
        <w:t>通过债务重组取得的长期股权投资，其初始投资成本应当按照《企业会计准则第</w:t>
      </w:r>
      <w:r>
        <w:rPr>
          <w:color w:val="000000"/>
          <w:spacing w:val="0"/>
          <w:w w:val="100"/>
          <w:position w:val="0"/>
        </w:rPr>
        <w:t>12</w:t>
      </w:r>
      <w:r>
        <w:rPr>
          <w:color w:val="000000"/>
          <w:spacing w:val="0"/>
          <w:w w:val="100"/>
          <w:position w:val="0"/>
        </w:rPr>
        <w:t xml:space="preserve">号一债务重组》 </w:t>
      </w:r>
      <w:r>
        <w:rPr>
          <w:color w:val="000000"/>
          <w:spacing w:val="0"/>
          <w:w w:val="100"/>
          <w:position w:val="0"/>
        </w:rPr>
        <w:t>确定。</w:t>
      </w:r>
    </w:p>
    <w:p>
      <w:pPr>
        <w:pStyle w:val="Style10"/>
        <w:keepNext w:val="0"/>
        <w:keepLines w:val="0"/>
        <w:widowControl w:val="0"/>
        <w:numPr>
          <w:ilvl w:val="0"/>
          <w:numId w:val="75"/>
        </w:numPr>
        <w:shd w:val="clear" w:color="auto" w:fill="auto"/>
        <w:tabs>
          <w:tab w:pos="845" w:val="left"/>
        </w:tabs>
        <w:bidi w:val="0"/>
        <w:spacing w:before="0" w:after="0" w:line="468" w:lineRule="exact"/>
        <w:ind w:left="0" w:right="0" w:firstLine="440"/>
        <w:jc w:val="both"/>
      </w:pPr>
      <w:bookmarkStart w:id="895" w:name="bookmark895"/>
      <w:bookmarkEnd w:id="895"/>
      <w:r>
        <w:rPr>
          <w:color w:val="000000"/>
          <w:spacing w:val="0"/>
          <w:w w:val="100"/>
          <w:position w:val="0"/>
        </w:rPr>
        <w:t>后续计量及损益确认方法</w:t>
      </w:r>
    </w:p>
    <w:p>
      <w:pPr>
        <w:pStyle w:val="Style10"/>
        <w:keepNext w:val="0"/>
        <w:keepLines w:val="0"/>
        <w:widowControl w:val="0"/>
        <w:numPr>
          <w:ilvl w:val="0"/>
          <w:numId w:val="79"/>
        </w:numPr>
        <w:shd w:val="clear" w:color="auto" w:fill="auto"/>
        <w:tabs>
          <w:tab w:pos="807" w:val="left"/>
        </w:tabs>
        <w:bidi w:val="0"/>
        <w:spacing w:before="0" w:after="0" w:line="468" w:lineRule="exact"/>
        <w:ind w:left="0" w:right="0" w:firstLine="440"/>
        <w:jc w:val="both"/>
      </w:pPr>
      <w:bookmarkStart w:id="896" w:name="bookmark896"/>
      <w:bookmarkEnd w:id="896"/>
      <w:r>
        <w:rPr>
          <w:color w:val="000000"/>
          <w:spacing w:val="0"/>
          <w:w w:val="100"/>
          <w:position w:val="0"/>
        </w:rPr>
        <w:t>下列长期股权投资采用成本法核算：</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公司能够对被投资单位实施控制的长期股权投资。</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采用成本法核算的长期股权投资按照初始投资成本计价。追加或收回投资应当调整长期股权投资的成 本。被投资单位宣告分派的现金股利或利润，确认为当期投资收益。</w:t>
      </w:r>
    </w:p>
    <w:p>
      <w:pPr>
        <w:pStyle w:val="Style10"/>
        <w:keepNext w:val="0"/>
        <w:keepLines w:val="0"/>
        <w:widowControl w:val="0"/>
        <w:numPr>
          <w:ilvl w:val="0"/>
          <w:numId w:val="79"/>
        </w:numPr>
        <w:shd w:val="clear" w:color="auto" w:fill="auto"/>
        <w:tabs>
          <w:tab w:pos="812" w:val="left"/>
        </w:tabs>
        <w:bidi w:val="0"/>
        <w:spacing w:before="0" w:after="0" w:line="468" w:lineRule="exact"/>
        <w:ind w:left="0" w:right="0" w:firstLine="440"/>
        <w:jc w:val="both"/>
      </w:pPr>
      <w:bookmarkStart w:id="897" w:name="bookmark897"/>
      <w:bookmarkEnd w:id="897"/>
      <w:r>
        <w:rPr>
          <w:color w:val="000000"/>
          <w:spacing w:val="0"/>
          <w:w w:val="100"/>
          <w:position w:val="0"/>
        </w:rPr>
        <w:t>对被投资单位具有共同控制(指合营企业)或重大影响的长期股权投资，按照采用权益法核算。</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长期股权投资采用权益法核算时，对长期股权投资的投资成本大于投资时应享有被投资单位可辨认净 资产公允价值份额的，不调整长期股权投资的投资成本；对长期股权投资的投资成本小于投资时应享有被 投资单位可辨认净资产公允价值份额的，对长期股权投资的账面价值进行调整，差额计入投资当期的损益。</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在权益法核算时，当取得长期股权投资后，按照应享有或应分担的被投资单位实现的净损益和其他综 合收益的份额，分别确认投资损益和其他综合收益，并调整长期股权投资的账面价值。投资企业按照被投 资单位宣告分派的利润或现金股利计算应分得的部分，相应减少长期股权投资的账面价值。投资方对于被 投资单位除净损益、其他综合收益和利润分配以外所有者权益的其他变动，应当调整长期股权投资的账面 价值并计入所有者权益。</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确认被投资单位发生的净亏损，以长期股权投资的账面价值以及其他实质上构成对被投资单位净投资 的长期权益减记至零为限，公司对被投资企业负有承担额外损失义务的除外。被投资单位以后实现净利润 的，投资企业在其收益分享额弥补未确认的亏损分担额后，恢复确认收益分享额。</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对于被投资单位除净损益、其他综合收益和利润分配以外所有者权益的其他变动，调整长期股权投资 的账面价值并计入所有者权益。</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长期股权投资按照权益法核算在确认投资损益时，先对被投资单位的净利润进行取得投资时被投资单 位各项可辨认资产等的公允价值、会计政策和会计期间方面的调整，再按应享有或应分担的被投资单位的 净损益份额确认当期投资损益。</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与联营企业及合营企业之间发生的未实现内部交易损益按照持股比例计算归属于公司的部分，在抵销 基础上确认投资损益。</w:t>
      </w:r>
    </w:p>
    <w:p>
      <w:pPr>
        <w:pStyle w:val="Style10"/>
        <w:keepNext w:val="0"/>
        <w:keepLines w:val="0"/>
        <w:widowControl w:val="0"/>
        <w:numPr>
          <w:ilvl w:val="0"/>
          <w:numId w:val="75"/>
        </w:numPr>
        <w:shd w:val="clear" w:color="auto" w:fill="auto"/>
        <w:tabs>
          <w:tab w:pos="845" w:val="left"/>
        </w:tabs>
        <w:bidi w:val="0"/>
        <w:spacing w:before="0" w:after="0" w:line="468" w:lineRule="exact"/>
        <w:ind w:left="0" w:right="0" w:firstLine="440"/>
        <w:jc w:val="both"/>
      </w:pPr>
      <w:bookmarkStart w:id="898" w:name="bookmark898"/>
      <w:bookmarkEnd w:id="898"/>
      <w:r>
        <w:rPr>
          <w:color w:val="000000"/>
          <w:spacing w:val="0"/>
          <w:w w:val="100"/>
          <w:position w:val="0"/>
        </w:rPr>
        <w:t>确定对被投资单位具有共同控制、重大影响的依据</w:t>
      </w:r>
    </w:p>
    <w:p>
      <w:pPr>
        <w:pStyle w:val="Style10"/>
        <w:keepNext w:val="0"/>
        <w:keepLines w:val="0"/>
        <w:widowControl w:val="0"/>
        <w:shd w:val="clear" w:color="auto" w:fill="auto"/>
        <w:bidi w:val="0"/>
        <w:spacing w:before="0" w:line="467" w:lineRule="exact"/>
        <w:ind w:left="0" w:right="0" w:firstLine="440"/>
        <w:jc w:val="both"/>
      </w:pPr>
      <w:r>
        <w:rPr>
          <w:color w:val="000000"/>
          <w:spacing w:val="0"/>
          <w:w w:val="100"/>
          <w:position w:val="0"/>
        </w:rPr>
        <w:t xml:space="preserve">共同控制，是指按照相关约定对某项安排所共有的控制，并且该安排的相关活动必须经过分享控制权 的参与方一致同意后才能决策。在判断是否存在共同控制时，首先判断所有参与方或参与方组合是否集体 控制该安排，如果所有参与方或一组参与方必须一致行动才能决定某项安排的相关活动，则认为所有参与 方或一组参与方集体控制该安排。其次再判断该安排相关活动的决策是否必须经过这些集体控制该安排的 </w:t>
      </w:r>
      <w:r>
        <w:rPr>
          <w:color w:val="000000"/>
          <w:spacing w:val="0"/>
          <w:w w:val="100"/>
          <w:position w:val="0"/>
        </w:rPr>
        <w:t>参与方一致同意。如果存在两个或两个以上的参与方组合能够集体控制某项安排的，不构成共同控制。判 断是否存在共同控制时，不考虑享有的保护性权利。</w:t>
      </w:r>
    </w:p>
    <w:p>
      <w:pPr>
        <w:pStyle w:val="Style10"/>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重大影响，是指对一个企业的财务和经营政策有参与决策的权力，但并不能够控制或者与其他方一起 共同控制这些政策的制定。在确定能否对被投资单位施加重大影响时，考虑投资方直接或间接持有被投资 单位的表决权股份以及投资方及其他方持有的当期可执行潜在表决权在假定转换为对被投资方单位的股 权后产生的影响，包括被投资单位发行的当期可转换的认股权证、股份期权及可转换公司债券等的影响。</w:t>
      </w:r>
    </w:p>
    <w:p>
      <w:pPr>
        <w:pStyle w:val="Style29"/>
        <w:keepNext/>
        <w:keepLines/>
        <w:widowControl w:val="0"/>
        <w:shd w:val="clear" w:color="auto" w:fill="auto"/>
        <w:bidi w:val="0"/>
        <w:spacing w:before="0" w:after="0" w:line="480" w:lineRule="auto"/>
        <w:ind w:left="0" w:right="0" w:firstLine="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99"/>
      <w:bookmarkEnd w:id="900"/>
      <w:bookmarkEnd w:id="902"/>
    </w:p>
    <w:p>
      <w:pPr>
        <w:pStyle w:val="Style1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投资性房地产计量模式</w:t>
      </w:r>
    </w:p>
    <w:p>
      <w:pPr>
        <w:pStyle w:val="Style10"/>
        <w:keepNext w:val="0"/>
        <w:keepLines w:val="0"/>
        <w:widowControl w:val="0"/>
        <w:shd w:val="clear" w:color="auto" w:fill="auto"/>
        <w:bidi w:val="0"/>
        <w:spacing w:before="0" w:line="469" w:lineRule="exact"/>
        <w:ind w:left="0" w:right="0" w:firstLine="440"/>
        <w:jc w:val="left"/>
      </w:pPr>
      <w:r>
        <w:rPr>
          <w:color w:val="000000"/>
          <w:spacing w:val="0"/>
          <w:w w:val="100"/>
          <w:position w:val="0"/>
        </w:rPr>
        <w:t>成本法计量</w:t>
      </w:r>
    </w:p>
    <w:p>
      <w:pPr>
        <w:pStyle w:val="Style10"/>
        <w:keepNext w:val="0"/>
        <w:keepLines w:val="0"/>
        <w:widowControl w:val="0"/>
        <w:shd w:val="clear" w:color="auto" w:fill="auto"/>
        <w:bidi w:val="0"/>
        <w:spacing w:before="0" w:line="469" w:lineRule="exact"/>
        <w:ind w:left="0" w:right="0" w:firstLine="440"/>
        <w:jc w:val="both"/>
      </w:pPr>
      <w:r>
        <w:rPr>
          <w:color w:val="000000"/>
          <w:spacing w:val="0"/>
          <w:w w:val="100"/>
          <w:position w:val="0"/>
        </w:rPr>
        <w:t>折旧或摊销方法</w:t>
      </w:r>
    </w:p>
    <w:p>
      <w:pPr>
        <w:pStyle w:val="Style1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本公司对投资性房地产采用成本模式进行后续计量，按其预计使用寿命及净残值率对建筑物和土地使</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用权计提折旧或摊销。投资性房地产的预计使用寿命、净残值率及年折旧（摊销）率列示如下:</w:t>
      </w:r>
    </w:p>
    <w:tbl>
      <w:tblPr>
        <w:tblOverlap w:val="never"/>
        <w:jc w:val="center"/>
        <w:tblLayout w:type="fixed"/>
      </w:tblPr>
      <w:tblGrid>
        <w:gridCol w:w="2419"/>
        <w:gridCol w:w="2246"/>
        <w:gridCol w:w="2568"/>
        <w:gridCol w:w="2443"/>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预计净残值率（％）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年折旧（摊销）率（％）</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rFonts w:ascii="Times New Roman" w:eastAsia="Times New Roman" w:hAnsi="Times New Roman" w:cs="Times New Roman"/>
                <w:color w:val="000000"/>
                <w:spacing w:val="0"/>
                <w:w w:val="100"/>
                <w:position w:val="0"/>
              </w:rPr>
              <w:t>75</w:t>
            </w:r>
          </w:p>
        </w:tc>
      </w:tr>
    </w:tbl>
    <w:p>
      <w:pPr>
        <w:pStyle w:val="Style10"/>
        <w:keepNext w:val="0"/>
        <w:keepLines w:val="0"/>
        <w:widowControl w:val="0"/>
        <w:shd w:val="clear" w:color="auto" w:fill="auto"/>
        <w:bidi w:val="0"/>
        <w:spacing w:before="0" w:line="468" w:lineRule="exact"/>
        <w:ind w:left="0" w:right="0" w:firstLine="440"/>
        <w:jc w:val="both"/>
      </w:pPr>
      <w:r>
        <w:rPr>
          <w:color w:val="000000"/>
          <w:spacing w:val="0"/>
          <w:w w:val="100"/>
          <w:position w:val="0"/>
        </w:rPr>
        <w:t>投资性房地产的用途改变为自用时，自改变之日起，本公司将该投资性房地产转换为固定资产或无形 资产。自用房地产的用途改变为赚取租金或资本增值时，自改变之日起，本公司将固定资产或无形资产转 换为投资性房地产。发生转换时，以转换前的账面价值作为转换后的入账价值。</w:t>
      </w:r>
    </w:p>
    <w:p>
      <w:pPr>
        <w:pStyle w:val="Style10"/>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29"/>
        <w:keepNext/>
        <w:keepLines/>
        <w:widowControl w:val="0"/>
        <w:shd w:val="clear" w:color="auto" w:fill="auto"/>
        <w:bidi w:val="0"/>
        <w:spacing w:before="0" w:after="0" w:line="492" w:lineRule="auto"/>
        <w:ind w:left="0" w:right="0" w:firstLine="0"/>
        <w:jc w:val="both"/>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03"/>
      <w:bookmarkEnd w:id="904"/>
      <w:bookmarkEnd w:id="906"/>
    </w:p>
    <w:p>
      <w:pPr>
        <w:pStyle w:val="Style34"/>
        <w:keepNext/>
        <w:keepLines/>
        <w:widowControl w:val="0"/>
        <w:shd w:val="clear" w:color="auto" w:fill="auto"/>
        <w:bidi w:val="0"/>
        <w:spacing w:before="0" w:after="220" w:line="470" w:lineRule="exact"/>
        <w:ind w:left="0" w:right="0" w:firstLine="0"/>
        <w:jc w:val="both"/>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07"/>
      <w:bookmarkEnd w:id="908"/>
      <w:bookmarkEnd w:id="910"/>
    </w:p>
    <w:p>
      <w:pPr>
        <w:pStyle w:val="Style10"/>
        <w:keepNext w:val="0"/>
        <w:keepLines w:val="0"/>
        <w:widowControl w:val="0"/>
        <w:shd w:val="clear" w:color="auto" w:fill="auto"/>
        <w:bidi w:val="0"/>
        <w:spacing w:before="0" w:line="466"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资产。固定资产同时满足下列条件的，才能予以确认：</w:t>
      </w:r>
    </w:p>
    <w:p>
      <w:pPr>
        <w:pStyle w:val="Style10"/>
        <w:keepNext w:val="0"/>
        <w:keepLines w:val="0"/>
        <w:widowControl w:val="0"/>
        <w:numPr>
          <w:ilvl w:val="0"/>
          <w:numId w:val="81"/>
        </w:numPr>
        <w:shd w:val="clear" w:color="auto" w:fill="auto"/>
        <w:bidi w:val="0"/>
        <w:spacing w:before="0" w:after="260" w:line="470" w:lineRule="exact"/>
        <w:ind w:left="0" w:right="0" w:firstLine="440"/>
        <w:jc w:val="both"/>
      </w:pPr>
      <w:bookmarkStart w:id="911" w:name="bookmark911"/>
      <w:bookmarkEnd w:id="911"/>
      <w:r>
        <w:rPr>
          <w:color w:val="000000"/>
          <w:spacing w:val="0"/>
          <w:w w:val="100"/>
          <w:position w:val="0"/>
        </w:rPr>
        <w:t>与该固定资产有关的经济利益很可能流入企业；</w:t>
      </w:r>
    </w:p>
    <w:p>
      <w:pPr>
        <w:pStyle w:val="Style10"/>
        <w:keepNext w:val="0"/>
        <w:keepLines w:val="0"/>
        <w:widowControl w:val="0"/>
        <w:numPr>
          <w:ilvl w:val="0"/>
          <w:numId w:val="81"/>
        </w:numPr>
        <w:shd w:val="clear" w:color="auto" w:fill="auto"/>
        <w:bidi w:val="0"/>
        <w:spacing w:before="0" w:after="120" w:line="240" w:lineRule="auto"/>
        <w:ind w:left="0" w:right="0" w:firstLine="440"/>
        <w:jc w:val="both"/>
      </w:pPr>
      <w:bookmarkStart w:id="912" w:name="bookmark912"/>
      <w:bookmarkEnd w:id="912"/>
      <w:r>
        <w:rPr>
          <w:color w:val="000000"/>
          <w:spacing w:val="0"/>
          <w:w w:val="100"/>
          <w:position w:val="0"/>
        </w:rPr>
        <w:t>该固定资产的成本能够可靠地计量。</w:t>
      </w:r>
    </w:p>
    <w:p>
      <w:pPr>
        <w:pStyle w:val="Style23"/>
        <w:keepNext w:val="0"/>
        <w:keepLines w:val="0"/>
        <w:widowControl w:val="0"/>
        <w:shd w:val="clear" w:color="auto" w:fill="auto"/>
        <w:bidi w:val="0"/>
        <w:spacing w:before="0" w:after="0" w:line="240" w:lineRule="auto"/>
        <w:ind w:left="10" w:right="0" w:firstLine="0"/>
        <w:jc w:val="left"/>
        <w:rPr>
          <w:sz w:val="20"/>
          <w:szCs w:val="20"/>
        </w:rPr>
      </w:pPr>
      <w:bookmarkStart w:id="913" w:name="bookmark91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913"/>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6.33%-9.50%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99" w:line="1" w:lineRule="exact"/>
      </w:pPr>
    </w:p>
    <w:p>
      <w:pPr>
        <w:pStyle w:val="Style34"/>
        <w:keepNext/>
        <w:keepLines/>
        <w:widowControl w:val="0"/>
        <w:shd w:val="clear" w:color="auto" w:fill="auto"/>
        <w:bidi w:val="0"/>
        <w:spacing w:before="0" w:after="200" w:line="470" w:lineRule="exact"/>
        <w:ind w:left="0" w:right="0" w:firstLine="0"/>
        <w:jc w:val="both"/>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14"/>
      <w:bookmarkEnd w:id="915"/>
      <w:bookmarkEnd w:id="917"/>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当本公司租入的固定资产符合下列一项或数项标准时，确认为融资租入固定资产：</w:t>
      </w:r>
    </w:p>
    <w:p>
      <w:pPr>
        <w:pStyle w:val="Style10"/>
        <w:keepNext w:val="0"/>
        <w:keepLines w:val="0"/>
        <w:widowControl w:val="0"/>
        <w:shd w:val="clear" w:color="auto" w:fill="auto"/>
        <w:tabs>
          <w:tab w:pos="928" w:val="left"/>
        </w:tabs>
        <w:bidi w:val="0"/>
        <w:spacing w:before="0" w:after="0" w:line="485" w:lineRule="exact"/>
        <w:ind w:left="0" w:right="0" w:firstLine="440"/>
        <w:jc w:val="both"/>
      </w:pPr>
      <w:bookmarkStart w:id="918" w:name="bookmark918"/>
      <w:r>
        <w:rPr>
          <w:color w:val="000000"/>
          <w:spacing w:val="0"/>
          <w:w w:val="100"/>
          <w:position w:val="0"/>
        </w:rPr>
        <w:t>（</w:t>
      </w:r>
      <w:bookmarkEnd w:id="918"/>
      <w:r>
        <w:rPr>
          <w:color w:val="000000"/>
          <w:spacing w:val="0"/>
          <w:w w:val="100"/>
          <w:position w:val="0"/>
        </w:rPr>
        <w:t>1）</w:t>
        <w:tab/>
      </w:r>
      <w:r>
        <w:rPr>
          <w:color w:val="000000"/>
          <w:spacing w:val="0"/>
          <w:w w:val="100"/>
          <w:position w:val="0"/>
        </w:rPr>
        <w:t>在租赁期届满时，租赁资产的所有权转移给本公司。</w:t>
      </w:r>
    </w:p>
    <w:p>
      <w:pPr>
        <w:pStyle w:val="Style10"/>
        <w:keepNext w:val="0"/>
        <w:keepLines w:val="0"/>
        <w:widowControl w:val="0"/>
        <w:shd w:val="clear" w:color="auto" w:fill="auto"/>
        <w:tabs>
          <w:tab w:pos="1011" w:val="left"/>
        </w:tabs>
        <w:bidi w:val="0"/>
        <w:spacing w:before="0" w:after="0" w:line="485" w:lineRule="exact"/>
        <w:ind w:left="0" w:right="0" w:firstLine="440"/>
        <w:jc w:val="both"/>
      </w:pPr>
      <w:bookmarkStart w:id="919" w:name="bookmark919"/>
      <w:r>
        <w:rPr>
          <w:color w:val="000000"/>
          <w:spacing w:val="0"/>
          <w:w w:val="100"/>
          <w:position w:val="0"/>
        </w:rPr>
        <w:t>（</w:t>
      </w:r>
      <w:bookmarkEnd w:id="919"/>
      <w:r>
        <w:rPr>
          <w:color w:val="000000"/>
          <w:spacing w:val="0"/>
          <w:w w:val="100"/>
          <w:position w:val="0"/>
        </w:rPr>
        <w:t>2）</w:t>
        <w:tab/>
      </w:r>
      <w:r>
        <w:rPr>
          <w:color w:val="000000"/>
          <w:spacing w:val="0"/>
          <w:w w:val="100"/>
          <w:position w:val="0"/>
        </w:rPr>
        <w:t>本公司有购买租赁资产的选择权，所订立的购买价款预计将远低于行使选择权时租赁资产的公 允价值，因而在租赁开始日就可以合理确定本公司将会行使这种选择权。</w:t>
      </w:r>
    </w:p>
    <w:p>
      <w:pPr>
        <w:pStyle w:val="Style10"/>
        <w:keepNext w:val="0"/>
        <w:keepLines w:val="0"/>
        <w:widowControl w:val="0"/>
        <w:shd w:val="clear" w:color="auto" w:fill="auto"/>
        <w:tabs>
          <w:tab w:pos="928" w:val="left"/>
        </w:tabs>
        <w:bidi w:val="0"/>
        <w:spacing w:before="0" w:after="0" w:line="485" w:lineRule="exact"/>
        <w:ind w:left="0" w:right="0" w:firstLine="440"/>
        <w:jc w:val="both"/>
      </w:pPr>
      <w:bookmarkStart w:id="920" w:name="bookmark920"/>
      <w:r>
        <w:rPr>
          <w:color w:val="000000"/>
          <w:spacing w:val="0"/>
          <w:w w:val="100"/>
          <w:position w:val="0"/>
        </w:rPr>
        <w:t>（</w:t>
      </w:r>
      <w:bookmarkEnd w:id="920"/>
      <w:r>
        <w:rPr>
          <w:color w:val="000000"/>
          <w:spacing w:val="0"/>
          <w:w w:val="100"/>
          <w:position w:val="0"/>
        </w:rPr>
        <w:t>3）</w:t>
        <w:tab/>
      </w:r>
      <w:r>
        <w:rPr>
          <w:color w:val="000000"/>
          <w:spacing w:val="0"/>
          <w:w w:val="100"/>
          <w:position w:val="0"/>
        </w:rPr>
        <w:t>即使资产的所有权不转移，但租赁期占租赁资产使用寿命的大部分。</w:t>
      </w:r>
    </w:p>
    <w:p>
      <w:pPr>
        <w:pStyle w:val="Style10"/>
        <w:keepNext w:val="0"/>
        <w:keepLines w:val="0"/>
        <w:widowControl w:val="0"/>
        <w:shd w:val="clear" w:color="auto" w:fill="auto"/>
        <w:tabs>
          <w:tab w:pos="928" w:val="left"/>
        </w:tabs>
        <w:bidi w:val="0"/>
        <w:spacing w:before="0" w:after="0" w:line="470" w:lineRule="exact"/>
        <w:ind w:left="0" w:right="0" w:firstLine="440"/>
        <w:jc w:val="both"/>
      </w:pPr>
      <w:bookmarkStart w:id="921" w:name="bookmark921"/>
      <w:r>
        <w:rPr>
          <w:color w:val="000000"/>
          <w:spacing w:val="0"/>
          <w:w w:val="100"/>
          <w:position w:val="0"/>
        </w:rPr>
        <w:t>（</w:t>
      </w:r>
      <w:bookmarkEnd w:id="921"/>
      <w:r>
        <w:rPr>
          <w:color w:val="000000"/>
          <w:spacing w:val="0"/>
          <w:w w:val="100"/>
          <w:position w:val="0"/>
        </w:rPr>
        <w:t>4）</w:t>
        <w:tab/>
      </w:r>
      <w:r>
        <w:rPr>
          <w:color w:val="000000"/>
          <w:spacing w:val="0"/>
          <w:w w:val="100"/>
          <w:position w:val="0"/>
        </w:rPr>
        <w:t>本公司在租赁开始日的最低租赁付款额现值，几乎相当于租赁开始日租赁资产公允价值。</w:t>
      </w:r>
    </w:p>
    <w:p>
      <w:pPr>
        <w:pStyle w:val="Style10"/>
        <w:keepNext w:val="0"/>
        <w:keepLines w:val="0"/>
        <w:widowControl w:val="0"/>
        <w:shd w:val="clear" w:color="auto" w:fill="auto"/>
        <w:tabs>
          <w:tab w:pos="928" w:val="left"/>
        </w:tabs>
        <w:bidi w:val="0"/>
        <w:spacing w:before="0" w:after="0" w:line="470" w:lineRule="exact"/>
        <w:ind w:left="0" w:right="0" w:firstLine="440"/>
        <w:jc w:val="both"/>
      </w:pPr>
      <w:bookmarkStart w:id="922" w:name="bookmark922"/>
      <w:r>
        <w:rPr>
          <w:color w:val="000000"/>
          <w:spacing w:val="0"/>
          <w:w w:val="100"/>
          <w:position w:val="0"/>
        </w:rPr>
        <w:t>（</w:t>
      </w:r>
      <w:bookmarkEnd w:id="922"/>
      <w:r>
        <w:rPr>
          <w:color w:val="000000"/>
          <w:spacing w:val="0"/>
          <w:w w:val="100"/>
          <w:position w:val="0"/>
        </w:rPr>
        <w:t>5）</w:t>
        <w:tab/>
      </w:r>
      <w:r>
        <w:rPr>
          <w:color w:val="000000"/>
          <w:spacing w:val="0"/>
          <w:w w:val="100"/>
          <w:position w:val="0"/>
        </w:rPr>
        <w:t>租赁资产性质特殊，如果不作较大改造，只有本公司才能使用。</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融资租赁租入的固定资产，按租赁开始日租赁资产公允价值与最低租赁付款额的现值两者中较低者， 作为入账价值。最低租赁付款额作为长期应付款的入账价值，其差额作为未确认融资费用。在租赁谈判和 签订租赁合同过程中发生的，可归属于租赁项目的手续费、律师费、差旅费、印花税等初始直接费用，计 入租入资产价值。未确认融资费用在租赁期内各个期间采用实际利率法进行分摊。</w:t>
      </w:r>
    </w:p>
    <w:p>
      <w:pPr>
        <w:pStyle w:val="Style1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本公司采用与自有固定资产相一致的折旧政策计提融资租入固定资产折旧。能够合理确定租赁期届满 时取得租赁资产所有权的，在租赁资产使用寿命内计提折旧。无法合理确定租赁期届满时能够取得租赁资 产所有权的，在租赁期与租赁资产使用寿命两者中较短的期间内计提折旧。</w:t>
      </w:r>
    </w:p>
    <w:p>
      <w:pPr>
        <w:pStyle w:val="Style29"/>
        <w:keepNext/>
        <w:keepLines/>
        <w:widowControl w:val="0"/>
        <w:shd w:val="clear" w:color="auto" w:fill="auto"/>
        <w:bidi w:val="0"/>
        <w:spacing w:before="0" w:after="200" w:line="470" w:lineRule="exact"/>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23"/>
      <w:bookmarkEnd w:id="924"/>
      <w:bookmarkEnd w:id="926"/>
    </w:p>
    <w:p>
      <w:pPr>
        <w:pStyle w:val="Style10"/>
        <w:keepNext w:val="0"/>
        <w:keepLines w:val="0"/>
        <w:widowControl w:val="0"/>
        <w:shd w:val="clear" w:color="auto" w:fill="auto"/>
        <w:bidi w:val="0"/>
        <w:spacing w:before="0" w:after="0" w:line="470" w:lineRule="exact"/>
        <w:ind w:left="0" w:right="0" w:firstLine="440"/>
        <w:jc w:val="both"/>
      </w:pPr>
      <w:bookmarkStart w:id="927" w:name="bookmark927"/>
      <w:r>
        <w:rPr>
          <w:color w:val="000000"/>
          <w:spacing w:val="0"/>
          <w:w w:val="100"/>
          <w:position w:val="0"/>
        </w:rPr>
        <w:t>（</w:t>
      </w:r>
      <w:bookmarkEnd w:id="927"/>
      <w:r>
        <w:rPr>
          <w:color w:val="000000"/>
          <w:spacing w:val="0"/>
          <w:w w:val="100"/>
          <w:position w:val="0"/>
        </w:rPr>
        <w:t>1）</w:t>
      </w:r>
      <w:r>
        <w:rPr>
          <w:color w:val="000000"/>
          <w:spacing w:val="0"/>
          <w:w w:val="100"/>
          <w:position w:val="0"/>
        </w:rPr>
        <w:t>在建工程初始计量</w:t>
      </w:r>
    </w:p>
    <w:p>
      <w:pPr>
        <w:pStyle w:val="Style10"/>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本公司自行建造的在建工程按实际成本计价，实际成本由建造该项资产达到预定可使用状态前所发生 的必要支出构成，包括工程用物资成本、人工成本、交纳的相关税费、应予资本化的借款费用以及应分摊 的间接费用等。</w:t>
      </w:r>
    </w:p>
    <w:p>
      <w:pPr>
        <w:pStyle w:val="Style10"/>
        <w:keepNext w:val="0"/>
        <w:keepLines w:val="0"/>
        <w:widowControl w:val="0"/>
        <w:shd w:val="clear" w:color="auto" w:fill="auto"/>
        <w:bidi w:val="0"/>
        <w:spacing w:before="0" w:after="0" w:line="240" w:lineRule="auto"/>
        <w:ind w:left="0" w:right="0" w:firstLine="440"/>
        <w:jc w:val="both"/>
      </w:pPr>
      <w:bookmarkStart w:id="928" w:name="bookmark928"/>
      <w:r>
        <w:rPr>
          <w:color w:val="000000"/>
          <w:spacing w:val="0"/>
          <w:w w:val="100"/>
          <w:position w:val="0"/>
        </w:rPr>
        <w:t>（</w:t>
      </w:r>
      <w:bookmarkEnd w:id="928"/>
      <w:r>
        <w:rPr>
          <w:color w:val="000000"/>
          <w:spacing w:val="0"/>
          <w:w w:val="100"/>
          <w:position w:val="0"/>
        </w:rPr>
        <w:t>2）</w:t>
      </w:r>
      <w:r>
        <w:rPr>
          <w:color w:val="000000"/>
          <w:spacing w:val="0"/>
          <w:w w:val="100"/>
          <w:position w:val="0"/>
        </w:rPr>
        <w:t>在建工程结转为固定资产的标准和时点</w:t>
      </w:r>
    </w:p>
    <w:p>
      <w:pPr>
        <w:pStyle w:val="Style10"/>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在建工程项目按建造该项资产达到预定可使用状态前所发生的全部支出，作为固定资产的入账价值。 所建造的在建工程己达到预定可使用状态，但尚未办理竣工决算的，自达到预定可使用状态之日起，根据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定资产的折旧，待办理竣工决算后，再按实际成本调整原来的暂估价值，但不调整原己计提的折旧额。</w:t>
      </w:r>
    </w:p>
    <w:p>
      <w:pPr>
        <w:pStyle w:val="Style29"/>
        <w:keepNext/>
        <w:keepLines/>
        <w:widowControl w:val="0"/>
        <w:shd w:val="clear" w:color="auto" w:fill="auto"/>
        <w:bidi w:val="0"/>
        <w:spacing w:before="0" w:after="0" w:line="480" w:lineRule="auto"/>
        <w:ind w:left="0" w:right="0" w:firstLine="0"/>
        <w:jc w:val="both"/>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929"/>
      <w:bookmarkEnd w:id="930"/>
      <w:bookmarkEnd w:id="932"/>
    </w:p>
    <w:p>
      <w:pPr>
        <w:pStyle w:val="Style10"/>
        <w:keepNext w:val="0"/>
        <w:keepLines w:val="0"/>
        <w:widowControl w:val="0"/>
        <w:shd w:val="clear" w:color="auto" w:fill="auto"/>
        <w:tabs>
          <w:tab w:pos="999" w:val="left"/>
        </w:tabs>
        <w:bidi w:val="0"/>
        <w:spacing w:before="0" w:after="0" w:line="469" w:lineRule="exact"/>
        <w:ind w:left="0" w:right="0" w:firstLine="440"/>
        <w:jc w:val="left"/>
      </w:pPr>
      <w:bookmarkStart w:id="933" w:name="bookmark933"/>
      <w:r>
        <w:rPr>
          <w:color w:val="000000"/>
          <w:spacing w:val="0"/>
          <w:w w:val="100"/>
          <w:position w:val="0"/>
        </w:rPr>
        <w:t>（</w:t>
      </w:r>
      <w:bookmarkEnd w:id="933"/>
      <w:r>
        <w:rPr>
          <w:color w:val="000000"/>
          <w:spacing w:val="0"/>
          <w:w w:val="100"/>
          <w:position w:val="0"/>
        </w:rPr>
        <w:t>1）</w:t>
        <w:tab/>
      </w:r>
      <w:r>
        <w:rPr>
          <w:color w:val="000000"/>
          <w:spacing w:val="0"/>
          <w:w w:val="100"/>
          <w:position w:val="0"/>
        </w:rPr>
        <w:t>公司发生的借款费用，可直接归属于符合资本化条件的资产的购建或者生产的，予以资本化， 计入相关资产成本。符合资本化条件的资产，是指需要经过相当长的时间的（通常是指</w:t>
      </w:r>
      <w:r>
        <w:rPr>
          <w:color w:val="000000"/>
          <w:spacing w:val="0"/>
          <w:w w:val="100"/>
          <w:position w:val="0"/>
        </w:rPr>
        <w:t>1</w:t>
      </w:r>
      <w:r>
        <w:rPr>
          <w:color w:val="000000"/>
          <w:spacing w:val="0"/>
          <w:w w:val="100"/>
          <w:position w:val="0"/>
        </w:rPr>
        <w:t>年及</w:t>
      </w:r>
      <w:r>
        <w:rPr>
          <w:color w:val="000000"/>
          <w:spacing w:val="0"/>
          <w:w w:val="100"/>
          <w:position w:val="0"/>
        </w:rPr>
        <w:t>1</w:t>
      </w:r>
      <w:r>
        <w:rPr>
          <w:color w:val="000000"/>
          <w:spacing w:val="0"/>
          <w:w w:val="100"/>
          <w:position w:val="0"/>
        </w:rPr>
        <w:t>年以上）购 建或者生产活动才能达到预定可使用可销售状态的固定资产、投资性房地产和存货等资产。其他借款费用， 应当在发生时根据其发生额确认为费用，计入当期损益。借款费用包括借款利息、折价或者溢价的摊销、 辅助费用以及因外币借款而发生的汇况差额等。</w:t>
      </w:r>
    </w:p>
    <w:p>
      <w:pPr>
        <w:pStyle w:val="Style10"/>
        <w:keepNext w:val="0"/>
        <w:keepLines w:val="0"/>
        <w:widowControl w:val="0"/>
        <w:shd w:val="clear" w:color="auto" w:fill="auto"/>
        <w:tabs>
          <w:tab w:pos="950" w:val="left"/>
        </w:tabs>
        <w:bidi w:val="0"/>
        <w:spacing w:before="0" w:after="0" w:line="469" w:lineRule="exact"/>
        <w:ind w:left="0" w:right="0" w:firstLine="440"/>
        <w:jc w:val="both"/>
      </w:pPr>
      <w:bookmarkStart w:id="934" w:name="bookmark934"/>
      <w:r>
        <w:rPr>
          <w:color w:val="000000"/>
          <w:spacing w:val="0"/>
          <w:w w:val="100"/>
          <w:position w:val="0"/>
        </w:rPr>
        <w:t>（</w:t>
      </w:r>
      <w:bookmarkEnd w:id="934"/>
      <w:r>
        <w:rPr>
          <w:color w:val="000000"/>
          <w:spacing w:val="0"/>
          <w:w w:val="100"/>
          <w:position w:val="0"/>
        </w:rPr>
        <w:t>2）</w:t>
        <w:tab/>
      </w:r>
      <w:r>
        <w:rPr>
          <w:color w:val="000000"/>
          <w:spacing w:val="0"/>
          <w:w w:val="100"/>
          <w:position w:val="0"/>
        </w:rPr>
        <w:t>借款费用同时满足下列条件的，开始资本化：</w:t>
      </w:r>
    </w:p>
    <w:p>
      <w:pPr>
        <w:pStyle w:val="Style10"/>
        <w:keepNext w:val="0"/>
        <w:keepLines w:val="0"/>
        <w:widowControl w:val="0"/>
        <w:numPr>
          <w:ilvl w:val="0"/>
          <w:numId w:val="83"/>
        </w:numPr>
        <w:shd w:val="clear" w:color="auto" w:fill="auto"/>
        <w:tabs>
          <w:tab w:pos="793" w:val="left"/>
        </w:tabs>
        <w:bidi w:val="0"/>
        <w:spacing w:before="0" w:after="0" w:line="475" w:lineRule="exact"/>
        <w:ind w:left="0" w:right="0" w:firstLine="440"/>
        <w:jc w:val="both"/>
      </w:pPr>
      <w:bookmarkStart w:id="935" w:name="bookmark935"/>
      <w:bookmarkEnd w:id="935"/>
      <w:r>
        <w:rPr>
          <w:color w:val="000000"/>
          <w:spacing w:val="0"/>
          <w:w w:val="100"/>
          <w:position w:val="0"/>
        </w:rPr>
        <w:t>资产支出已发生，资产支出包括为购建或者生产符合资本化条件的资产而支付的现金、转移非现 金资产或者承担带息债务形式发生的支出；</w:t>
      </w:r>
    </w:p>
    <w:p>
      <w:pPr>
        <w:pStyle w:val="Style10"/>
        <w:keepNext w:val="0"/>
        <w:keepLines w:val="0"/>
        <w:widowControl w:val="0"/>
        <w:numPr>
          <w:ilvl w:val="0"/>
          <w:numId w:val="83"/>
        </w:numPr>
        <w:shd w:val="clear" w:color="auto" w:fill="auto"/>
        <w:tabs>
          <w:tab w:pos="815" w:val="left"/>
        </w:tabs>
        <w:bidi w:val="0"/>
        <w:spacing w:before="0" w:after="0" w:line="469" w:lineRule="exact"/>
        <w:ind w:left="0" w:right="0" w:firstLine="440"/>
        <w:jc w:val="both"/>
      </w:pPr>
      <w:bookmarkStart w:id="936" w:name="bookmark936"/>
      <w:bookmarkEnd w:id="936"/>
      <w:r>
        <w:rPr>
          <w:color w:val="000000"/>
          <w:spacing w:val="0"/>
          <w:w w:val="100"/>
          <w:position w:val="0"/>
        </w:rPr>
        <w:t>借款费用已经发生；</w:t>
      </w:r>
    </w:p>
    <w:p>
      <w:pPr>
        <w:pStyle w:val="Style10"/>
        <w:keepNext w:val="0"/>
        <w:keepLines w:val="0"/>
        <w:widowControl w:val="0"/>
        <w:numPr>
          <w:ilvl w:val="0"/>
          <w:numId w:val="83"/>
        </w:numPr>
        <w:shd w:val="clear" w:color="auto" w:fill="auto"/>
        <w:tabs>
          <w:tab w:pos="815" w:val="left"/>
        </w:tabs>
        <w:bidi w:val="0"/>
        <w:spacing w:before="0" w:after="0" w:line="469" w:lineRule="exact"/>
        <w:ind w:left="0" w:right="0" w:firstLine="440"/>
        <w:jc w:val="both"/>
      </w:pPr>
      <w:bookmarkStart w:id="937" w:name="bookmark937"/>
      <w:bookmarkEnd w:id="937"/>
      <w:r>
        <w:rPr>
          <w:color w:val="000000"/>
          <w:spacing w:val="0"/>
          <w:w w:val="100"/>
          <w:position w:val="0"/>
        </w:rPr>
        <w:t>为使资产达到预定可使用或者可销售状态所必要的购建或者生产活动已经开始。</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购建或者生产符合资本化条件的资产达到预定可使用或者可销售状态时，借款费用停止资本化。</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符合资本化条件的资产在购建或者生产过程中发生非正常中断，且中断时间连续超过</w:t>
      </w:r>
      <w:r>
        <w:rPr>
          <w:color w:val="000000"/>
          <w:spacing w:val="0"/>
          <w:w w:val="100"/>
          <w:position w:val="0"/>
        </w:rPr>
        <w:t>3</w:t>
      </w:r>
      <w:r>
        <w:rPr>
          <w:color w:val="000000"/>
          <w:spacing w:val="0"/>
          <w:w w:val="100"/>
          <w:position w:val="0"/>
        </w:rPr>
        <w:t>个月的，暂停 借款费用的资本化。在中断期间发生的借款费用确认为费用，计入当期损益，直至资产的购建或者生产活 动重新开始。如果中断是所购建或者生产的符合资本化条件的资产达到预定可使用或可销售状态必要的程 序，借款费用的资本化则继续进行。</w:t>
      </w:r>
    </w:p>
    <w:p>
      <w:pPr>
        <w:pStyle w:val="Style10"/>
        <w:keepNext w:val="0"/>
        <w:keepLines w:val="0"/>
        <w:widowControl w:val="0"/>
        <w:shd w:val="clear" w:color="auto" w:fill="auto"/>
        <w:tabs>
          <w:tab w:pos="994" w:val="left"/>
        </w:tabs>
        <w:bidi w:val="0"/>
        <w:spacing w:before="0" w:after="0" w:line="466" w:lineRule="exact"/>
        <w:ind w:left="0" w:right="0" w:firstLine="440"/>
        <w:jc w:val="both"/>
      </w:pPr>
      <w:bookmarkStart w:id="938" w:name="bookmark938"/>
      <w:r>
        <w:rPr>
          <w:color w:val="000000"/>
          <w:spacing w:val="0"/>
          <w:w w:val="100"/>
          <w:position w:val="0"/>
        </w:rPr>
        <w:t>（</w:t>
      </w:r>
      <w:bookmarkEnd w:id="938"/>
      <w:r>
        <w:rPr>
          <w:color w:val="000000"/>
          <w:spacing w:val="0"/>
          <w:w w:val="100"/>
          <w:position w:val="0"/>
        </w:rPr>
        <w:t>3）</w:t>
        <w:tab/>
      </w:r>
      <w:r>
        <w:rPr>
          <w:color w:val="000000"/>
          <w:spacing w:val="0"/>
          <w:w w:val="100"/>
          <w:position w:val="0"/>
        </w:rPr>
        <w:t>在资本化期间内，每一会计期间的利息（包括折价或溢价的摊销）资本化金额，按照下列规定确 定：</w:t>
      </w:r>
    </w:p>
    <w:p>
      <w:pPr>
        <w:pStyle w:val="Style10"/>
        <w:keepNext w:val="0"/>
        <w:keepLines w:val="0"/>
        <w:widowControl w:val="0"/>
        <w:numPr>
          <w:ilvl w:val="0"/>
          <w:numId w:val="85"/>
        </w:numPr>
        <w:shd w:val="clear" w:color="auto" w:fill="auto"/>
        <w:tabs>
          <w:tab w:pos="793" w:val="left"/>
        </w:tabs>
        <w:bidi w:val="0"/>
        <w:spacing w:before="0" w:after="0" w:line="466" w:lineRule="exact"/>
        <w:ind w:left="0" w:right="0" w:firstLine="440"/>
        <w:jc w:val="both"/>
      </w:pPr>
      <w:bookmarkStart w:id="939" w:name="bookmark939"/>
      <w:bookmarkEnd w:id="939"/>
      <w:r>
        <w:rPr>
          <w:color w:val="000000"/>
          <w:spacing w:val="0"/>
          <w:w w:val="100"/>
          <w:position w:val="0"/>
        </w:rPr>
        <w:t>为购建或者生产符合资本化条件的资产而借入专门借款的，以专门借款当期实际发生的利息费用， 减去尚未动用的借款资金存入银行取得的利息收入或进行暂时性投资取得的投资收益后的金额确定。</w:t>
      </w:r>
    </w:p>
    <w:p>
      <w:pPr>
        <w:pStyle w:val="Style10"/>
        <w:keepNext w:val="0"/>
        <w:keepLines w:val="0"/>
        <w:widowControl w:val="0"/>
        <w:numPr>
          <w:ilvl w:val="0"/>
          <w:numId w:val="85"/>
        </w:numPr>
        <w:shd w:val="clear" w:color="auto" w:fill="auto"/>
        <w:tabs>
          <w:tab w:pos="793" w:val="left"/>
        </w:tabs>
        <w:bidi w:val="0"/>
        <w:spacing w:before="0" w:after="0" w:line="468" w:lineRule="exact"/>
        <w:ind w:left="0" w:right="0" w:firstLine="440"/>
        <w:jc w:val="both"/>
      </w:pPr>
      <w:bookmarkStart w:id="940" w:name="bookmark940"/>
      <w:bookmarkEnd w:id="940"/>
      <w:r>
        <w:rPr>
          <w:color w:val="000000"/>
          <w:spacing w:val="0"/>
          <w:w w:val="100"/>
          <w:position w:val="0"/>
        </w:rPr>
        <w:t>为购建或者生产符合资本化条件的资产而占用了一般借款的，根据累计资产支出超过专门借款部 分的资产支出加权平均数乘以所占用的一般借款的资本化率，计算确定一般借款应予资本化的利息金额。 资本化率根据一般借款加权平均利率确定。</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借款存在折价或溢价的，按照实际利率法确定每一会计期间相应摊销的折价或者溢价的金额，调整每 </w:t>
      </w:r>
      <w:r>
        <w:rPr>
          <w:color w:val="000000"/>
          <w:spacing w:val="0"/>
          <w:w w:val="100"/>
          <w:position w:val="0"/>
        </w:rPr>
        <w:t>期利息金额。</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在资本化期间内，每一会计期间的利息资本化金额，不超过当期相关借款实际发生的利息金额。</w:t>
      </w:r>
    </w:p>
    <w:p>
      <w:pPr>
        <w:pStyle w:val="Style10"/>
        <w:keepNext w:val="0"/>
        <w:keepLines w:val="0"/>
        <w:widowControl w:val="0"/>
        <w:shd w:val="clear" w:color="auto" w:fill="auto"/>
        <w:bidi w:val="0"/>
        <w:spacing w:before="0" w:after="460" w:line="472" w:lineRule="exact"/>
        <w:ind w:left="0" w:right="0" w:firstLine="440"/>
        <w:jc w:val="left"/>
      </w:pPr>
      <w:bookmarkStart w:id="941" w:name="bookmark941"/>
      <w:r>
        <w:rPr>
          <w:color w:val="000000"/>
          <w:spacing w:val="0"/>
          <w:w w:val="100"/>
          <w:position w:val="0"/>
        </w:rPr>
        <w:t>（</w:t>
      </w:r>
      <w:bookmarkEnd w:id="941"/>
      <w:r>
        <w:rPr>
          <w:color w:val="000000"/>
          <w:spacing w:val="0"/>
          <w:w w:val="100"/>
          <w:position w:val="0"/>
        </w:rPr>
        <w:t>4）</w:t>
      </w:r>
      <w:r>
        <w:rPr>
          <w:color w:val="000000"/>
          <w:spacing w:val="0"/>
          <w:w w:val="100"/>
          <w:position w:val="0"/>
        </w:rPr>
        <w:t>专门借款发生的辅助费用，在所购建或者生产的符合资本化条件的资产达到预定可使用或者可 销售状态之前发生的，在发生时根据其发生额予以资本化，计入符合资本化条件的资产的成本；在所购建 或者生产的符合资本化条件的资产达到预定可使用或者可销售状态之后发生的，在发生时根据其发生额确 认为费用，计入当期损益。一般借款发生的辅助费用，在发生时根据其发生额确认为费用，计入当期损益。</w:t>
      </w:r>
    </w:p>
    <w:p>
      <w:pPr>
        <w:pStyle w:val="Style29"/>
        <w:keepNext/>
        <w:keepLines/>
        <w:widowControl w:val="0"/>
        <w:shd w:val="clear" w:color="auto" w:fill="auto"/>
        <w:tabs>
          <w:tab w:pos="469" w:val="left"/>
        </w:tabs>
        <w:bidi w:val="0"/>
        <w:spacing w:before="0" w:after="0" w:line="492" w:lineRule="auto"/>
        <w:ind w:left="0" w:right="0" w:firstLine="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42"/>
      <w:bookmarkEnd w:id="943"/>
      <w:bookmarkEnd w:id="945"/>
    </w:p>
    <w:p>
      <w:pPr>
        <w:pStyle w:val="Style10"/>
        <w:keepNext w:val="0"/>
        <w:keepLines w:val="0"/>
        <w:widowControl w:val="0"/>
        <w:shd w:val="clear" w:color="auto" w:fill="auto"/>
        <w:bidi w:val="0"/>
        <w:spacing w:before="0" w:after="460" w:line="472" w:lineRule="exact"/>
        <w:ind w:left="0" w:right="0" w:firstLine="440"/>
        <w:jc w:val="both"/>
      </w:pPr>
      <w:r>
        <w:rPr>
          <w:color w:val="000000"/>
          <w:spacing w:val="0"/>
          <w:w w:val="100"/>
          <w:position w:val="0"/>
        </w:rPr>
        <w:t>不适用</w:t>
      </w:r>
    </w:p>
    <w:p>
      <w:pPr>
        <w:pStyle w:val="Style29"/>
        <w:keepNext/>
        <w:keepLines/>
        <w:widowControl w:val="0"/>
        <w:shd w:val="clear" w:color="auto" w:fill="auto"/>
        <w:tabs>
          <w:tab w:pos="469" w:val="left"/>
        </w:tabs>
        <w:bidi w:val="0"/>
        <w:spacing w:before="0" w:after="0" w:line="492" w:lineRule="auto"/>
        <w:ind w:left="0" w:right="0" w:firstLine="0"/>
        <w:jc w:val="both"/>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2</w:t>
      </w:r>
      <w:bookmarkEnd w:id="948"/>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46"/>
      <w:bookmarkEnd w:id="947"/>
      <w:bookmarkEnd w:id="949"/>
    </w:p>
    <w:p>
      <w:pPr>
        <w:pStyle w:val="Style10"/>
        <w:keepNext w:val="0"/>
        <w:keepLines w:val="0"/>
        <w:widowControl w:val="0"/>
        <w:shd w:val="clear" w:color="auto" w:fill="auto"/>
        <w:bidi w:val="0"/>
        <w:spacing w:before="0" w:after="460" w:line="472" w:lineRule="exact"/>
        <w:ind w:left="0" w:right="0" w:firstLine="440"/>
        <w:jc w:val="both"/>
      </w:pPr>
      <w:r>
        <w:rPr>
          <w:color w:val="000000"/>
          <w:spacing w:val="0"/>
          <w:w w:val="100"/>
          <w:position w:val="0"/>
        </w:rPr>
        <w:t>不适用</w:t>
      </w:r>
    </w:p>
    <w:p>
      <w:pPr>
        <w:pStyle w:val="Style29"/>
        <w:keepNext/>
        <w:keepLines/>
        <w:widowControl w:val="0"/>
        <w:shd w:val="clear" w:color="auto" w:fill="auto"/>
        <w:tabs>
          <w:tab w:pos="469" w:val="left"/>
        </w:tabs>
        <w:bidi w:val="0"/>
        <w:spacing w:before="0" w:after="0" w:line="492"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50"/>
      <w:bookmarkEnd w:id="951"/>
      <w:bookmarkEnd w:id="953"/>
    </w:p>
    <w:p>
      <w:pPr>
        <w:pStyle w:val="Style10"/>
        <w:keepNext w:val="0"/>
        <w:keepLines w:val="0"/>
        <w:widowControl w:val="0"/>
        <w:shd w:val="clear" w:color="auto" w:fill="auto"/>
        <w:tabs>
          <w:tab w:pos="928" w:val="left"/>
        </w:tabs>
        <w:bidi w:val="0"/>
        <w:spacing w:before="0" w:after="0" w:line="472" w:lineRule="exact"/>
        <w:ind w:left="0" w:right="0" w:firstLine="440"/>
        <w:jc w:val="both"/>
      </w:pPr>
      <w:bookmarkStart w:id="954" w:name="bookmark954"/>
      <w:r>
        <w:rPr>
          <w:color w:val="000000"/>
          <w:spacing w:val="0"/>
          <w:w w:val="100"/>
          <w:position w:val="0"/>
        </w:rPr>
        <w:t>（</w:t>
      </w:r>
      <w:bookmarkEnd w:id="954"/>
      <w:r>
        <w:rPr>
          <w:color w:val="000000"/>
          <w:spacing w:val="0"/>
          <w:w w:val="100"/>
          <w:position w:val="0"/>
        </w:rPr>
        <w:t>1）</w:t>
        <w:tab/>
      </w:r>
      <w:r>
        <w:rPr>
          <w:color w:val="000000"/>
          <w:spacing w:val="0"/>
          <w:w w:val="100"/>
          <w:position w:val="0"/>
        </w:rPr>
        <w:t>使用权资产确认条件</w:t>
      </w:r>
    </w:p>
    <w:p>
      <w:pPr>
        <w:pStyle w:val="Style1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使用权资产是指公司作为承租人可在租赁期内使用租赁资产的权利。公司在租赁期开始日对租赁确认 使用权资产。使用权资产在同时满足经济利益很可能流入、成本能够可靠计量时予以确认。</w:t>
      </w:r>
    </w:p>
    <w:p>
      <w:pPr>
        <w:pStyle w:val="Style10"/>
        <w:keepNext w:val="0"/>
        <w:keepLines w:val="0"/>
        <w:widowControl w:val="0"/>
        <w:shd w:val="clear" w:color="auto" w:fill="auto"/>
        <w:tabs>
          <w:tab w:pos="928" w:val="left"/>
        </w:tabs>
        <w:bidi w:val="0"/>
        <w:spacing w:before="0" w:after="0" w:line="475" w:lineRule="exact"/>
        <w:ind w:left="0" w:right="0" w:firstLine="440"/>
        <w:jc w:val="both"/>
      </w:pPr>
      <w:bookmarkStart w:id="955" w:name="bookmark955"/>
      <w:r>
        <w:rPr>
          <w:color w:val="000000"/>
          <w:spacing w:val="0"/>
          <w:w w:val="100"/>
          <w:position w:val="0"/>
        </w:rPr>
        <w:t>（</w:t>
      </w:r>
      <w:bookmarkEnd w:id="955"/>
      <w:r>
        <w:rPr>
          <w:color w:val="000000"/>
          <w:spacing w:val="0"/>
          <w:w w:val="100"/>
          <w:position w:val="0"/>
        </w:rPr>
        <w:t>2）</w:t>
        <w:tab/>
      </w:r>
      <w:r>
        <w:rPr>
          <w:color w:val="000000"/>
          <w:spacing w:val="0"/>
          <w:w w:val="100"/>
          <w:position w:val="0"/>
        </w:rPr>
        <w:t>使用权资产的初始计量</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使用权资产按照成本进行初始计量，该成本包括：</w:t>
      </w:r>
    </w:p>
    <w:p>
      <w:pPr>
        <w:pStyle w:val="Style10"/>
        <w:keepNext w:val="0"/>
        <w:keepLines w:val="0"/>
        <w:widowControl w:val="0"/>
        <w:numPr>
          <w:ilvl w:val="0"/>
          <w:numId w:val="87"/>
        </w:numPr>
        <w:shd w:val="clear" w:color="auto" w:fill="auto"/>
        <w:tabs>
          <w:tab w:pos="832" w:val="left"/>
        </w:tabs>
        <w:bidi w:val="0"/>
        <w:spacing w:before="0" w:after="0" w:line="472" w:lineRule="exact"/>
        <w:ind w:left="0" w:right="0" w:firstLine="440"/>
        <w:jc w:val="both"/>
      </w:pPr>
      <w:bookmarkStart w:id="956" w:name="bookmark956"/>
      <w:bookmarkEnd w:id="956"/>
      <w:r>
        <w:rPr>
          <w:color w:val="000000"/>
          <w:spacing w:val="0"/>
          <w:w w:val="100"/>
          <w:position w:val="0"/>
        </w:rPr>
        <w:t>租赁负债的初始计量金额；</w:t>
      </w:r>
    </w:p>
    <w:p>
      <w:pPr>
        <w:pStyle w:val="Style10"/>
        <w:keepNext w:val="0"/>
        <w:keepLines w:val="0"/>
        <w:widowControl w:val="0"/>
        <w:numPr>
          <w:ilvl w:val="0"/>
          <w:numId w:val="87"/>
        </w:numPr>
        <w:shd w:val="clear" w:color="auto" w:fill="auto"/>
        <w:tabs>
          <w:tab w:pos="837" w:val="left"/>
        </w:tabs>
        <w:bidi w:val="0"/>
        <w:spacing w:before="0" w:after="0" w:line="472" w:lineRule="exact"/>
        <w:ind w:left="0" w:right="0" w:firstLine="440"/>
        <w:jc w:val="both"/>
      </w:pPr>
      <w:bookmarkStart w:id="957" w:name="bookmark957"/>
      <w:bookmarkEnd w:id="957"/>
      <w:r>
        <w:rPr>
          <w:color w:val="000000"/>
          <w:spacing w:val="0"/>
          <w:w w:val="100"/>
          <w:position w:val="0"/>
        </w:rPr>
        <w:t>在租赁期开始日或之前支付的租赁付款额，存在租赁激励的，扣除已享受的租赁激励相关金额；</w:t>
      </w:r>
    </w:p>
    <w:p>
      <w:pPr>
        <w:pStyle w:val="Style10"/>
        <w:keepNext w:val="0"/>
        <w:keepLines w:val="0"/>
        <w:widowControl w:val="0"/>
        <w:numPr>
          <w:ilvl w:val="0"/>
          <w:numId w:val="87"/>
        </w:numPr>
        <w:shd w:val="clear" w:color="auto" w:fill="auto"/>
        <w:tabs>
          <w:tab w:pos="837" w:val="left"/>
        </w:tabs>
        <w:bidi w:val="0"/>
        <w:spacing w:before="0" w:after="0" w:line="472" w:lineRule="exact"/>
        <w:ind w:left="0" w:right="0" w:firstLine="440"/>
        <w:jc w:val="both"/>
      </w:pPr>
      <w:bookmarkStart w:id="958" w:name="bookmark958"/>
      <w:bookmarkEnd w:id="958"/>
      <w:r>
        <w:rPr>
          <w:color w:val="000000"/>
          <w:spacing w:val="0"/>
          <w:w w:val="100"/>
          <w:position w:val="0"/>
        </w:rPr>
        <w:t>承租人发生的初始直接费用；</w:t>
      </w:r>
    </w:p>
    <w:p>
      <w:pPr>
        <w:pStyle w:val="Style10"/>
        <w:keepNext w:val="0"/>
        <w:keepLines w:val="0"/>
        <w:widowControl w:val="0"/>
        <w:numPr>
          <w:ilvl w:val="0"/>
          <w:numId w:val="87"/>
        </w:numPr>
        <w:shd w:val="clear" w:color="auto" w:fill="auto"/>
        <w:tabs>
          <w:tab w:pos="814" w:val="left"/>
        </w:tabs>
        <w:bidi w:val="0"/>
        <w:spacing w:before="0" w:after="0" w:line="470" w:lineRule="exact"/>
        <w:ind w:left="0" w:right="0" w:firstLine="440"/>
        <w:jc w:val="both"/>
      </w:pPr>
      <w:bookmarkStart w:id="959" w:name="bookmark959"/>
      <w:bookmarkEnd w:id="959"/>
      <w:r>
        <w:rPr>
          <w:color w:val="000000"/>
          <w:spacing w:val="0"/>
          <w:w w:val="100"/>
          <w:position w:val="0"/>
        </w:rPr>
        <w:t>承租人为拆卸及移除租赁资产、复原租赁资产所在场地或将租赁资产恢复至租赁条款约定状态预计 将发生的成本。</w:t>
      </w:r>
    </w:p>
    <w:p>
      <w:pPr>
        <w:pStyle w:val="Style10"/>
        <w:keepNext w:val="0"/>
        <w:keepLines w:val="0"/>
        <w:widowControl w:val="0"/>
        <w:shd w:val="clear" w:color="auto" w:fill="auto"/>
        <w:tabs>
          <w:tab w:pos="928" w:val="left"/>
        </w:tabs>
        <w:bidi w:val="0"/>
        <w:spacing w:before="0" w:after="0" w:line="472" w:lineRule="exact"/>
        <w:ind w:left="0" w:right="0" w:firstLine="440"/>
        <w:jc w:val="both"/>
      </w:pPr>
      <w:bookmarkStart w:id="960" w:name="bookmark960"/>
      <w:r>
        <w:rPr>
          <w:color w:val="000000"/>
          <w:spacing w:val="0"/>
          <w:w w:val="100"/>
          <w:position w:val="0"/>
        </w:rPr>
        <w:t>（</w:t>
      </w:r>
      <w:bookmarkEnd w:id="960"/>
      <w:r>
        <w:rPr>
          <w:color w:val="000000"/>
          <w:spacing w:val="0"/>
          <w:w w:val="100"/>
          <w:position w:val="0"/>
        </w:rPr>
        <w:t>3）</w:t>
        <w:tab/>
      </w:r>
      <w:r>
        <w:rPr>
          <w:color w:val="000000"/>
          <w:spacing w:val="0"/>
          <w:w w:val="100"/>
          <w:position w:val="0"/>
        </w:rPr>
        <w:t>使用权资产的后续计量</w:t>
      </w:r>
    </w:p>
    <w:p>
      <w:pPr>
        <w:pStyle w:val="Style10"/>
        <w:keepNext w:val="0"/>
        <w:keepLines w:val="0"/>
        <w:widowControl w:val="0"/>
        <w:numPr>
          <w:ilvl w:val="0"/>
          <w:numId w:val="89"/>
        </w:numPr>
        <w:shd w:val="clear" w:color="auto" w:fill="auto"/>
        <w:tabs>
          <w:tab w:pos="832" w:val="left"/>
        </w:tabs>
        <w:bidi w:val="0"/>
        <w:spacing w:before="0" w:after="0" w:line="472" w:lineRule="exact"/>
        <w:ind w:left="0" w:right="0" w:firstLine="440"/>
        <w:jc w:val="both"/>
      </w:pPr>
      <w:bookmarkStart w:id="961" w:name="bookmark961"/>
      <w:bookmarkEnd w:id="961"/>
      <w:r>
        <w:rPr>
          <w:color w:val="000000"/>
          <w:spacing w:val="0"/>
          <w:w w:val="100"/>
          <w:position w:val="0"/>
        </w:rPr>
        <w:t>采用成本模式对使用权资产进行后续计量。</w:t>
      </w:r>
    </w:p>
    <w:p>
      <w:pPr>
        <w:pStyle w:val="Style10"/>
        <w:keepNext w:val="0"/>
        <w:keepLines w:val="0"/>
        <w:widowControl w:val="0"/>
        <w:numPr>
          <w:ilvl w:val="0"/>
          <w:numId w:val="89"/>
        </w:numPr>
        <w:shd w:val="clear" w:color="auto" w:fill="auto"/>
        <w:tabs>
          <w:tab w:pos="814" w:val="left"/>
        </w:tabs>
        <w:bidi w:val="0"/>
        <w:spacing w:before="0" w:after="0" w:line="468" w:lineRule="exact"/>
        <w:ind w:left="0" w:right="0" w:firstLine="440"/>
        <w:jc w:val="both"/>
      </w:pPr>
      <w:bookmarkStart w:id="962" w:name="bookmark962"/>
      <w:bookmarkEnd w:id="962"/>
      <w:r>
        <w:rPr>
          <w:color w:val="000000"/>
          <w:spacing w:val="0"/>
          <w:w w:val="100"/>
          <w:position w:val="0"/>
        </w:rPr>
        <w:t>对使用权资产计提折旧。能够合理确定租赁期届满时取得租赁资产所有权的，公司在租赁资产剩余 使用寿命内计提折旧。无法合理确定租赁期届满时能够取得租赁资产所有权的，公司在租赁期与租赁资产 剩余使用寿命两者孰短的期间内计提折旧。各类使用权资产的具体折旧方法如下。</w:t>
      </w:r>
    </w:p>
    <w:p>
      <w:pPr>
        <w:pStyle w:val="Style10"/>
        <w:keepNext w:val="0"/>
        <w:keepLines w:val="0"/>
        <w:widowControl w:val="0"/>
        <w:shd w:val="clear" w:color="auto" w:fill="auto"/>
        <w:bidi w:val="0"/>
        <w:spacing w:before="0" w:line="468" w:lineRule="exact"/>
        <w:ind w:left="0" w:right="0" w:firstLine="440"/>
        <w:jc w:val="left"/>
      </w:pPr>
      <w:bookmarkStart w:id="963" w:name="bookmark963"/>
      <w:r>
        <w:rPr>
          <w:color w:val="000000"/>
          <w:spacing w:val="0"/>
          <w:w w:val="100"/>
          <w:position w:val="0"/>
        </w:rPr>
        <w:t>（</w:t>
      </w:r>
      <w:bookmarkEnd w:id="963"/>
      <w:r>
        <w:rPr>
          <w:color w:val="000000"/>
          <w:spacing w:val="0"/>
          <w:w w:val="100"/>
          <w:position w:val="0"/>
        </w:rPr>
        <w:t>4）</w:t>
      </w:r>
      <w:r>
        <w:rPr>
          <w:color w:val="000000"/>
          <w:spacing w:val="0"/>
          <w:w w:val="100"/>
          <w:position w:val="0"/>
        </w:rPr>
        <w:t>各类使用权资产折旧方法</w:t>
      </w:r>
    </w:p>
    <w:p>
      <w:pPr>
        <w:pStyle w:val="Style10"/>
        <w:keepNext w:val="0"/>
        <w:keepLines w:val="0"/>
        <w:widowControl w:val="0"/>
        <w:shd w:val="clear" w:color="auto" w:fill="auto"/>
        <w:bidi w:val="0"/>
        <w:spacing w:before="0" w:after="200" w:line="468" w:lineRule="exact"/>
        <w:ind w:left="0" w:right="0" w:firstLine="440"/>
        <w:jc w:val="left"/>
      </w:pPr>
      <w:r>
        <w:rPr>
          <w:color w:val="000000"/>
          <w:spacing w:val="0"/>
          <w:w w:val="100"/>
          <w:position w:val="0"/>
        </w:rPr>
        <w:t>自租赁期开始日起，本公司对使用权资产计提折旧。使用权资产通常自租赁期开始的当月计提折旧。 计提的折旧金额根据使用权资产的用途，计入相关资产的成本或者当期损益。本公司在确定使用权资产 的折旧方法时，根据与使用权资产有关的经济利益的预期消耗方式做出决定，以直线法对使用权资产计提 折旧。本公司在确定使用权资产的折旧年限时，遵循以下原则：能够合理确定租赁期届满时取得租赁资 产所有权的，在租赁资产剩余使用寿命内计提折旧；无法合理确定租赁期届满时能够取得租赁资产所有权 的，在租赁期与租赁资产剩余使用寿命两者孰短的期间内计提折旧。如果使用权资产发生减值，本公司按 照扣除减值损失之后的使用权资产的账面价值，进行后续折旧。</w:t>
      </w:r>
    </w:p>
    <w:p>
      <w:pPr>
        <w:pStyle w:val="Style29"/>
        <w:keepNext/>
        <w:keepLines/>
        <w:widowControl w:val="0"/>
        <w:shd w:val="clear" w:color="auto" w:fill="auto"/>
        <w:bidi w:val="0"/>
        <w:spacing w:before="0" w:after="140" w:line="468" w:lineRule="exact"/>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64"/>
      <w:bookmarkEnd w:id="965"/>
      <w:bookmarkEnd w:id="967"/>
    </w:p>
    <w:p>
      <w:pPr>
        <w:pStyle w:val="Style34"/>
        <w:keepNext/>
        <w:keepLines/>
        <w:widowControl w:val="0"/>
        <w:shd w:val="clear" w:color="auto" w:fill="auto"/>
        <w:bidi w:val="0"/>
        <w:spacing w:before="0" w:after="200" w:line="468" w:lineRule="exact"/>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68"/>
      <w:bookmarkEnd w:id="969"/>
      <w:bookmarkEnd w:id="971"/>
    </w:p>
    <w:p>
      <w:pPr>
        <w:pStyle w:val="Style10"/>
        <w:keepNext w:val="0"/>
        <w:keepLines w:val="0"/>
        <w:widowControl w:val="0"/>
        <w:shd w:val="clear" w:color="auto" w:fill="auto"/>
        <w:bidi w:val="0"/>
        <w:spacing w:before="0" w:line="475" w:lineRule="exact"/>
        <w:ind w:left="0" w:right="0" w:firstLine="540"/>
        <w:jc w:val="both"/>
      </w:pPr>
      <w:r>
        <w:rPr>
          <w:color w:val="000000"/>
          <w:spacing w:val="0"/>
          <w:w w:val="100"/>
          <w:position w:val="0"/>
        </w:rPr>
        <w:t>无形资产是指本公司拥有或者控制的没有实物形态的可辨认非货币性资产，包括土地使用权、非专 利技术、计算机软件等。</w:t>
      </w:r>
    </w:p>
    <w:p>
      <w:pPr>
        <w:pStyle w:val="Style10"/>
        <w:keepNext w:val="0"/>
        <w:keepLines w:val="0"/>
        <w:widowControl w:val="0"/>
        <w:numPr>
          <w:ilvl w:val="0"/>
          <w:numId w:val="91"/>
        </w:numPr>
        <w:shd w:val="clear" w:color="auto" w:fill="auto"/>
        <w:tabs>
          <w:tab w:pos="798" w:val="left"/>
        </w:tabs>
        <w:bidi w:val="0"/>
        <w:spacing w:before="0" w:line="468" w:lineRule="exact"/>
        <w:ind w:left="0" w:right="0" w:firstLine="440"/>
        <w:jc w:val="both"/>
      </w:pPr>
      <w:bookmarkStart w:id="972" w:name="bookmark972"/>
      <w:bookmarkEnd w:id="972"/>
      <w:r>
        <w:rPr>
          <w:color w:val="000000"/>
          <w:spacing w:val="0"/>
          <w:w w:val="100"/>
          <w:position w:val="0"/>
        </w:rPr>
        <w:t>无形资产的初始计量</w:t>
      </w:r>
    </w:p>
    <w:p>
      <w:pPr>
        <w:pStyle w:val="Style10"/>
        <w:keepNext w:val="0"/>
        <w:keepLines w:val="0"/>
        <w:widowControl w:val="0"/>
        <w:shd w:val="clear" w:color="auto" w:fill="auto"/>
        <w:bidi w:val="0"/>
        <w:spacing w:before="0" w:line="468"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10"/>
        <w:keepNext w:val="0"/>
        <w:keepLines w:val="0"/>
        <w:widowControl w:val="0"/>
        <w:shd w:val="clear" w:color="auto" w:fill="auto"/>
        <w:bidi w:val="0"/>
        <w:spacing w:before="0" w:line="470"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10"/>
        <w:keepNext w:val="0"/>
        <w:keepLines w:val="0"/>
        <w:widowControl w:val="0"/>
        <w:shd w:val="clear" w:color="auto" w:fill="auto"/>
        <w:bidi w:val="0"/>
        <w:spacing w:before="0" w:line="467"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10"/>
        <w:keepNext w:val="0"/>
        <w:keepLines w:val="0"/>
        <w:widowControl w:val="0"/>
        <w:shd w:val="clear" w:color="auto" w:fill="auto"/>
        <w:bidi w:val="0"/>
        <w:spacing w:before="0" w:line="456"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10"/>
        <w:keepNext w:val="0"/>
        <w:keepLines w:val="0"/>
        <w:widowControl w:val="0"/>
        <w:shd w:val="clear" w:color="auto" w:fill="auto"/>
        <w:bidi w:val="0"/>
        <w:spacing w:before="0" w:line="468"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10"/>
        <w:keepNext w:val="0"/>
        <w:keepLines w:val="0"/>
        <w:widowControl w:val="0"/>
        <w:numPr>
          <w:ilvl w:val="0"/>
          <w:numId w:val="91"/>
        </w:numPr>
        <w:shd w:val="clear" w:color="auto" w:fill="auto"/>
        <w:tabs>
          <w:tab w:pos="803" w:val="left"/>
        </w:tabs>
        <w:bidi w:val="0"/>
        <w:spacing w:before="0" w:line="468" w:lineRule="exact"/>
        <w:ind w:left="0" w:right="0" w:firstLine="440"/>
        <w:jc w:val="both"/>
      </w:pPr>
      <w:bookmarkStart w:id="973" w:name="bookmark973"/>
      <w:bookmarkEnd w:id="973"/>
      <w:r>
        <w:rPr>
          <w:color w:val="000000"/>
          <w:spacing w:val="0"/>
          <w:w w:val="100"/>
          <w:position w:val="0"/>
        </w:rPr>
        <w:t>无形资产的后续计量</w:t>
      </w:r>
    </w:p>
    <w:p>
      <w:pPr>
        <w:pStyle w:val="Style10"/>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本公司在取得无形资产时分析判断其使用寿命，划分为使用寿命有限和使用寿命不确定的无形资产。</w:t>
      </w:r>
    </w:p>
    <w:p>
      <w:pPr>
        <w:pStyle w:val="Style10"/>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对于使用寿命有限的无形资产，在为企业带来经济利益的期限内按直线法摊销。使用寿命有限的无形</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资产预计寿命及依据如下:</w:t>
      </w:r>
    </w:p>
    <w:tbl>
      <w:tblPr>
        <w:tblOverlap w:val="never"/>
        <w:jc w:val="center"/>
        <w:tblLayout w:type="fixed"/>
      </w:tblPr>
      <w:tblGrid>
        <w:gridCol w:w="3230"/>
        <w:gridCol w:w="2146"/>
        <w:gridCol w:w="4301"/>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土地证使用年限</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非专利技术、计算机软件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行业惯例</w:t>
            </w:r>
          </w:p>
        </w:tc>
      </w:tr>
    </w:tbl>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每期末，对使用寿命有限的无形资产的使用寿命及摊销方法进行复核，如与原先估计数存在差异的，</w:t>
      </w:r>
    </w:p>
    <w:p>
      <w:pPr>
        <w:pStyle w:val="Style10"/>
        <w:keepNext w:val="0"/>
        <w:keepLines w:val="0"/>
        <w:widowControl w:val="0"/>
        <w:shd w:val="clear" w:color="auto" w:fill="auto"/>
        <w:bidi w:val="0"/>
        <w:spacing w:before="0" w:after="0" w:line="469" w:lineRule="exact"/>
        <w:ind w:left="0" w:right="0" w:firstLine="0"/>
        <w:jc w:val="both"/>
      </w:pPr>
      <w:r>
        <w:rPr>
          <w:color w:val="000000"/>
          <w:spacing w:val="0"/>
          <w:w w:val="100"/>
          <w:position w:val="0"/>
        </w:rPr>
        <w:t>进行相应的调整。</w:t>
      </w:r>
    </w:p>
    <w:p>
      <w:pPr>
        <w:pStyle w:val="Style10"/>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经复核，本期期末无形资产的使用寿命及摊销方法与以前估计未有不同。</w:t>
      </w:r>
    </w:p>
    <w:p>
      <w:pPr>
        <w:pStyle w:val="Style34"/>
        <w:keepNext/>
        <w:keepLines/>
        <w:widowControl w:val="0"/>
        <w:shd w:val="clear" w:color="auto" w:fill="auto"/>
        <w:bidi w:val="0"/>
        <w:spacing w:before="0" w:after="200" w:line="469" w:lineRule="exact"/>
        <w:ind w:left="0" w:right="0" w:firstLine="0"/>
        <w:jc w:val="both"/>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74"/>
      <w:bookmarkEnd w:id="975"/>
      <w:bookmarkEnd w:id="977"/>
    </w:p>
    <w:p>
      <w:pPr>
        <w:pStyle w:val="Style10"/>
        <w:keepNext w:val="0"/>
        <w:keepLines w:val="0"/>
        <w:widowControl w:val="0"/>
        <w:numPr>
          <w:ilvl w:val="0"/>
          <w:numId w:val="93"/>
        </w:numPr>
        <w:shd w:val="clear" w:color="auto" w:fill="auto"/>
        <w:tabs>
          <w:tab w:pos="832" w:val="left"/>
        </w:tabs>
        <w:bidi w:val="0"/>
        <w:spacing w:before="0" w:after="0" w:line="469" w:lineRule="exact"/>
        <w:ind w:left="0" w:right="0" w:firstLine="440"/>
        <w:jc w:val="both"/>
      </w:pPr>
      <w:bookmarkStart w:id="978" w:name="bookmark978"/>
      <w:bookmarkEnd w:id="978"/>
      <w:r>
        <w:rPr>
          <w:color w:val="000000"/>
          <w:spacing w:val="0"/>
          <w:w w:val="100"/>
          <w:position w:val="0"/>
        </w:rPr>
        <w:t>划分公司内部研究开发项目的研究阶段和开发阶段具体标准</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内部研究开发项目研究阶段的支出，在发生时计入当期损益。</w:t>
      </w:r>
    </w:p>
    <w:p>
      <w:pPr>
        <w:pStyle w:val="Style10"/>
        <w:keepNext w:val="0"/>
        <w:keepLines w:val="0"/>
        <w:widowControl w:val="0"/>
        <w:numPr>
          <w:ilvl w:val="0"/>
          <w:numId w:val="93"/>
        </w:numPr>
        <w:shd w:val="clear" w:color="auto" w:fill="auto"/>
        <w:tabs>
          <w:tab w:pos="837" w:val="left"/>
        </w:tabs>
        <w:bidi w:val="0"/>
        <w:spacing w:before="0" w:after="0" w:line="469" w:lineRule="exact"/>
        <w:ind w:left="0" w:right="0" w:firstLine="440"/>
        <w:jc w:val="both"/>
      </w:pPr>
      <w:bookmarkStart w:id="979" w:name="bookmark979"/>
      <w:bookmarkEnd w:id="979"/>
      <w:r>
        <w:rPr>
          <w:color w:val="000000"/>
          <w:spacing w:val="0"/>
          <w:w w:val="100"/>
          <w:position w:val="0"/>
        </w:rPr>
        <w:t>开发阶段支出符合资本化的具体标准</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内部研究开发项目开发阶段的支出，同时满足下列条件时确认为无形资产：</w:t>
      </w:r>
    </w:p>
    <w:p>
      <w:pPr>
        <w:pStyle w:val="Style10"/>
        <w:keepNext w:val="0"/>
        <w:keepLines w:val="0"/>
        <w:widowControl w:val="0"/>
        <w:shd w:val="clear" w:color="auto" w:fill="auto"/>
        <w:tabs>
          <w:tab w:pos="928" w:val="left"/>
        </w:tabs>
        <w:bidi w:val="0"/>
        <w:spacing w:before="0" w:after="0" w:line="469" w:lineRule="exact"/>
        <w:ind w:left="0" w:right="0" w:firstLine="440"/>
        <w:jc w:val="both"/>
      </w:pPr>
      <w:bookmarkStart w:id="980" w:name="bookmark980"/>
      <w:r>
        <w:rPr>
          <w:color w:val="000000"/>
          <w:spacing w:val="0"/>
          <w:w w:val="100"/>
          <w:position w:val="0"/>
        </w:rPr>
        <w:t>（</w:t>
      </w:r>
      <w:bookmarkEnd w:id="980"/>
      <w:r>
        <w:rPr>
          <w:color w:val="000000"/>
          <w:spacing w:val="0"/>
          <w:w w:val="100"/>
          <w:position w:val="0"/>
        </w:rPr>
        <w:t>1）</w:t>
        <w:tab/>
      </w:r>
      <w:r>
        <w:rPr>
          <w:color w:val="000000"/>
          <w:spacing w:val="0"/>
          <w:w w:val="100"/>
          <w:position w:val="0"/>
        </w:rPr>
        <w:t>完成该无形资产以使其能够使用或出售在技术上具有可行性；</w:t>
      </w:r>
    </w:p>
    <w:p>
      <w:pPr>
        <w:pStyle w:val="Style10"/>
        <w:keepNext w:val="0"/>
        <w:keepLines w:val="0"/>
        <w:widowControl w:val="0"/>
        <w:shd w:val="clear" w:color="auto" w:fill="auto"/>
        <w:tabs>
          <w:tab w:pos="928" w:val="left"/>
        </w:tabs>
        <w:bidi w:val="0"/>
        <w:spacing w:before="0" w:after="0" w:line="469" w:lineRule="exact"/>
        <w:ind w:left="0" w:right="0" w:firstLine="440"/>
        <w:jc w:val="both"/>
      </w:pPr>
      <w:bookmarkStart w:id="981" w:name="bookmark981"/>
      <w:r>
        <w:rPr>
          <w:color w:val="000000"/>
          <w:spacing w:val="0"/>
          <w:w w:val="100"/>
          <w:position w:val="0"/>
        </w:rPr>
        <w:t>（</w:t>
      </w:r>
      <w:bookmarkEnd w:id="981"/>
      <w:r>
        <w:rPr>
          <w:color w:val="000000"/>
          <w:spacing w:val="0"/>
          <w:w w:val="100"/>
          <w:position w:val="0"/>
        </w:rPr>
        <w:t>2）</w:t>
        <w:tab/>
      </w:r>
      <w:r>
        <w:rPr>
          <w:color w:val="000000"/>
          <w:spacing w:val="0"/>
          <w:w w:val="100"/>
          <w:position w:val="0"/>
        </w:rPr>
        <w:t>具有完成该无形资产并使用或出售的意图；</w:t>
      </w:r>
    </w:p>
    <w:p>
      <w:pPr>
        <w:pStyle w:val="Style10"/>
        <w:keepNext w:val="0"/>
        <w:keepLines w:val="0"/>
        <w:widowControl w:val="0"/>
        <w:shd w:val="clear" w:color="auto" w:fill="auto"/>
        <w:tabs>
          <w:tab w:pos="987" w:val="left"/>
        </w:tabs>
        <w:bidi w:val="0"/>
        <w:spacing w:before="0" w:after="0" w:line="480" w:lineRule="exact"/>
        <w:ind w:left="0" w:right="0" w:firstLine="440"/>
        <w:jc w:val="both"/>
      </w:pPr>
      <w:bookmarkStart w:id="982" w:name="bookmark982"/>
      <w:r>
        <w:rPr>
          <w:color w:val="000000"/>
          <w:spacing w:val="0"/>
          <w:w w:val="100"/>
          <w:position w:val="0"/>
        </w:rPr>
        <w:t>（</w:t>
      </w:r>
      <w:bookmarkEnd w:id="982"/>
      <w:r>
        <w:rPr>
          <w:color w:val="000000"/>
          <w:spacing w:val="0"/>
          <w:w w:val="100"/>
          <w:position w:val="0"/>
        </w:rPr>
        <w:t>3）</w:t>
        <w:tab/>
      </w:r>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10"/>
        <w:keepNext w:val="0"/>
        <w:keepLines w:val="0"/>
        <w:widowControl w:val="0"/>
        <w:shd w:val="clear" w:color="auto" w:fill="auto"/>
        <w:tabs>
          <w:tab w:pos="1021" w:val="left"/>
        </w:tabs>
        <w:bidi w:val="0"/>
        <w:spacing w:before="0" w:after="0" w:line="461" w:lineRule="exact"/>
        <w:ind w:left="0" w:right="0" w:firstLine="440"/>
        <w:jc w:val="both"/>
      </w:pPr>
      <w:bookmarkStart w:id="983" w:name="bookmark983"/>
      <w:r>
        <w:rPr>
          <w:color w:val="000000"/>
          <w:spacing w:val="0"/>
          <w:w w:val="100"/>
          <w:position w:val="0"/>
        </w:rPr>
        <w:t>（</w:t>
      </w:r>
      <w:bookmarkEnd w:id="983"/>
      <w:r>
        <w:rPr>
          <w:color w:val="000000"/>
          <w:spacing w:val="0"/>
          <w:w w:val="100"/>
          <w:position w:val="0"/>
        </w:rPr>
        <w:t>4）</w:t>
        <w:tab/>
      </w:r>
      <w:r>
        <w:rPr>
          <w:color w:val="000000"/>
          <w:spacing w:val="0"/>
          <w:w w:val="100"/>
          <w:position w:val="0"/>
        </w:rPr>
        <w:t>有足够的技术、财务资源和其他资源支持，以完成该无形资产的开发，并有能力使用或出售该 无形资产；</w:t>
      </w:r>
    </w:p>
    <w:p>
      <w:pPr>
        <w:pStyle w:val="Style10"/>
        <w:keepNext w:val="0"/>
        <w:keepLines w:val="0"/>
        <w:widowControl w:val="0"/>
        <w:shd w:val="clear" w:color="auto" w:fill="auto"/>
        <w:tabs>
          <w:tab w:pos="928" w:val="left"/>
        </w:tabs>
        <w:bidi w:val="0"/>
        <w:spacing w:before="0" w:after="0" w:line="469" w:lineRule="exact"/>
        <w:ind w:left="0" w:right="0" w:firstLine="440"/>
        <w:jc w:val="both"/>
      </w:pPr>
      <w:bookmarkStart w:id="984" w:name="bookmark984"/>
      <w:r>
        <w:rPr>
          <w:color w:val="000000"/>
          <w:spacing w:val="0"/>
          <w:w w:val="100"/>
          <w:position w:val="0"/>
        </w:rPr>
        <w:t>（</w:t>
      </w:r>
      <w:bookmarkEnd w:id="984"/>
      <w:r>
        <w:rPr>
          <w:color w:val="000000"/>
          <w:spacing w:val="0"/>
          <w:w w:val="100"/>
          <w:position w:val="0"/>
        </w:rPr>
        <w:t>5）</w:t>
        <w:tab/>
      </w:r>
      <w:r>
        <w:rPr>
          <w:color w:val="000000"/>
          <w:spacing w:val="0"/>
          <w:w w:val="100"/>
          <w:position w:val="0"/>
        </w:rPr>
        <w:t>归属于该无形资产开发阶段的支出能够可靠地计量。</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29"/>
        <w:keepNext/>
        <w:keepLines/>
        <w:widowControl w:val="0"/>
        <w:shd w:val="clear" w:color="auto" w:fill="auto"/>
        <w:tabs>
          <w:tab w:pos="409" w:val="left"/>
        </w:tabs>
        <w:bidi w:val="0"/>
        <w:spacing w:before="0" w:after="220" w:line="467" w:lineRule="exact"/>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w:t>
      </w:r>
      <w:bookmarkEnd w:id="987"/>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85"/>
      <w:bookmarkEnd w:id="986"/>
      <w:bookmarkEnd w:id="988"/>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对于固定资产、在建工程、使用寿命有限的无形资产、以成本模式计量的投资性房地产及对子公司、 合营企业、联营企业的长期股权投资等非流动非金融资产，公司于资产负债表日判断是否存在减值迹象。 如存在减值迹象的，则估计其可收回金额，进行减值测试。商誉、使用寿命不确定的无形资产和尚未达到 可使用状态的无形资产，无论是否存在减值迹象，每年均进行减值测试。</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就商誉的减值测试而言，对于因企业合并形成的商誉的账面价值，自购买日起按照合理的方法分摊至 相关的资产组；难以分摊至相关的资产组的，将其分摊至相关的资产组组合。相关的资产组或资产组组合， 是能够从企业合并的协同效应中受益的资产组或者资产组组合，且不大于本公司确定的报告分部。</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对包含商誉的相关资产组或者资产组组合进行减值测试时，如与商誉相关的资产组或者资产组组合存 在减值迹象的，首先对不包含商誉的资产组或者资产组组合进行减值测试，计算可收回金额，确认相应的 减值损失。然后对包含商誉的资产组或者资产组组合进行减值测试，比较其账面价值与可收回金额，如可 收回金额低于账面价值的，减值损失金额首先抵减分摊至资产组或资产组组合中商誉的账面价值，再根据 资产组或资产组组合中除商誉之外的其他各项资产的账面价值所占比重，按比例抵减其他各项资产的账面 价值，但抵减后的各资产的账面价值不得低于该资产的公允价值减去处置费用后的净额（如可确定的）和 该资产预计未来现金流量的现值（如可确定的）两者之间较高者，同时也不低于零。</w:t>
      </w:r>
    </w:p>
    <w:p>
      <w:pPr>
        <w:pStyle w:val="Style1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上述资产减值损失一经确认，以后期间不予转回价值得以恢复的部分。</w:t>
      </w:r>
    </w:p>
    <w:p>
      <w:pPr>
        <w:pStyle w:val="Style29"/>
        <w:keepNext/>
        <w:keepLines/>
        <w:widowControl w:val="0"/>
        <w:shd w:val="clear" w:color="auto" w:fill="auto"/>
        <w:tabs>
          <w:tab w:pos="409" w:val="left"/>
        </w:tabs>
        <w:bidi w:val="0"/>
        <w:spacing w:before="0" w:after="220" w:line="467" w:lineRule="exact"/>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3</w:t>
      </w:r>
      <w:bookmarkEnd w:id="991"/>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89"/>
      <w:bookmarkEnd w:id="990"/>
      <w:bookmarkEnd w:id="992"/>
    </w:p>
    <w:p>
      <w:pPr>
        <w:pStyle w:val="Style10"/>
        <w:keepNext w:val="0"/>
        <w:keepLines w:val="0"/>
        <w:widowControl w:val="0"/>
        <w:shd w:val="clear" w:color="auto" w:fill="auto"/>
        <w:bidi w:val="0"/>
        <w:spacing w:before="0" w:after="260" w:line="466" w:lineRule="exact"/>
        <w:ind w:left="0" w:right="0" w:firstLine="440"/>
        <w:jc w:val="both"/>
      </w:pPr>
      <w:r>
        <w:rPr>
          <w:color w:val="000000"/>
          <w:spacing w:val="0"/>
          <w:w w:val="100"/>
          <w:position w:val="0"/>
        </w:rPr>
        <w:t>长期待摊费用是公司已经发生但应由本期和以后各期负担的分摊期限在</w:t>
      </w:r>
      <w:r>
        <w:rPr>
          <w:color w:val="000000"/>
          <w:spacing w:val="0"/>
          <w:w w:val="100"/>
          <w:position w:val="0"/>
        </w:rPr>
        <w:t>1</w:t>
      </w:r>
      <w:r>
        <w:rPr>
          <w:color w:val="000000"/>
          <w:spacing w:val="0"/>
          <w:w w:val="100"/>
          <w:position w:val="0"/>
        </w:rPr>
        <w:t>年以上（不含</w:t>
      </w:r>
      <w:r>
        <w:rPr>
          <w:color w:val="000000"/>
          <w:spacing w:val="0"/>
          <w:w w:val="100"/>
          <w:position w:val="0"/>
        </w:rPr>
        <w:t>1</w:t>
      </w:r>
      <w:r>
        <w:rPr>
          <w:color w:val="000000"/>
          <w:spacing w:val="0"/>
          <w:w w:val="100"/>
          <w:position w:val="0"/>
        </w:rPr>
        <w:t xml:space="preserve">年）的各项 费用。长期待摊费用在受益期内平均摊销，如果长期待摊费用项目不能使以后会计期间受益的，则将其尚 </w:t>
      </w:r>
      <w:r>
        <w:rPr>
          <w:color w:val="000000"/>
          <w:spacing w:val="0"/>
          <w:w w:val="100"/>
          <w:position w:val="0"/>
        </w:rPr>
        <w:t>未摊销的摊余价值全部转入当期损益。</w:t>
      </w:r>
    </w:p>
    <w:p>
      <w:pPr>
        <w:pStyle w:val="Style23"/>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长期待摊费用按照直线法平均摊销，摊销年限如下:</w:t>
      </w:r>
    </w:p>
    <w:tbl>
      <w:tblPr>
        <w:tblOverlap w:val="never"/>
        <w:jc w:val="center"/>
        <w:tblLayout w:type="fixed"/>
      </w:tblPr>
      <w:tblGrid>
        <w:gridCol w:w="5774"/>
        <w:gridCol w:w="3902"/>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摊销年限</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经营租赁资产改良支出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r>
    </w:tbl>
    <w:p>
      <w:pPr>
        <w:widowControl w:val="0"/>
        <w:spacing w:after="119" w:line="1" w:lineRule="exact"/>
      </w:pPr>
    </w:p>
    <w:p>
      <w:pPr>
        <w:pStyle w:val="Style29"/>
        <w:keepNext/>
        <w:keepLines/>
        <w:widowControl w:val="0"/>
        <w:shd w:val="clear" w:color="auto" w:fill="auto"/>
        <w:tabs>
          <w:tab w:pos="469" w:val="left"/>
        </w:tabs>
        <w:bidi w:val="0"/>
        <w:spacing w:before="0" w:after="220" w:line="467" w:lineRule="exact"/>
        <w:ind w:left="0" w:right="0" w:firstLine="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93"/>
      <w:bookmarkEnd w:id="994"/>
      <w:bookmarkEnd w:id="996"/>
    </w:p>
    <w:p>
      <w:pPr>
        <w:pStyle w:val="Style1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合同负债反映已收或应收客户对价而应向客户转让商品的义务。在向客户转让商品之前，客户已经支 付了合同对价或已经取得了无条件收取合同对价权利的，在客户实际支付款项与到期应付款项孰早时点， 按照已收或应收的金额确认合同负债。同一合同下的合同资产和合同负债以净额列示，不同合同下的合同 资产和合同负债不予抵销。</w:t>
      </w:r>
    </w:p>
    <w:p>
      <w:pPr>
        <w:pStyle w:val="Style29"/>
        <w:keepNext/>
        <w:keepLines/>
        <w:widowControl w:val="0"/>
        <w:shd w:val="clear" w:color="auto" w:fill="auto"/>
        <w:tabs>
          <w:tab w:pos="469" w:val="left"/>
        </w:tabs>
        <w:bidi w:val="0"/>
        <w:spacing w:before="0" w:after="120" w:line="467" w:lineRule="exact"/>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00"/>
      <w:bookmarkEnd w:id="997"/>
      <w:bookmarkEnd w:id="998"/>
    </w:p>
    <w:p>
      <w:pPr>
        <w:pStyle w:val="Style34"/>
        <w:keepNext/>
        <w:keepLines/>
        <w:widowControl w:val="0"/>
        <w:shd w:val="clear" w:color="auto" w:fill="auto"/>
        <w:tabs>
          <w:tab w:pos="478" w:val="left"/>
        </w:tabs>
        <w:bidi w:val="0"/>
        <w:spacing w:before="0" w:after="220" w:line="467" w:lineRule="exact"/>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01"/>
      <w:bookmarkEnd w:id="1002"/>
      <w:bookmarkEnd w:id="1004"/>
    </w:p>
    <w:p>
      <w:pPr>
        <w:pStyle w:val="Style10"/>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34"/>
        <w:keepNext/>
        <w:keepLines/>
        <w:widowControl w:val="0"/>
        <w:shd w:val="clear" w:color="auto" w:fill="auto"/>
        <w:tabs>
          <w:tab w:pos="478" w:val="left"/>
        </w:tabs>
        <w:bidi w:val="0"/>
        <w:spacing w:before="0" w:after="220" w:line="467" w:lineRule="exact"/>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05"/>
      <w:bookmarkEnd w:id="1006"/>
      <w:bookmarkEnd w:id="1008"/>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本公司的离职后福利计划分类为设定提存计划和设定受益计划。</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1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本公司按照国家规定的标准定期缴付上述款项后，不再有其他的支付义务。</w:t>
      </w:r>
    </w:p>
    <w:p>
      <w:pPr>
        <w:pStyle w:val="Style34"/>
        <w:keepNext/>
        <w:keepLines/>
        <w:widowControl w:val="0"/>
        <w:shd w:val="clear" w:color="auto" w:fill="auto"/>
        <w:tabs>
          <w:tab w:pos="478" w:val="left"/>
        </w:tabs>
        <w:bidi w:val="0"/>
        <w:spacing w:before="0" w:after="220" w:line="467" w:lineRule="exact"/>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09"/>
      <w:bookmarkEnd w:id="1010"/>
      <w:bookmarkEnd w:id="1012"/>
    </w:p>
    <w:p>
      <w:pPr>
        <w:pStyle w:val="Style10"/>
        <w:keepNext w:val="0"/>
        <w:keepLines w:val="0"/>
        <w:widowControl w:val="0"/>
        <w:shd w:val="clear" w:color="auto" w:fill="auto"/>
        <w:bidi w:val="0"/>
        <w:spacing w:before="0" w:line="467" w:lineRule="exact"/>
        <w:ind w:left="0" w:right="0" w:firstLine="440"/>
        <w:jc w:val="both"/>
      </w:pPr>
      <w:r>
        <w:rPr>
          <w:color w:val="000000"/>
          <w:spacing w:val="0"/>
          <w:w w:val="100"/>
          <w:position w:val="0"/>
        </w:rPr>
        <w:t xml:space="preserve">辞退福利是指本公司在职工劳动合同到期之前解除与职工的劳动关系，或者为鼓励职工自愿接受裁减 </w:t>
      </w:r>
      <w:r>
        <w:rPr>
          <w:color w:val="000000"/>
          <w:spacing w:val="0"/>
          <w:w w:val="100"/>
          <w:position w:val="0"/>
        </w:rPr>
        <w:t>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1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34"/>
        <w:keepNext/>
        <w:keepLines/>
        <w:widowControl w:val="0"/>
        <w:shd w:val="clear" w:color="auto" w:fill="auto"/>
        <w:bidi w:val="0"/>
        <w:spacing w:before="0" w:after="220" w:line="468" w:lineRule="exact"/>
        <w:ind w:left="0" w:right="0" w:firstLine="0"/>
        <w:jc w:val="both"/>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13"/>
      <w:bookmarkEnd w:id="1014"/>
      <w:bookmarkEnd w:id="1016"/>
    </w:p>
    <w:p>
      <w:pPr>
        <w:pStyle w:val="Style10"/>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其他长期职工福利，是指除短期薪酬、离职后福利、辞退福利之外所有的职工薪酬，包括长期带薪缺 勤、长期残疾福利、长期利润分享计划等。本公司向职工提供的其他长期职工福利，符合设定提存计划条 件的，按照设定提存计划的有关规定进行处理；除上述情形外的其他长期职工福利，按照设定受益计划的 有关规定，确认和计量其他长期职工福利净负债或净资产。在报告期末，公司将其他长期职工福利产生的 福利义务归属于职工提供服务期间，并计入当期损益或相关资产成本。</w:t>
      </w:r>
    </w:p>
    <w:p>
      <w:pPr>
        <w:pStyle w:val="Style29"/>
        <w:keepNext/>
        <w:keepLines/>
        <w:widowControl w:val="0"/>
        <w:shd w:val="clear" w:color="auto" w:fill="auto"/>
        <w:bidi w:val="0"/>
        <w:spacing w:before="0" w:after="0" w:line="480" w:lineRule="auto"/>
        <w:ind w:left="0" w:right="0" w:firstLine="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017"/>
      <w:bookmarkEnd w:id="1018"/>
      <w:bookmarkEnd w:id="1020"/>
    </w:p>
    <w:p>
      <w:pPr>
        <w:pStyle w:val="Style10"/>
        <w:keepNext w:val="0"/>
        <w:keepLines w:val="0"/>
        <w:widowControl w:val="0"/>
        <w:shd w:val="clear" w:color="auto" w:fill="auto"/>
        <w:bidi w:val="0"/>
        <w:spacing w:before="0" w:line="468" w:lineRule="exact"/>
        <w:ind w:left="0" w:right="0" w:firstLine="440"/>
        <w:jc w:val="both"/>
      </w:pPr>
      <w:bookmarkStart w:id="1021" w:name="bookmark1021"/>
      <w:r>
        <w:rPr>
          <w:color w:val="000000"/>
          <w:spacing w:val="0"/>
          <w:w w:val="100"/>
          <w:position w:val="0"/>
        </w:rPr>
        <w:t>（</w:t>
      </w:r>
      <w:bookmarkEnd w:id="1021"/>
      <w:r>
        <w:rPr>
          <w:color w:val="000000"/>
          <w:spacing w:val="0"/>
          <w:w w:val="100"/>
          <w:position w:val="0"/>
        </w:rPr>
        <w:t>1）</w:t>
      </w:r>
      <w:r>
        <w:rPr>
          <w:color w:val="000000"/>
          <w:spacing w:val="0"/>
          <w:w w:val="100"/>
          <w:position w:val="0"/>
        </w:rPr>
        <w:t>初始计量</w:t>
      </w:r>
    </w:p>
    <w:p>
      <w:pPr>
        <w:pStyle w:val="Style10"/>
        <w:keepNext w:val="0"/>
        <w:keepLines w:val="0"/>
        <w:widowControl w:val="0"/>
        <w:shd w:val="clear" w:color="auto" w:fill="auto"/>
        <w:bidi w:val="0"/>
        <w:spacing w:before="0" w:line="468" w:lineRule="exact"/>
        <w:ind w:left="0" w:right="0" w:firstLine="440"/>
        <w:jc w:val="both"/>
      </w:pPr>
      <w:r>
        <w:rPr>
          <w:color w:val="000000"/>
          <w:spacing w:val="0"/>
          <w:w w:val="100"/>
          <w:position w:val="0"/>
        </w:rPr>
        <w:t>本公司按照租赁期开始日尚未支付的租赁付款额的现值对租赁负债进行初始计量。</w:t>
      </w:r>
    </w:p>
    <w:p>
      <w:pPr>
        <w:pStyle w:val="Style10"/>
        <w:keepNext w:val="0"/>
        <w:keepLines w:val="0"/>
        <w:widowControl w:val="0"/>
        <w:numPr>
          <w:ilvl w:val="0"/>
          <w:numId w:val="95"/>
        </w:numPr>
        <w:shd w:val="clear" w:color="auto" w:fill="auto"/>
        <w:tabs>
          <w:tab w:pos="789" w:val="left"/>
        </w:tabs>
        <w:bidi w:val="0"/>
        <w:spacing w:before="0" w:line="468" w:lineRule="exact"/>
        <w:ind w:left="0" w:right="0" w:firstLine="440"/>
        <w:jc w:val="both"/>
      </w:pPr>
      <w:bookmarkStart w:id="1022" w:name="bookmark1022"/>
      <w:bookmarkEnd w:id="1022"/>
      <w:r>
        <w:rPr>
          <w:color w:val="000000"/>
          <w:spacing w:val="0"/>
          <w:w w:val="100"/>
          <w:position w:val="0"/>
        </w:rPr>
        <w:t>租赁付款额</w:t>
      </w:r>
    </w:p>
    <w:p>
      <w:pPr>
        <w:pStyle w:val="Style10"/>
        <w:keepNext w:val="0"/>
        <w:keepLines w:val="0"/>
        <w:widowControl w:val="0"/>
        <w:shd w:val="clear" w:color="auto" w:fill="auto"/>
        <w:bidi w:val="0"/>
        <w:spacing w:before="0" w:line="463" w:lineRule="exact"/>
        <w:ind w:left="0" w:right="0" w:firstLine="440"/>
        <w:jc w:val="both"/>
      </w:pPr>
      <w:r>
        <w:rPr>
          <w:color w:val="000000"/>
          <w:spacing w:val="0"/>
          <w:w w:val="100"/>
          <w:position w:val="0"/>
        </w:rPr>
        <w:t>租赁付款额，是指本公司向出租人支付的与在租赁期内使用租赁资产的权利相关的款项，包括：</w:t>
      </w:r>
      <w:r>
        <w:rPr>
          <w:color w:val="000000"/>
          <w:spacing w:val="0"/>
          <w:w w:val="100"/>
          <w:position w:val="0"/>
        </w:rPr>
        <w:t xml:space="preserve">1） </w:t>
      </w:r>
      <w:r>
        <w:rPr>
          <w:color w:val="000000"/>
          <w:spacing w:val="0"/>
          <w:w w:val="100"/>
          <w:position w:val="0"/>
        </w:rPr>
        <w:t>固定付款额及实质固定付款额，存在租赁激励的，扣除租赁激励相关金额；</w:t>
      </w:r>
      <w:r>
        <w:rPr>
          <w:color w:val="000000"/>
          <w:spacing w:val="0"/>
          <w:w w:val="100"/>
          <w:position w:val="0"/>
        </w:rPr>
        <w:t>2）</w:t>
      </w:r>
      <w:r>
        <w:rPr>
          <w:color w:val="000000"/>
          <w:spacing w:val="0"/>
          <w:w w:val="100"/>
          <w:position w:val="0"/>
        </w:rPr>
        <w:t>取决于指数或比率的可变 租赁付款额，该款额在初始计量时根据租赁期开始日的指数或比率确定；</w:t>
      </w:r>
      <w:r>
        <w:rPr>
          <w:color w:val="000000"/>
          <w:spacing w:val="0"/>
          <w:w w:val="100"/>
          <w:position w:val="0"/>
        </w:rPr>
        <w:t>3）</w:t>
      </w:r>
      <w:r>
        <w:rPr>
          <w:color w:val="000000"/>
          <w:spacing w:val="0"/>
          <w:w w:val="100"/>
          <w:position w:val="0"/>
        </w:rPr>
        <w:t>本公司合理确定将行使购买 选择权时，购买选择权的行权价格；</w:t>
      </w:r>
      <w:r>
        <w:rPr>
          <w:color w:val="000000"/>
          <w:spacing w:val="0"/>
          <w:w w:val="100"/>
          <w:position w:val="0"/>
        </w:rPr>
        <w:t>4）</w:t>
      </w:r>
      <w:r>
        <w:rPr>
          <w:color w:val="000000"/>
          <w:spacing w:val="0"/>
          <w:w w:val="100"/>
          <w:position w:val="0"/>
        </w:rPr>
        <w:t>租赁期反映出本公司将行使终止租赁选择权时，行使终止租赁选 择权需支付的款项；</w:t>
      </w:r>
      <w:r>
        <w:rPr>
          <w:color w:val="000000"/>
          <w:spacing w:val="0"/>
          <w:w w:val="100"/>
          <w:position w:val="0"/>
        </w:rPr>
        <w:t>5）</w:t>
      </w:r>
      <w:r>
        <w:rPr>
          <w:color w:val="000000"/>
          <w:spacing w:val="0"/>
          <w:w w:val="100"/>
          <w:position w:val="0"/>
        </w:rPr>
        <w:t>根据本公司提供的担保余值预计应支付的款项。</w:t>
      </w:r>
    </w:p>
    <w:p>
      <w:pPr>
        <w:pStyle w:val="Style10"/>
        <w:keepNext w:val="0"/>
        <w:keepLines w:val="0"/>
        <w:widowControl w:val="0"/>
        <w:numPr>
          <w:ilvl w:val="0"/>
          <w:numId w:val="95"/>
        </w:numPr>
        <w:shd w:val="clear" w:color="auto" w:fill="auto"/>
        <w:tabs>
          <w:tab w:pos="794" w:val="left"/>
        </w:tabs>
        <w:bidi w:val="0"/>
        <w:spacing w:before="0" w:line="468" w:lineRule="exact"/>
        <w:ind w:left="0" w:right="0" w:firstLine="440"/>
        <w:jc w:val="both"/>
      </w:pPr>
      <w:bookmarkStart w:id="1023" w:name="bookmark1023"/>
      <w:bookmarkEnd w:id="1023"/>
      <w:r>
        <w:rPr>
          <w:color w:val="000000"/>
          <w:spacing w:val="0"/>
          <w:w w:val="100"/>
          <w:position w:val="0"/>
        </w:rPr>
        <w:t>折现率</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在计算租赁付款额的现值时，本公司采用租赁内含利率作为折现率，无法确定租赁内含利率的，采用 增量借款利率作为折现率。该增量借款利率，是指本公司在类似经济环境下为获得与使用权资产价值接近 </w:t>
      </w:r>
      <w:r>
        <w:rPr>
          <w:color w:val="000000"/>
          <w:spacing w:val="0"/>
          <w:w w:val="100"/>
          <w:position w:val="0"/>
        </w:rPr>
        <w:t>的资产，在类似期间以类似抵押条件借入资金须支付的利率。</w:t>
      </w:r>
    </w:p>
    <w:p>
      <w:pPr>
        <w:pStyle w:val="Style10"/>
        <w:keepNext w:val="0"/>
        <w:keepLines w:val="0"/>
        <w:widowControl w:val="0"/>
        <w:numPr>
          <w:ilvl w:val="0"/>
          <w:numId w:val="97"/>
        </w:numPr>
        <w:shd w:val="clear" w:color="auto" w:fill="auto"/>
        <w:bidi w:val="0"/>
        <w:spacing w:before="0" w:after="0" w:line="470" w:lineRule="exact"/>
        <w:ind w:left="0" w:right="0" w:firstLine="440"/>
        <w:jc w:val="both"/>
      </w:pPr>
      <w:bookmarkStart w:id="1024" w:name="bookmark1024"/>
      <w:bookmarkEnd w:id="1024"/>
      <w:r>
        <w:rPr>
          <w:color w:val="000000"/>
          <w:spacing w:val="0"/>
          <w:w w:val="100"/>
          <w:position w:val="0"/>
        </w:rPr>
        <w:t>后续计量</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在租赁期开始日后，本公司按以下原则对租赁负债进行后续计量：</w:t>
      </w:r>
    </w:p>
    <w:p>
      <w:pPr>
        <w:pStyle w:val="Style10"/>
        <w:keepNext w:val="0"/>
        <w:keepLines w:val="0"/>
        <w:widowControl w:val="0"/>
        <w:numPr>
          <w:ilvl w:val="0"/>
          <w:numId w:val="99"/>
        </w:numPr>
        <w:shd w:val="clear" w:color="auto" w:fill="auto"/>
        <w:tabs>
          <w:tab w:pos="832" w:val="left"/>
        </w:tabs>
        <w:bidi w:val="0"/>
        <w:spacing w:before="0" w:after="0" w:line="470" w:lineRule="exact"/>
        <w:ind w:left="0" w:right="0" w:firstLine="440"/>
        <w:jc w:val="both"/>
      </w:pPr>
      <w:bookmarkStart w:id="1025" w:name="bookmark1025"/>
      <w:bookmarkEnd w:id="1025"/>
      <w:r>
        <w:rPr>
          <w:color w:val="000000"/>
          <w:spacing w:val="0"/>
          <w:w w:val="100"/>
          <w:position w:val="0"/>
        </w:rPr>
        <w:t>确认租赁负债的利息时，增加租赁负债的账面金额；</w:t>
      </w:r>
    </w:p>
    <w:p>
      <w:pPr>
        <w:pStyle w:val="Style10"/>
        <w:keepNext w:val="0"/>
        <w:keepLines w:val="0"/>
        <w:widowControl w:val="0"/>
        <w:numPr>
          <w:ilvl w:val="0"/>
          <w:numId w:val="99"/>
        </w:numPr>
        <w:shd w:val="clear" w:color="auto" w:fill="auto"/>
        <w:tabs>
          <w:tab w:pos="837" w:val="left"/>
        </w:tabs>
        <w:bidi w:val="0"/>
        <w:spacing w:before="0" w:after="0" w:line="470" w:lineRule="exact"/>
        <w:ind w:left="0" w:right="0" w:firstLine="440"/>
        <w:jc w:val="both"/>
      </w:pPr>
      <w:bookmarkStart w:id="1026" w:name="bookmark1026"/>
      <w:bookmarkEnd w:id="1026"/>
      <w:r>
        <w:rPr>
          <w:color w:val="000000"/>
          <w:spacing w:val="0"/>
          <w:w w:val="100"/>
          <w:position w:val="0"/>
        </w:rPr>
        <w:t>支付租赁付款额时，减少租赁负债的账面金额；</w:t>
      </w:r>
    </w:p>
    <w:p>
      <w:pPr>
        <w:pStyle w:val="Style10"/>
        <w:keepNext w:val="0"/>
        <w:keepLines w:val="0"/>
        <w:widowControl w:val="0"/>
        <w:numPr>
          <w:ilvl w:val="0"/>
          <w:numId w:val="99"/>
        </w:numPr>
        <w:shd w:val="clear" w:color="auto" w:fill="auto"/>
        <w:tabs>
          <w:tab w:pos="837" w:val="left"/>
        </w:tabs>
        <w:bidi w:val="0"/>
        <w:spacing w:before="0" w:after="0" w:line="470" w:lineRule="exact"/>
        <w:ind w:left="0" w:right="0" w:firstLine="440"/>
        <w:jc w:val="both"/>
      </w:pPr>
      <w:bookmarkStart w:id="1027" w:name="bookmark1027"/>
      <w:bookmarkEnd w:id="1027"/>
      <w:r>
        <w:rPr>
          <w:color w:val="000000"/>
          <w:spacing w:val="0"/>
          <w:w w:val="100"/>
          <w:position w:val="0"/>
        </w:rPr>
        <w:t>因重估或租赁变更等原因导致租赁付款额发生变动时，重新计量租赁负债的账面价值。</w:t>
      </w:r>
    </w:p>
    <w:p>
      <w:pPr>
        <w:pStyle w:val="Style10"/>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按照固定的周期性利率计算租赁负债在租赁期内各期间的利息费用，并计入当期损益，但应当资本化 的除外。周期性利率是指本公司对租赁负债进行初始计量时所采用的折现率，或者因租赁付款额发生变动 或因租赁变更而需按照修订后的折现率对租赁负债进行重新计量时，本公司所采用的修订后的折现率。</w:t>
      </w:r>
    </w:p>
    <w:p>
      <w:pPr>
        <w:pStyle w:val="Style29"/>
        <w:keepNext/>
        <w:keepLines/>
        <w:widowControl w:val="0"/>
        <w:shd w:val="clear" w:color="auto" w:fill="auto"/>
        <w:tabs>
          <w:tab w:pos="469" w:val="left"/>
        </w:tabs>
        <w:bidi w:val="0"/>
        <w:spacing w:before="0" w:after="0" w:line="492" w:lineRule="auto"/>
        <w:ind w:left="0" w:right="0" w:firstLine="0"/>
        <w:jc w:val="both"/>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3</w:t>
      </w:r>
      <w:bookmarkEnd w:id="103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28"/>
      <w:bookmarkEnd w:id="1029"/>
      <w:bookmarkEnd w:id="1031"/>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与或有事项相关的义务同时满足下列条件的，确认为预计负债：</w:t>
      </w:r>
    </w:p>
    <w:p>
      <w:pPr>
        <w:pStyle w:val="Style10"/>
        <w:keepNext w:val="0"/>
        <w:keepLines w:val="0"/>
        <w:widowControl w:val="0"/>
        <w:numPr>
          <w:ilvl w:val="0"/>
          <w:numId w:val="101"/>
        </w:numPr>
        <w:shd w:val="clear" w:color="auto" w:fill="auto"/>
        <w:tabs>
          <w:tab w:pos="870" w:val="left"/>
        </w:tabs>
        <w:bidi w:val="0"/>
        <w:spacing w:before="0" w:after="0" w:line="470" w:lineRule="exact"/>
        <w:ind w:left="0" w:right="0" w:firstLine="440"/>
        <w:jc w:val="both"/>
      </w:pPr>
      <w:bookmarkStart w:id="1032" w:name="bookmark1032"/>
      <w:bookmarkEnd w:id="1032"/>
      <w:r>
        <w:rPr>
          <w:color w:val="000000"/>
          <w:spacing w:val="0"/>
          <w:w w:val="100"/>
          <w:position w:val="0"/>
        </w:rPr>
        <w:t>该义务是企业承担的现时义务；</w:t>
      </w:r>
    </w:p>
    <w:p>
      <w:pPr>
        <w:pStyle w:val="Style10"/>
        <w:keepNext w:val="0"/>
        <w:keepLines w:val="0"/>
        <w:widowControl w:val="0"/>
        <w:numPr>
          <w:ilvl w:val="0"/>
          <w:numId w:val="101"/>
        </w:numPr>
        <w:shd w:val="clear" w:color="auto" w:fill="auto"/>
        <w:tabs>
          <w:tab w:pos="870" w:val="left"/>
        </w:tabs>
        <w:bidi w:val="0"/>
        <w:spacing w:before="0" w:after="0" w:line="470" w:lineRule="exact"/>
        <w:ind w:left="0" w:right="0" w:firstLine="440"/>
        <w:jc w:val="both"/>
      </w:pPr>
      <w:bookmarkStart w:id="1033" w:name="bookmark1033"/>
      <w:bookmarkEnd w:id="1033"/>
      <w:r>
        <w:rPr>
          <w:color w:val="000000"/>
          <w:spacing w:val="0"/>
          <w:w w:val="100"/>
          <w:position w:val="0"/>
        </w:rPr>
        <w:t>履行该义务很可能导致经济利益流出企业；</w:t>
      </w:r>
    </w:p>
    <w:p>
      <w:pPr>
        <w:pStyle w:val="Style10"/>
        <w:keepNext w:val="0"/>
        <w:keepLines w:val="0"/>
        <w:widowControl w:val="0"/>
        <w:numPr>
          <w:ilvl w:val="0"/>
          <w:numId w:val="101"/>
        </w:numPr>
        <w:shd w:val="clear" w:color="auto" w:fill="auto"/>
        <w:tabs>
          <w:tab w:pos="870" w:val="left"/>
        </w:tabs>
        <w:bidi w:val="0"/>
        <w:spacing w:before="0" w:after="0" w:line="470" w:lineRule="exact"/>
        <w:ind w:left="0" w:right="0" w:firstLine="440"/>
        <w:jc w:val="both"/>
      </w:pPr>
      <w:bookmarkStart w:id="1034" w:name="bookmark1034"/>
      <w:bookmarkEnd w:id="1034"/>
      <w:r>
        <w:rPr>
          <w:color w:val="000000"/>
          <w:spacing w:val="0"/>
          <w:w w:val="100"/>
          <w:position w:val="0"/>
        </w:rPr>
        <w:t>该义务的金额能够可靠地计量。</w:t>
      </w:r>
    </w:p>
    <w:p>
      <w:pPr>
        <w:pStyle w:val="Style10"/>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预计负债应当按照履行相关现时义务所需支出的最佳估计数进行初始计量。</w:t>
      </w:r>
    </w:p>
    <w:p>
      <w:pPr>
        <w:pStyle w:val="Style29"/>
        <w:keepNext/>
        <w:keepLines/>
        <w:widowControl w:val="0"/>
        <w:shd w:val="clear" w:color="auto" w:fill="auto"/>
        <w:tabs>
          <w:tab w:pos="469" w:val="left"/>
        </w:tabs>
        <w:bidi w:val="0"/>
        <w:spacing w:before="0" w:after="0" w:line="492" w:lineRule="auto"/>
        <w:ind w:left="0" w:right="0" w:firstLine="0"/>
        <w:jc w:val="both"/>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3</w:t>
      </w:r>
      <w:bookmarkEnd w:id="1037"/>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35"/>
      <w:bookmarkEnd w:id="1036"/>
      <w:bookmarkEnd w:id="1038"/>
    </w:p>
    <w:p>
      <w:pPr>
        <w:pStyle w:val="Style10"/>
        <w:keepNext w:val="0"/>
        <w:keepLines w:val="0"/>
        <w:widowControl w:val="0"/>
        <w:numPr>
          <w:ilvl w:val="0"/>
          <w:numId w:val="103"/>
        </w:numPr>
        <w:shd w:val="clear" w:color="auto" w:fill="auto"/>
        <w:tabs>
          <w:tab w:pos="928" w:val="left"/>
        </w:tabs>
        <w:bidi w:val="0"/>
        <w:spacing w:before="0" w:after="0" w:line="470" w:lineRule="exact"/>
        <w:ind w:left="0" w:right="0" w:firstLine="440"/>
        <w:jc w:val="both"/>
      </w:pPr>
      <w:bookmarkStart w:id="1039" w:name="bookmark1039"/>
      <w:bookmarkEnd w:id="1039"/>
      <w:r>
        <w:rPr>
          <w:color w:val="000000"/>
          <w:spacing w:val="0"/>
          <w:w w:val="100"/>
          <w:position w:val="0"/>
        </w:rPr>
        <w:t>股份支付的种类</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本公司的股份支付分为以权益结算的股份支付和以现金结算的股份支付。</w:t>
      </w:r>
    </w:p>
    <w:p>
      <w:pPr>
        <w:pStyle w:val="Style10"/>
        <w:keepNext w:val="0"/>
        <w:keepLines w:val="0"/>
        <w:widowControl w:val="0"/>
        <w:numPr>
          <w:ilvl w:val="0"/>
          <w:numId w:val="103"/>
        </w:numPr>
        <w:shd w:val="clear" w:color="auto" w:fill="auto"/>
        <w:tabs>
          <w:tab w:pos="928" w:val="left"/>
        </w:tabs>
        <w:bidi w:val="0"/>
        <w:spacing w:before="0" w:after="0" w:line="470" w:lineRule="exact"/>
        <w:ind w:left="0" w:right="0" w:firstLine="440"/>
        <w:jc w:val="both"/>
      </w:pPr>
      <w:bookmarkStart w:id="1040" w:name="bookmark1040"/>
      <w:bookmarkEnd w:id="1040"/>
      <w:r>
        <w:rPr>
          <w:color w:val="000000"/>
          <w:spacing w:val="0"/>
          <w:w w:val="100"/>
          <w:position w:val="0"/>
        </w:rPr>
        <w:t>权益工具公允价值的确定方法</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素：①期权的行权价格；②期权的有效期；③标的股份的现行价格；④股价预计波动率；⑤股份的预计股 利；⑥期权有效期内的无风险利率。</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10"/>
        <w:keepNext w:val="0"/>
        <w:keepLines w:val="0"/>
        <w:widowControl w:val="0"/>
        <w:shd w:val="clear" w:color="auto" w:fill="auto"/>
        <w:tabs>
          <w:tab w:pos="928" w:val="left"/>
        </w:tabs>
        <w:bidi w:val="0"/>
        <w:spacing w:before="0" w:line="468" w:lineRule="exact"/>
        <w:ind w:left="0" w:right="0" w:firstLine="440"/>
        <w:jc w:val="both"/>
      </w:pPr>
      <w:bookmarkStart w:id="1041" w:name="bookmark1041"/>
      <w:r>
        <w:rPr>
          <w:color w:val="000000"/>
          <w:spacing w:val="0"/>
          <w:w w:val="100"/>
          <w:position w:val="0"/>
        </w:rPr>
        <w:t>（</w:t>
      </w:r>
      <w:bookmarkEnd w:id="1041"/>
      <w:r>
        <w:rPr>
          <w:color w:val="000000"/>
          <w:spacing w:val="0"/>
          <w:w w:val="100"/>
          <w:position w:val="0"/>
        </w:rPr>
        <w:t>3）</w:t>
        <w:tab/>
      </w:r>
      <w:r>
        <w:rPr>
          <w:color w:val="000000"/>
          <w:spacing w:val="0"/>
          <w:w w:val="100"/>
          <w:position w:val="0"/>
        </w:rPr>
        <w:t>确定可行权权益工具最佳估计的依据</w:t>
      </w:r>
    </w:p>
    <w:p>
      <w:pPr>
        <w:pStyle w:val="Style10"/>
        <w:keepNext w:val="0"/>
        <w:keepLines w:val="0"/>
        <w:widowControl w:val="0"/>
        <w:shd w:val="clear" w:color="auto" w:fill="auto"/>
        <w:bidi w:val="0"/>
        <w:spacing w:before="0" w:line="466" w:lineRule="exact"/>
        <w:ind w:left="0" w:right="0" w:firstLine="44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10"/>
        <w:keepNext w:val="0"/>
        <w:keepLines w:val="0"/>
        <w:widowControl w:val="0"/>
        <w:shd w:val="clear" w:color="auto" w:fill="auto"/>
        <w:tabs>
          <w:tab w:pos="928" w:val="left"/>
        </w:tabs>
        <w:bidi w:val="0"/>
        <w:spacing w:before="0" w:line="468" w:lineRule="exact"/>
        <w:ind w:left="0" w:right="0" w:firstLine="440"/>
        <w:jc w:val="both"/>
      </w:pPr>
      <w:bookmarkStart w:id="1042" w:name="bookmark1042"/>
      <w:r>
        <w:rPr>
          <w:color w:val="000000"/>
          <w:spacing w:val="0"/>
          <w:w w:val="100"/>
          <w:position w:val="0"/>
        </w:rPr>
        <w:t>（</w:t>
      </w:r>
      <w:bookmarkEnd w:id="1042"/>
      <w:r>
        <w:rPr>
          <w:color w:val="000000"/>
          <w:spacing w:val="0"/>
          <w:w w:val="100"/>
          <w:position w:val="0"/>
        </w:rPr>
        <w:t>4）</w:t>
        <w:tab/>
      </w:r>
      <w:r>
        <w:rPr>
          <w:color w:val="000000"/>
          <w:spacing w:val="0"/>
          <w:w w:val="100"/>
          <w:position w:val="0"/>
        </w:rPr>
        <w:t>会计处理方法</w:t>
      </w:r>
    </w:p>
    <w:p>
      <w:pPr>
        <w:pStyle w:val="Style10"/>
        <w:keepNext w:val="0"/>
        <w:keepLines w:val="0"/>
        <w:widowControl w:val="0"/>
        <w:shd w:val="clear" w:color="auto" w:fill="auto"/>
        <w:bidi w:val="0"/>
        <w:spacing w:before="0" w:line="468"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10"/>
        <w:keepNext w:val="0"/>
        <w:keepLines w:val="0"/>
        <w:widowControl w:val="0"/>
        <w:shd w:val="clear" w:color="auto" w:fill="auto"/>
        <w:bidi w:val="0"/>
        <w:spacing w:before="0" w:line="467"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1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29"/>
        <w:keepNext/>
        <w:keepLines/>
        <w:widowControl w:val="0"/>
        <w:shd w:val="clear" w:color="auto" w:fill="auto"/>
        <w:tabs>
          <w:tab w:pos="469" w:val="left"/>
        </w:tabs>
        <w:bidi w:val="0"/>
        <w:spacing w:before="0" w:after="220" w:line="468" w:lineRule="exact"/>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3</w:t>
      </w:r>
      <w:bookmarkEnd w:id="1045"/>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43"/>
      <w:bookmarkEnd w:id="1044"/>
      <w:bookmarkEnd w:id="1046"/>
    </w:p>
    <w:p>
      <w:pPr>
        <w:pStyle w:val="Style1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不适用</w:t>
      </w:r>
    </w:p>
    <w:p>
      <w:pPr>
        <w:pStyle w:val="Style29"/>
        <w:keepNext/>
        <w:keepLines/>
        <w:widowControl w:val="0"/>
        <w:shd w:val="clear" w:color="auto" w:fill="auto"/>
        <w:tabs>
          <w:tab w:pos="469" w:val="left"/>
        </w:tabs>
        <w:bidi w:val="0"/>
        <w:spacing w:before="0" w:after="220" w:line="468" w:lineRule="exact"/>
        <w:ind w:left="0" w:right="0" w:firstLine="0"/>
        <w:jc w:val="both"/>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3</w:t>
      </w:r>
      <w:bookmarkEnd w:id="1049"/>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47"/>
      <w:bookmarkEnd w:id="1048"/>
      <w:bookmarkEnd w:id="1050"/>
    </w:p>
    <w:p>
      <w:pPr>
        <w:pStyle w:val="Style10"/>
        <w:keepNext w:val="0"/>
        <w:keepLines w:val="0"/>
        <w:widowControl w:val="0"/>
        <w:shd w:val="clear" w:color="auto" w:fill="auto"/>
        <w:bidi w:val="0"/>
        <w:spacing w:before="0" w:line="468" w:lineRule="exact"/>
        <w:ind w:left="0" w:right="0" w:firstLine="440"/>
        <w:jc w:val="both"/>
      </w:pPr>
      <w:r>
        <w:rPr>
          <w:color w:val="000000"/>
          <w:spacing w:val="0"/>
          <w:w w:val="100"/>
          <w:position w:val="0"/>
        </w:rPr>
        <w:t>收入确认和计量所采用的会计政策</w:t>
      </w:r>
    </w:p>
    <w:p>
      <w:pPr>
        <w:pStyle w:val="Style10"/>
        <w:keepNext w:val="0"/>
        <w:keepLines w:val="0"/>
        <w:widowControl w:val="0"/>
        <w:shd w:val="clear" w:color="auto" w:fill="auto"/>
        <w:bidi w:val="0"/>
        <w:spacing w:before="0" w:line="468" w:lineRule="exact"/>
        <w:ind w:left="0" w:right="0" w:firstLine="440"/>
        <w:jc w:val="both"/>
      </w:pPr>
      <w:bookmarkStart w:id="1051" w:name="bookmark1051"/>
      <w:r>
        <w:rPr>
          <w:color w:val="000000"/>
          <w:spacing w:val="0"/>
          <w:w w:val="100"/>
          <w:position w:val="0"/>
        </w:rPr>
        <w:t>（</w:t>
      </w:r>
      <w:bookmarkEnd w:id="1051"/>
      <w:r>
        <w:rPr>
          <w:color w:val="000000"/>
          <w:spacing w:val="0"/>
          <w:w w:val="100"/>
          <w:position w:val="0"/>
        </w:rPr>
        <w:t>1）</w:t>
      </w:r>
      <w:r>
        <w:rPr>
          <w:color w:val="000000"/>
          <w:spacing w:val="0"/>
          <w:w w:val="100"/>
          <w:position w:val="0"/>
        </w:rPr>
        <w:t>收入确认原则</w:t>
      </w:r>
    </w:p>
    <w:p>
      <w:pPr>
        <w:pStyle w:val="Style10"/>
        <w:keepNext w:val="0"/>
        <w:keepLines w:val="0"/>
        <w:widowControl w:val="0"/>
        <w:shd w:val="clear" w:color="auto" w:fill="auto"/>
        <w:bidi w:val="0"/>
        <w:spacing w:before="0" w:line="468" w:lineRule="exact"/>
        <w:ind w:left="0" w:right="0" w:firstLine="440"/>
        <w:jc w:val="both"/>
      </w:pPr>
      <w:r>
        <w:rPr>
          <w:color w:val="000000"/>
          <w:spacing w:val="0"/>
          <w:w w:val="100"/>
          <w:position w:val="0"/>
        </w:rPr>
        <w:t>与客户之间的合同同时满足下列条件时，在客户取得相关商品控制权时确认收入：</w:t>
      </w:r>
    </w:p>
    <w:p>
      <w:pPr>
        <w:pStyle w:val="Style10"/>
        <w:keepNext w:val="0"/>
        <w:keepLines w:val="0"/>
        <w:widowControl w:val="0"/>
        <w:numPr>
          <w:ilvl w:val="0"/>
          <w:numId w:val="105"/>
        </w:numPr>
        <w:shd w:val="clear" w:color="auto" w:fill="auto"/>
        <w:tabs>
          <w:tab w:pos="832" w:val="left"/>
        </w:tabs>
        <w:bidi w:val="0"/>
        <w:spacing w:before="0" w:line="468" w:lineRule="exact"/>
        <w:ind w:left="0" w:right="0" w:firstLine="440"/>
        <w:jc w:val="both"/>
      </w:pPr>
      <w:bookmarkStart w:id="1052" w:name="bookmark1052"/>
      <w:bookmarkEnd w:id="1052"/>
      <w:r>
        <w:rPr>
          <w:color w:val="000000"/>
          <w:spacing w:val="0"/>
          <w:w w:val="100"/>
          <w:position w:val="0"/>
        </w:rPr>
        <w:t>合同各方已批准该合同并承诺将履行各自义务；</w:t>
      </w:r>
    </w:p>
    <w:p>
      <w:pPr>
        <w:pStyle w:val="Style10"/>
        <w:keepNext w:val="0"/>
        <w:keepLines w:val="0"/>
        <w:widowControl w:val="0"/>
        <w:numPr>
          <w:ilvl w:val="0"/>
          <w:numId w:val="105"/>
        </w:numPr>
        <w:shd w:val="clear" w:color="auto" w:fill="auto"/>
        <w:tabs>
          <w:tab w:pos="837" w:val="left"/>
        </w:tabs>
        <w:bidi w:val="0"/>
        <w:spacing w:before="0" w:line="468" w:lineRule="exact"/>
        <w:ind w:left="0" w:right="0" w:firstLine="440"/>
        <w:jc w:val="both"/>
      </w:pPr>
      <w:bookmarkStart w:id="1053" w:name="bookmark1053"/>
      <w:bookmarkEnd w:id="1053"/>
      <w:r>
        <w:rPr>
          <w:color w:val="000000"/>
          <w:spacing w:val="0"/>
          <w:w w:val="100"/>
          <w:position w:val="0"/>
        </w:rPr>
        <w:t>合同明确了合同各方与所转让商品或提供劳务相关的权利和义务；</w:t>
      </w:r>
    </w:p>
    <w:p>
      <w:pPr>
        <w:pStyle w:val="Style10"/>
        <w:keepNext w:val="0"/>
        <w:keepLines w:val="0"/>
        <w:widowControl w:val="0"/>
        <w:numPr>
          <w:ilvl w:val="0"/>
          <w:numId w:val="105"/>
        </w:numPr>
        <w:shd w:val="clear" w:color="auto" w:fill="auto"/>
        <w:tabs>
          <w:tab w:pos="837" w:val="left"/>
        </w:tabs>
        <w:bidi w:val="0"/>
        <w:spacing w:before="0" w:line="468" w:lineRule="exact"/>
        <w:ind w:left="0" w:right="0" w:firstLine="440"/>
        <w:jc w:val="both"/>
      </w:pPr>
      <w:bookmarkStart w:id="1054" w:name="bookmark1054"/>
      <w:bookmarkEnd w:id="1054"/>
      <w:r>
        <w:rPr>
          <w:color w:val="000000"/>
          <w:spacing w:val="0"/>
          <w:w w:val="100"/>
          <w:position w:val="0"/>
        </w:rPr>
        <w:t>合同有明确的与所转让商品相关的支付条款；</w:t>
      </w:r>
    </w:p>
    <w:p>
      <w:pPr>
        <w:pStyle w:val="Style10"/>
        <w:keepNext w:val="0"/>
        <w:keepLines w:val="0"/>
        <w:widowControl w:val="0"/>
        <w:numPr>
          <w:ilvl w:val="0"/>
          <w:numId w:val="105"/>
        </w:numPr>
        <w:shd w:val="clear" w:color="auto" w:fill="auto"/>
        <w:tabs>
          <w:tab w:pos="837" w:val="left"/>
        </w:tabs>
        <w:bidi w:val="0"/>
        <w:spacing w:before="0" w:after="0" w:line="469" w:lineRule="exact"/>
        <w:ind w:left="0" w:right="0" w:firstLine="440"/>
        <w:jc w:val="both"/>
      </w:pPr>
      <w:bookmarkStart w:id="1055" w:name="bookmark1055"/>
      <w:bookmarkEnd w:id="1055"/>
      <w:r>
        <w:rPr>
          <w:color w:val="000000"/>
          <w:spacing w:val="0"/>
          <w:w w:val="100"/>
          <w:position w:val="0"/>
        </w:rPr>
        <w:t>合同具有商业实质，即履行该合同将改变本集团未来现金流量的风险、时间分布或金额；</w:t>
      </w:r>
    </w:p>
    <w:p>
      <w:pPr>
        <w:pStyle w:val="Style10"/>
        <w:keepNext w:val="0"/>
        <w:keepLines w:val="0"/>
        <w:widowControl w:val="0"/>
        <w:numPr>
          <w:ilvl w:val="0"/>
          <w:numId w:val="105"/>
        </w:numPr>
        <w:shd w:val="clear" w:color="auto" w:fill="auto"/>
        <w:tabs>
          <w:tab w:pos="837" w:val="left"/>
        </w:tabs>
        <w:bidi w:val="0"/>
        <w:spacing w:before="0" w:after="0" w:line="469" w:lineRule="exact"/>
        <w:ind w:left="0" w:right="0" w:firstLine="440"/>
        <w:jc w:val="both"/>
      </w:pPr>
      <w:bookmarkStart w:id="1056" w:name="bookmark1056"/>
      <w:bookmarkEnd w:id="1056"/>
      <w:r>
        <w:rPr>
          <w:color w:val="000000"/>
          <w:spacing w:val="0"/>
          <w:w w:val="100"/>
          <w:position w:val="0"/>
        </w:rPr>
        <w:t>因向客户转让商品而有权取得的对价很可能收回。</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在合同开始日对合同进行评估，识别该合同所包含的各单项履约义务，并将交易价格按照各单项履约 义务所承诺商品的单独售价的相对比例分摊至各单项履约义务。在确定交易价格时考虑了可变对价、合同 中存在的重大融资成分、非现金对价、应付客户对价等因素的影响。然后确定各单项履约义务是在某一时 段内履行，还是在某一时点履行，并且在履行了各单项履约义务时分别确认收入。</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满足下列条件之一的，属于在某一时段内履行履约义务；否则，属于在某一时点履行履约义务：</w:t>
      </w:r>
    </w:p>
    <w:p>
      <w:pPr>
        <w:pStyle w:val="Style10"/>
        <w:keepNext w:val="0"/>
        <w:keepLines w:val="0"/>
        <w:widowControl w:val="0"/>
        <w:numPr>
          <w:ilvl w:val="0"/>
          <w:numId w:val="107"/>
        </w:numPr>
        <w:shd w:val="clear" w:color="auto" w:fill="auto"/>
        <w:tabs>
          <w:tab w:pos="832" w:val="left"/>
        </w:tabs>
        <w:bidi w:val="0"/>
        <w:spacing w:before="0" w:after="0" w:line="469" w:lineRule="exact"/>
        <w:ind w:left="0" w:right="0" w:firstLine="440"/>
        <w:jc w:val="both"/>
      </w:pPr>
      <w:bookmarkStart w:id="1057" w:name="bookmark1057"/>
      <w:bookmarkEnd w:id="1057"/>
      <w:r>
        <w:rPr>
          <w:color w:val="000000"/>
          <w:spacing w:val="0"/>
          <w:w w:val="100"/>
          <w:position w:val="0"/>
        </w:rPr>
        <w:t>客户在企业履约的同时即取得并消耗企业履约所带来的经济利益；</w:t>
      </w:r>
    </w:p>
    <w:p>
      <w:pPr>
        <w:pStyle w:val="Style10"/>
        <w:keepNext w:val="0"/>
        <w:keepLines w:val="0"/>
        <w:widowControl w:val="0"/>
        <w:numPr>
          <w:ilvl w:val="0"/>
          <w:numId w:val="107"/>
        </w:numPr>
        <w:shd w:val="clear" w:color="auto" w:fill="auto"/>
        <w:tabs>
          <w:tab w:pos="837" w:val="left"/>
        </w:tabs>
        <w:bidi w:val="0"/>
        <w:spacing w:before="0" w:after="0" w:line="469" w:lineRule="exact"/>
        <w:ind w:left="0" w:right="0" w:firstLine="440"/>
        <w:jc w:val="both"/>
      </w:pPr>
      <w:bookmarkStart w:id="1058" w:name="bookmark1058"/>
      <w:bookmarkEnd w:id="1058"/>
      <w:r>
        <w:rPr>
          <w:color w:val="000000"/>
          <w:spacing w:val="0"/>
          <w:w w:val="100"/>
          <w:position w:val="0"/>
        </w:rPr>
        <w:t>客户能够控制企业履约过程中在建的商品；</w:t>
      </w:r>
    </w:p>
    <w:p>
      <w:pPr>
        <w:pStyle w:val="Style10"/>
        <w:keepNext w:val="0"/>
        <w:keepLines w:val="0"/>
        <w:widowControl w:val="0"/>
        <w:numPr>
          <w:ilvl w:val="0"/>
          <w:numId w:val="107"/>
        </w:numPr>
        <w:shd w:val="clear" w:color="auto" w:fill="auto"/>
        <w:tabs>
          <w:tab w:pos="814" w:val="left"/>
        </w:tabs>
        <w:bidi w:val="0"/>
        <w:spacing w:before="0" w:after="0" w:line="475" w:lineRule="exact"/>
        <w:ind w:left="0" w:right="0" w:firstLine="440"/>
        <w:jc w:val="both"/>
      </w:pPr>
      <w:bookmarkStart w:id="1059" w:name="bookmark1059"/>
      <w:bookmarkEnd w:id="1059"/>
      <w:r>
        <w:rPr>
          <w:color w:val="000000"/>
          <w:spacing w:val="0"/>
          <w:w w:val="100"/>
          <w:position w:val="0"/>
        </w:rPr>
        <w:t>企业履约过程中所产出的商品具有不可替代用途，且该企业在整个合同期间有权就累计至今已完 成的履约部分收取款项。</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对于在某一时段内履行的履约义务，在该时段内按照履约进度确认收入。履约进度根据所转让商品的 性质采用投入法或产出法确定，当履约进度不能合理确定时，已经发生的成本预计能够得到补偿的，按照 已经发生的成本金额确认收入，直到履约进度能够合理确定为止。</w:t>
      </w:r>
    </w:p>
    <w:p>
      <w:pPr>
        <w:pStyle w:val="Style10"/>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如果不满足上述条件之一，则在客户取得相关商品控制权的时点将分摊至该单项履约义务的交易价格 确认收入。在判断客户是否已取得商品控制权时，应考虑下列迹象：</w:t>
      </w:r>
    </w:p>
    <w:p>
      <w:pPr>
        <w:pStyle w:val="Style10"/>
        <w:keepNext w:val="0"/>
        <w:keepLines w:val="0"/>
        <w:widowControl w:val="0"/>
        <w:numPr>
          <w:ilvl w:val="0"/>
          <w:numId w:val="109"/>
        </w:numPr>
        <w:shd w:val="clear" w:color="auto" w:fill="auto"/>
        <w:tabs>
          <w:tab w:pos="832" w:val="left"/>
        </w:tabs>
        <w:bidi w:val="0"/>
        <w:spacing w:before="0" w:after="0" w:line="469" w:lineRule="exact"/>
        <w:ind w:left="0" w:right="0" w:firstLine="440"/>
        <w:jc w:val="both"/>
      </w:pPr>
      <w:bookmarkStart w:id="1060" w:name="bookmark1060"/>
      <w:bookmarkEnd w:id="1060"/>
      <w:r>
        <w:rPr>
          <w:color w:val="000000"/>
          <w:spacing w:val="0"/>
          <w:w w:val="100"/>
          <w:position w:val="0"/>
        </w:rPr>
        <w:t>企业就该商品享有现时收款权利，即客户就该商品负有现时付款义务；</w:t>
      </w:r>
    </w:p>
    <w:p>
      <w:pPr>
        <w:pStyle w:val="Style10"/>
        <w:keepNext w:val="0"/>
        <w:keepLines w:val="0"/>
        <w:widowControl w:val="0"/>
        <w:numPr>
          <w:ilvl w:val="0"/>
          <w:numId w:val="109"/>
        </w:numPr>
        <w:shd w:val="clear" w:color="auto" w:fill="auto"/>
        <w:tabs>
          <w:tab w:pos="837" w:val="left"/>
        </w:tabs>
        <w:bidi w:val="0"/>
        <w:spacing w:before="0" w:after="0" w:line="469" w:lineRule="exact"/>
        <w:ind w:left="0" w:right="0" w:firstLine="440"/>
        <w:jc w:val="both"/>
      </w:pPr>
      <w:bookmarkStart w:id="1061" w:name="bookmark1061"/>
      <w:bookmarkEnd w:id="1061"/>
      <w:r>
        <w:rPr>
          <w:color w:val="000000"/>
          <w:spacing w:val="0"/>
          <w:w w:val="100"/>
          <w:position w:val="0"/>
        </w:rPr>
        <w:t>企业已将该商品的法定所有权转移给客户，即客户已拥有该商品的法定所有权；</w:t>
      </w:r>
    </w:p>
    <w:p>
      <w:pPr>
        <w:pStyle w:val="Style10"/>
        <w:keepNext w:val="0"/>
        <w:keepLines w:val="0"/>
        <w:widowControl w:val="0"/>
        <w:numPr>
          <w:ilvl w:val="0"/>
          <w:numId w:val="109"/>
        </w:numPr>
        <w:shd w:val="clear" w:color="auto" w:fill="auto"/>
        <w:tabs>
          <w:tab w:pos="837" w:val="left"/>
        </w:tabs>
        <w:bidi w:val="0"/>
        <w:spacing w:before="0" w:after="0" w:line="469" w:lineRule="exact"/>
        <w:ind w:left="0" w:right="0" w:firstLine="440"/>
        <w:jc w:val="both"/>
      </w:pPr>
      <w:bookmarkStart w:id="1062" w:name="bookmark1062"/>
      <w:bookmarkEnd w:id="1062"/>
      <w:r>
        <w:rPr>
          <w:color w:val="000000"/>
          <w:spacing w:val="0"/>
          <w:w w:val="100"/>
          <w:position w:val="0"/>
        </w:rPr>
        <w:t>企业已将该商品实物转移到客户，即客户已实物占有该商品；</w:t>
      </w:r>
    </w:p>
    <w:p>
      <w:pPr>
        <w:pStyle w:val="Style10"/>
        <w:keepNext w:val="0"/>
        <w:keepLines w:val="0"/>
        <w:widowControl w:val="0"/>
        <w:numPr>
          <w:ilvl w:val="0"/>
          <w:numId w:val="109"/>
        </w:numPr>
        <w:shd w:val="clear" w:color="auto" w:fill="auto"/>
        <w:tabs>
          <w:tab w:pos="805" w:val="left"/>
        </w:tabs>
        <w:bidi w:val="0"/>
        <w:spacing w:before="0" w:after="0" w:line="475" w:lineRule="exact"/>
        <w:ind w:left="0" w:right="0" w:firstLine="440"/>
        <w:jc w:val="both"/>
      </w:pPr>
      <w:bookmarkStart w:id="1063" w:name="bookmark1063"/>
      <w:bookmarkEnd w:id="1063"/>
      <w:r>
        <w:rPr>
          <w:color w:val="000000"/>
          <w:spacing w:val="0"/>
          <w:w w:val="100"/>
          <w:position w:val="0"/>
        </w:rPr>
        <w:t>企业已将该商品所有权上的主要风险和报酬转移给客户，即客户已取得该商品所有权上的主要风 险和报酬；</w:t>
      </w:r>
    </w:p>
    <w:p>
      <w:pPr>
        <w:pStyle w:val="Style10"/>
        <w:keepNext w:val="0"/>
        <w:keepLines w:val="0"/>
        <w:widowControl w:val="0"/>
        <w:numPr>
          <w:ilvl w:val="0"/>
          <w:numId w:val="109"/>
        </w:numPr>
        <w:shd w:val="clear" w:color="auto" w:fill="auto"/>
        <w:tabs>
          <w:tab w:pos="837" w:val="left"/>
        </w:tabs>
        <w:bidi w:val="0"/>
        <w:spacing w:before="0" w:after="0" w:line="469" w:lineRule="exact"/>
        <w:ind w:left="0" w:right="0" w:firstLine="440"/>
        <w:jc w:val="both"/>
      </w:pPr>
      <w:bookmarkStart w:id="1064" w:name="bookmark1064"/>
      <w:bookmarkEnd w:id="1064"/>
      <w:r>
        <w:rPr>
          <w:color w:val="000000"/>
          <w:spacing w:val="0"/>
          <w:w w:val="100"/>
          <w:position w:val="0"/>
        </w:rPr>
        <w:t>客户已接受该商品；</w:t>
      </w:r>
    </w:p>
    <w:p>
      <w:pPr>
        <w:pStyle w:val="Style10"/>
        <w:keepNext w:val="0"/>
        <w:keepLines w:val="0"/>
        <w:widowControl w:val="0"/>
        <w:numPr>
          <w:ilvl w:val="0"/>
          <w:numId w:val="109"/>
        </w:numPr>
        <w:shd w:val="clear" w:color="auto" w:fill="auto"/>
        <w:tabs>
          <w:tab w:pos="837" w:val="left"/>
        </w:tabs>
        <w:bidi w:val="0"/>
        <w:spacing w:before="0" w:after="0" w:line="469" w:lineRule="exact"/>
        <w:ind w:left="0" w:right="0" w:firstLine="440"/>
        <w:jc w:val="both"/>
      </w:pPr>
      <w:bookmarkStart w:id="1065" w:name="bookmark1065"/>
      <w:bookmarkEnd w:id="1065"/>
      <w:r>
        <w:rPr>
          <w:color w:val="000000"/>
          <w:spacing w:val="0"/>
          <w:w w:val="100"/>
          <w:position w:val="0"/>
        </w:rPr>
        <w:t>其他表明客户已取得商品控制权的迹象。</w:t>
      </w:r>
    </w:p>
    <w:p>
      <w:pPr>
        <w:pStyle w:val="Style10"/>
        <w:keepNext w:val="0"/>
        <w:keepLines w:val="0"/>
        <w:widowControl w:val="0"/>
        <w:shd w:val="clear" w:color="auto" w:fill="auto"/>
        <w:bidi w:val="0"/>
        <w:spacing w:before="0" w:after="0" w:line="469" w:lineRule="exact"/>
        <w:ind w:left="0" w:right="0" w:firstLine="440"/>
        <w:jc w:val="both"/>
      </w:pPr>
      <w:bookmarkStart w:id="1066" w:name="bookmark1066"/>
      <w:r>
        <w:rPr>
          <w:color w:val="000000"/>
          <w:spacing w:val="0"/>
          <w:w w:val="100"/>
          <w:position w:val="0"/>
        </w:rPr>
        <w:t>（</w:t>
      </w:r>
      <w:bookmarkEnd w:id="1066"/>
      <w:r>
        <w:rPr>
          <w:color w:val="000000"/>
          <w:spacing w:val="0"/>
          <w:w w:val="100"/>
          <w:position w:val="0"/>
        </w:rPr>
        <w:t>2）</w:t>
      </w:r>
      <w:r>
        <w:rPr>
          <w:color w:val="000000"/>
          <w:spacing w:val="0"/>
          <w:w w:val="100"/>
          <w:position w:val="0"/>
        </w:rPr>
        <w:t>收入确认的具体方法</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本公司销售商品收入确认的确认标准及收入确认时间的具体判断标准：</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本公司销售商品收入，在履行了合同中的履约义务，即在客户取得相关商品控制权时，按照分摊至该 项履约义务的交易价格确认收入。属于在某一时点履行的履约义务，在公司将产品交付购货方即转移货物 控制权时，已收取价款或取得收款权利且相关的经济利益很可能流入时确认收入。</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同类业务采用不同经营模式导致收入确认会计政策存在差异的情况</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0" w:line="48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4</w:t>
      </w:r>
      <w:bookmarkEnd w:id="1069"/>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67"/>
      <w:bookmarkEnd w:id="1068"/>
      <w:bookmarkEnd w:id="1070"/>
    </w:p>
    <w:p>
      <w:pPr>
        <w:pStyle w:val="Style10"/>
        <w:keepNext w:val="0"/>
        <w:keepLines w:val="0"/>
        <w:widowControl w:val="0"/>
        <w:shd w:val="clear" w:color="auto" w:fill="auto"/>
        <w:bidi w:val="0"/>
        <w:spacing w:before="0" w:line="470" w:lineRule="exact"/>
        <w:ind w:left="0" w:right="0" w:firstLine="440"/>
        <w:jc w:val="both"/>
      </w:pPr>
      <w:r>
        <w:rPr>
          <w:color w:val="000000"/>
          <w:spacing w:val="0"/>
          <w:w w:val="100"/>
          <w:position w:val="0"/>
        </w:rPr>
        <w:t>政府补助，是公司从政府无偿取得的货币性资产与非货币性资产。分为与资产相关的政府补助和与收 益相关的政府补助。</w:t>
      </w:r>
    </w:p>
    <w:p>
      <w:pPr>
        <w:pStyle w:val="Style10"/>
        <w:keepNext w:val="0"/>
        <w:keepLines w:val="0"/>
        <w:widowControl w:val="0"/>
        <w:shd w:val="clear" w:color="auto" w:fill="auto"/>
        <w:tabs>
          <w:tab w:pos="928" w:val="left"/>
        </w:tabs>
        <w:bidi w:val="0"/>
        <w:spacing w:before="0" w:line="467" w:lineRule="exact"/>
        <w:ind w:left="0" w:right="0" w:firstLine="440"/>
        <w:jc w:val="both"/>
      </w:pPr>
      <w:bookmarkStart w:id="1071" w:name="bookmark1071"/>
      <w:r>
        <w:rPr>
          <w:color w:val="000000"/>
          <w:spacing w:val="0"/>
          <w:w w:val="100"/>
          <w:position w:val="0"/>
        </w:rPr>
        <w:t>（</w:t>
      </w:r>
      <w:bookmarkEnd w:id="1071"/>
      <w:r>
        <w:rPr>
          <w:color w:val="000000"/>
          <w:spacing w:val="0"/>
          <w:w w:val="100"/>
          <w:position w:val="0"/>
        </w:rPr>
        <w:t>1）</w:t>
        <w:tab/>
      </w:r>
      <w:r>
        <w:rPr>
          <w:color w:val="000000"/>
          <w:spacing w:val="0"/>
          <w:w w:val="100"/>
          <w:position w:val="0"/>
        </w:rPr>
        <w:t>与资产相关的政府补助判断依据及会计处理方法</w:t>
      </w:r>
    </w:p>
    <w:p>
      <w:pPr>
        <w:pStyle w:val="Style10"/>
        <w:keepNext w:val="0"/>
        <w:keepLines w:val="0"/>
        <w:widowControl w:val="0"/>
        <w:shd w:val="clear" w:color="auto" w:fill="auto"/>
        <w:bidi w:val="0"/>
        <w:spacing w:before="0" w:line="467" w:lineRule="exact"/>
        <w:ind w:left="0" w:right="0" w:firstLine="440"/>
        <w:jc w:val="both"/>
      </w:pPr>
      <w:r>
        <w:rPr>
          <w:color w:val="000000"/>
          <w:spacing w:val="0"/>
          <w:w w:val="100"/>
          <w:position w:val="0"/>
        </w:rPr>
        <w:t>与资产相关的政府补助，是指企业取得的、用于购建或以其他方式形成长期资产的政府补助。</w:t>
      </w:r>
    </w:p>
    <w:p>
      <w:pPr>
        <w:pStyle w:val="Style10"/>
        <w:keepNext w:val="0"/>
        <w:keepLines w:val="0"/>
        <w:widowControl w:val="0"/>
        <w:shd w:val="clear" w:color="auto" w:fill="auto"/>
        <w:bidi w:val="0"/>
        <w:spacing w:before="0" w:line="463" w:lineRule="exact"/>
        <w:ind w:left="0" w:right="0" w:firstLine="440"/>
        <w:jc w:val="both"/>
      </w:pPr>
      <w:r>
        <w:rPr>
          <w:color w:val="000000"/>
          <w:spacing w:val="0"/>
          <w:w w:val="100"/>
          <w:position w:val="0"/>
        </w:rPr>
        <w:t>与资产相关的政府补助，应当确认为递延收益。与资产相关的政府补助确认为递延收益的，应当在相 关资产使用寿命内按照合理、系统的方法分期计入损益。按照名义金额计量的政府补助，直接计入当期损 益。</w:t>
      </w:r>
    </w:p>
    <w:p>
      <w:pPr>
        <w:pStyle w:val="Style10"/>
        <w:keepNext w:val="0"/>
        <w:keepLines w:val="0"/>
        <w:widowControl w:val="0"/>
        <w:shd w:val="clear" w:color="auto" w:fill="auto"/>
        <w:bidi w:val="0"/>
        <w:spacing w:before="0" w:line="470" w:lineRule="exact"/>
        <w:ind w:left="0" w:right="0" w:firstLine="440"/>
        <w:jc w:val="both"/>
      </w:pPr>
      <w:r>
        <w:rPr>
          <w:color w:val="000000"/>
          <w:spacing w:val="0"/>
          <w:w w:val="100"/>
          <w:position w:val="0"/>
        </w:rPr>
        <w:t>相关资产在使用寿命结束前被出售、转让、报废或发生毁损的，应当将尚未分配的相关递延收益余额 转入资产处置当期的损益。</w:t>
      </w:r>
    </w:p>
    <w:p>
      <w:pPr>
        <w:pStyle w:val="Style10"/>
        <w:keepNext w:val="0"/>
        <w:keepLines w:val="0"/>
        <w:widowControl w:val="0"/>
        <w:shd w:val="clear" w:color="auto" w:fill="auto"/>
        <w:bidi w:val="0"/>
        <w:spacing w:before="0" w:line="466" w:lineRule="exact"/>
        <w:ind w:left="0" w:right="0" w:firstLine="440"/>
        <w:jc w:val="both"/>
      </w:pPr>
      <w:r>
        <w:rPr>
          <w:color w:val="000000"/>
          <w:spacing w:val="0"/>
          <w:w w:val="100"/>
          <w:position w:val="0"/>
        </w:rPr>
        <w:t>与公司日常活动相关的政府补助，应当按照经济业务实质，计入其他收益。与公司日常活动无关的政 府补助，应当计入营业外收支。</w:t>
      </w:r>
    </w:p>
    <w:p>
      <w:pPr>
        <w:pStyle w:val="Style10"/>
        <w:keepNext w:val="0"/>
        <w:keepLines w:val="0"/>
        <w:widowControl w:val="0"/>
        <w:shd w:val="clear" w:color="auto" w:fill="auto"/>
        <w:tabs>
          <w:tab w:pos="928" w:val="left"/>
        </w:tabs>
        <w:bidi w:val="0"/>
        <w:spacing w:before="0" w:line="467" w:lineRule="exact"/>
        <w:ind w:left="0" w:right="0" w:firstLine="440"/>
        <w:jc w:val="both"/>
      </w:pPr>
      <w:bookmarkStart w:id="1072" w:name="bookmark1072"/>
      <w:r>
        <w:rPr>
          <w:color w:val="000000"/>
          <w:spacing w:val="0"/>
          <w:w w:val="100"/>
          <w:position w:val="0"/>
        </w:rPr>
        <w:t>（</w:t>
      </w:r>
      <w:bookmarkEnd w:id="1072"/>
      <w:r>
        <w:rPr>
          <w:color w:val="000000"/>
          <w:spacing w:val="0"/>
          <w:w w:val="100"/>
          <w:position w:val="0"/>
        </w:rPr>
        <w:t>2）</w:t>
        <w:tab/>
      </w:r>
      <w:r>
        <w:rPr>
          <w:color w:val="000000"/>
          <w:spacing w:val="0"/>
          <w:w w:val="100"/>
          <w:position w:val="0"/>
        </w:rPr>
        <w:t>与收益相关的政府补助判断依据及会计处理方法</w:t>
      </w:r>
    </w:p>
    <w:p>
      <w:pPr>
        <w:pStyle w:val="Style10"/>
        <w:keepNext w:val="0"/>
        <w:keepLines w:val="0"/>
        <w:widowControl w:val="0"/>
        <w:shd w:val="clear" w:color="auto" w:fill="auto"/>
        <w:bidi w:val="0"/>
        <w:spacing w:before="0" w:line="467" w:lineRule="exact"/>
        <w:ind w:left="0" w:right="0" w:firstLine="440"/>
        <w:jc w:val="left"/>
      </w:pPr>
      <w:r>
        <w:rPr>
          <w:color w:val="000000"/>
          <w:spacing w:val="0"/>
          <w:w w:val="100"/>
          <w:position w:val="0"/>
        </w:rPr>
        <w:t>与收益相关的政府补助，是指除与资产相关的政府补助之外的政府补助。</w:t>
      </w:r>
    </w:p>
    <w:p>
      <w:pPr>
        <w:pStyle w:val="Style10"/>
        <w:keepNext w:val="0"/>
        <w:keepLines w:val="0"/>
        <w:widowControl w:val="0"/>
        <w:shd w:val="clear" w:color="auto" w:fill="auto"/>
        <w:bidi w:val="0"/>
        <w:spacing w:before="0" w:line="466" w:lineRule="exact"/>
        <w:ind w:left="0" w:right="0" w:firstLine="440"/>
        <w:jc w:val="both"/>
      </w:pPr>
      <w:r>
        <w:rPr>
          <w:color w:val="000000"/>
          <w:spacing w:val="0"/>
          <w:w w:val="100"/>
          <w:position w:val="0"/>
        </w:rPr>
        <w:t>企业对于综合性项目的政府补助，需要将其分解为与资产相关的部分和与收益相关的部分，分别进行 会计处理；难以区分的，应当整体归类为与收益相关的政府补助。</w:t>
      </w:r>
    </w:p>
    <w:p>
      <w:pPr>
        <w:pStyle w:val="Style10"/>
        <w:keepNext w:val="0"/>
        <w:keepLines w:val="0"/>
        <w:widowControl w:val="0"/>
        <w:shd w:val="clear" w:color="auto" w:fill="auto"/>
        <w:bidi w:val="0"/>
        <w:spacing w:before="0" w:line="468" w:lineRule="exact"/>
        <w:ind w:left="0" w:right="0" w:firstLine="440"/>
        <w:jc w:val="both"/>
      </w:pPr>
      <w:r>
        <w:rPr>
          <w:color w:val="000000"/>
          <w:spacing w:val="0"/>
          <w:w w:val="100"/>
          <w:position w:val="0"/>
        </w:rPr>
        <w:t>与收益相关的政府补助，用于补偿企业以后期间的相关费用或损失的，取得时确认为递延收益，并在 确认相关成本费用或损失的期间，计入当期损益；用于补偿企业已发生的相关费用或损失的，直接计入当 期损益。</w:t>
      </w:r>
    </w:p>
    <w:p>
      <w:pPr>
        <w:pStyle w:val="Style10"/>
        <w:keepNext w:val="0"/>
        <w:keepLines w:val="0"/>
        <w:widowControl w:val="0"/>
        <w:shd w:val="clear" w:color="auto" w:fill="auto"/>
        <w:bidi w:val="0"/>
        <w:spacing w:before="0" w:line="466" w:lineRule="exact"/>
        <w:ind w:left="0" w:right="0" w:firstLine="440"/>
        <w:jc w:val="both"/>
      </w:pPr>
      <w:r>
        <w:rPr>
          <w:color w:val="000000"/>
          <w:spacing w:val="0"/>
          <w:w w:val="100"/>
          <w:position w:val="0"/>
        </w:rPr>
        <w:t>与公司日常活动相关的政府补助，应当按照经济业务实质，计入其他收益。与公司日常活动无关的政 府补助，应当计入营业外收支。</w:t>
      </w:r>
    </w:p>
    <w:p>
      <w:pPr>
        <w:pStyle w:val="Style10"/>
        <w:keepNext w:val="0"/>
        <w:keepLines w:val="0"/>
        <w:widowControl w:val="0"/>
        <w:shd w:val="clear" w:color="auto" w:fill="auto"/>
        <w:tabs>
          <w:tab w:pos="928" w:val="left"/>
        </w:tabs>
        <w:bidi w:val="0"/>
        <w:spacing w:before="0" w:line="467" w:lineRule="exact"/>
        <w:ind w:left="0" w:right="0" w:firstLine="440"/>
        <w:jc w:val="both"/>
      </w:pPr>
      <w:bookmarkStart w:id="1073" w:name="bookmark1073"/>
      <w:r>
        <w:rPr>
          <w:color w:val="000000"/>
          <w:spacing w:val="0"/>
          <w:w w:val="100"/>
          <w:position w:val="0"/>
        </w:rPr>
        <w:t>（</w:t>
      </w:r>
      <w:bookmarkEnd w:id="1073"/>
      <w:r>
        <w:rPr>
          <w:color w:val="000000"/>
          <w:spacing w:val="0"/>
          <w:w w:val="100"/>
          <w:position w:val="0"/>
        </w:rPr>
        <w:t>3）</w:t>
        <w:tab/>
      </w:r>
      <w:r>
        <w:rPr>
          <w:color w:val="000000"/>
          <w:spacing w:val="0"/>
          <w:w w:val="100"/>
          <w:position w:val="0"/>
        </w:rPr>
        <w:t>政府补助的确认时点</w:t>
      </w:r>
    </w:p>
    <w:p>
      <w:pPr>
        <w:pStyle w:val="Style10"/>
        <w:keepNext w:val="0"/>
        <w:keepLines w:val="0"/>
        <w:widowControl w:val="0"/>
        <w:shd w:val="clear" w:color="auto" w:fill="auto"/>
        <w:bidi w:val="0"/>
        <w:spacing w:before="0" w:line="467" w:lineRule="exact"/>
        <w:ind w:left="0" w:right="0" w:firstLine="440"/>
        <w:jc w:val="both"/>
      </w:pPr>
      <w:r>
        <w:rPr>
          <w:color w:val="000000"/>
          <w:spacing w:val="0"/>
          <w:w w:val="100"/>
          <w:position w:val="0"/>
        </w:rPr>
        <w:t>政府补助为货币性资产的，应当按照收到的金额计量。按照应收金额计量的政府补助，在期末有确凿 证据表明能够符合财政扶持政策规定的相关条件且预计能够收到财政扶持资金时予以确认；政府补助为非 货币性资产的，应当按照取得非货币性资产所有权风险和报酬转移时确认政府补助实现。其中非货币性资 产按公允价值计量；公允价值不能可靠取得的，按照名义金额计量。</w:t>
      </w:r>
    </w:p>
    <w:p>
      <w:pPr>
        <w:pStyle w:val="Style10"/>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已确认的政府补助需要返还时，存在相关递延收益余额的，冲减相关递延收益账面余额，超出部分计 入当期损益；不存在相关递延收益的，直接计入当期损益。</w:t>
      </w:r>
    </w:p>
    <w:p>
      <w:pPr>
        <w:pStyle w:val="Style29"/>
        <w:keepNext/>
        <w:keepLines/>
        <w:widowControl w:val="0"/>
        <w:shd w:val="clear" w:color="auto" w:fill="auto"/>
        <w:tabs>
          <w:tab w:pos="469" w:val="left"/>
        </w:tabs>
        <w:bidi w:val="0"/>
        <w:spacing w:before="0" w:after="0" w:line="492"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4</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74"/>
      <w:bookmarkEnd w:id="1075"/>
      <w:bookmarkEnd w:id="1077"/>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所得税采用资产负债表债务法进行核算。于资产负债表日，分析比较资产、负债的账面价值与其计税 基础，两者之间存在差异的，确认递延所得税资产、递延所得税负债及相应的递延所得税费用（或收益）。 在计算确定当期所得税（即当期应交所得税）以及递延所得税费用（或收益）的基础上，将两者之和确认 为利润表中的所得税费用（或收益），但不包括直接计入所有者权益的交易或事项的所得税影响。</w:t>
      </w:r>
    </w:p>
    <w:p>
      <w:pPr>
        <w:pStyle w:val="Style10"/>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资产负债表日，对递延所得税资产的账面价值进行复核。如果未来期间很可能无法获得足够的应纳税 所得额用以抵扣递延所得税资产的利益，应当减记递延所得税资产的账面价值。</w:t>
      </w:r>
    </w:p>
    <w:p>
      <w:pPr>
        <w:pStyle w:val="Style29"/>
        <w:keepNext/>
        <w:keepLines/>
        <w:widowControl w:val="0"/>
        <w:shd w:val="clear" w:color="auto" w:fill="auto"/>
        <w:tabs>
          <w:tab w:pos="469" w:val="left"/>
        </w:tabs>
        <w:bidi w:val="0"/>
        <w:spacing w:before="0" w:after="0" w:line="492"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4</w:t>
      </w:r>
      <w:bookmarkEnd w:id="1080"/>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78"/>
      <w:bookmarkEnd w:id="1079"/>
      <w:bookmarkEnd w:id="1081"/>
    </w:p>
    <w:p>
      <w:pPr>
        <w:pStyle w:val="Style34"/>
        <w:keepNext/>
        <w:keepLines/>
        <w:widowControl w:val="0"/>
        <w:shd w:val="clear" w:color="auto" w:fill="auto"/>
        <w:bidi w:val="0"/>
        <w:spacing w:before="0" w:after="200" w:line="470" w:lineRule="exact"/>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82"/>
      <w:bookmarkEnd w:id="1083"/>
      <w:bookmarkEnd w:id="1085"/>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日起适用。</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租赁是指让渡或取得了在一定期间内控制一项或多项已识别资产使用的权利以换取或支付对价的合 同。在一项合同开始日，评估合同是否为租赁或包含租赁。</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①公司作为承租人</w:t>
      </w:r>
    </w:p>
    <w:p>
      <w:pPr>
        <w:pStyle w:val="Style10"/>
        <w:keepNext w:val="0"/>
        <w:keepLines w:val="0"/>
        <w:widowControl w:val="0"/>
        <w:shd w:val="clear" w:color="auto" w:fill="auto"/>
        <w:tabs>
          <w:tab w:pos="813" w:val="left"/>
        </w:tabs>
        <w:bidi w:val="0"/>
        <w:spacing w:before="0" w:after="0" w:line="470" w:lineRule="exact"/>
        <w:ind w:left="0" w:right="0" w:firstLine="440"/>
        <w:jc w:val="both"/>
      </w:pPr>
      <w:bookmarkStart w:id="1086" w:name="bookmark1086"/>
      <w:r>
        <w:rPr>
          <w:color w:val="000000"/>
          <w:spacing w:val="0"/>
          <w:w w:val="100"/>
          <w:position w:val="0"/>
        </w:rPr>
        <w:t>1</w:t>
      </w:r>
      <w:bookmarkEnd w:id="1086"/>
      <w:r>
        <w:rPr>
          <w:color w:val="000000"/>
          <w:spacing w:val="0"/>
          <w:w w:val="100"/>
          <w:position w:val="0"/>
        </w:rPr>
        <w:t>）</w:t>
        <w:tab/>
      </w:r>
      <w:r>
        <w:rPr>
          <w:color w:val="000000"/>
          <w:spacing w:val="0"/>
          <w:w w:val="100"/>
          <w:position w:val="0"/>
        </w:rPr>
        <w:t>初始计量</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在租赁期开始日，将可在租赁期内使用租赁资产的权利确认为使用权资产，将尚未支付的租赁付款额 的现值确认为租赁负债，短期租赁和低价值资产租赁除外。在计算租赁付款额的现值时，采用租赁内含利 率作为折现率；无法确定租赁内含利率的，采用承租人增量借款利率作为折现率。</w:t>
      </w:r>
    </w:p>
    <w:p>
      <w:pPr>
        <w:pStyle w:val="Style10"/>
        <w:keepNext w:val="0"/>
        <w:keepLines w:val="0"/>
        <w:widowControl w:val="0"/>
        <w:shd w:val="clear" w:color="auto" w:fill="auto"/>
        <w:tabs>
          <w:tab w:pos="827" w:val="left"/>
        </w:tabs>
        <w:bidi w:val="0"/>
        <w:spacing w:before="0" w:after="0" w:line="470" w:lineRule="exact"/>
        <w:ind w:left="0" w:right="0" w:firstLine="440"/>
        <w:jc w:val="both"/>
      </w:pPr>
      <w:bookmarkStart w:id="1087" w:name="bookmark1087"/>
      <w:r>
        <w:rPr>
          <w:color w:val="000000"/>
          <w:spacing w:val="0"/>
          <w:w w:val="100"/>
          <w:position w:val="0"/>
        </w:rPr>
        <w:t>2</w:t>
      </w:r>
      <w:bookmarkEnd w:id="1087"/>
      <w:r>
        <w:rPr>
          <w:color w:val="000000"/>
          <w:spacing w:val="0"/>
          <w:w w:val="100"/>
          <w:position w:val="0"/>
        </w:rPr>
        <w:t>）</w:t>
        <w:tab/>
      </w:r>
      <w:r>
        <w:rPr>
          <w:color w:val="000000"/>
          <w:spacing w:val="0"/>
          <w:w w:val="100"/>
          <w:position w:val="0"/>
        </w:rPr>
        <w:t>后续计量</w:t>
      </w:r>
    </w:p>
    <w:p>
      <w:pPr>
        <w:pStyle w:val="Style1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参照《企业会计准则第</w:t>
      </w:r>
      <w:r>
        <w:rPr>
          <w:color w:val="000000"/>
          <w:spacing w:val="0"/>
          <w:w w:val="100"/>
          <w:position w:val="0"/>
        </w:rPr>
        <w:t>4</w:t>
      </w:r>
      <w:r>
        <w:rPr>
          <w:color w:val="000000"/>
          <w:spacing w:val="0"/>
          <w:w w:val="100"/>
          <w:position w:val="0"/>
        </w:rPr>
        <w:t>号一固定资产》有关折旧规定对使用权资产计提折旧（详见“附注五、</w:t>
      </w:r>
      <w:r>
        <w:rPr>
          <w:color w:val="000000"/>
          <w:spacing w:val="0"/>
          <w:w w:val="100"/>
          <w:position w:val="0"/>
        </w:rPr>
        <w:t>29</w:t>
      </w:r>
      <w:r>
        <w:rPr>
          <w:color w:val="000000"/>
          <w:spacing w:val="0"/>
          <w:w w:val="100"/>
          <w:position w:val="0"/>
        </w:rPr>
        <w:t>、 使用权资产”），能够合理确定租赁期届满时取得租赁资产所有权的，在租赁资产剩余使用寿命内计提折 旧。无法合理确定租赁期届满时能够取得租赁资产所有权的，在租赁期与租赁资产剩余使用寿命两者孰短 的期间内计提折旧。</w:t>
      </w:r>
    </w:p>
    <w:p>
      <w:pPr>
        <w:pStyle w:val="Style10"/>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对于租赁负债，按照固定的周期性利率计算其在租赁期内各期间的利息费用，计入当期损益或计入相 关资产成本。未纳入租赁负债计量的可变租赁付款额在实际发生时计入当期损益或相关资产成本。</w:t>
      </w:r>
    </w:p>
    <w:p>
      <w:pPr>
        <w:pStyle w:val="Style10"/>
        <w:keepNext w:val="0"/>
        <w:keepLines w:val="0"/>
        <w:widowControl w:val="0"/>
        <w:shd w:val="clear" w:color="auto" w:fill="auto"/>
        <w:tabs>
          <w:tab w:pos="387" w:val="left"/>
        </w:tabs>
        <w:bidi w:val="0"/>
        <w:spacing w:before="0" w:after="0" w:line="470" w:lineRule="exact"/>
        <w:ind w:left="0" w:right="0" w:firstLine="440"/>
        <w:jc w:val="both"/>
      </w:pPr>
      <w:bookmarkStart w:id="1088" w:name="bookmark1088"/>
      <w:r>
        <w:rPr>
          <w:color w:val="000000"/>
          <w:spacing w:val="0"/>
          <w:w w:val="100"/>
          <w:position w:val="0"/>
        </w:rPr>
        <w:t>3</w:t>
      </w:r>
      <w:bookmarkEnd w:id="1088"/>
      <w:r>
        <w:rPr>
          <w:color w:val="000000"/>
          <w:spacing w:val="0"/>
          <w:w w:val="100"/>
          <w:position w:val="0"/>
        </w:rPr>
        <w:t>）</w:t>
        <w:tab/>
      </w:r>
      <w:r>
        <w:rPr>
          <w:color w:val="000000"/>
          <w:spacing w:val="0"/>
          <w:w w:val="100"/>
          <w:position w:val="0"/>
        </w:rPr>
        <w:t xml:space="preserve">租赁期开始日后，当实质固定付款额发生变动、担保余值预计的应付金额发生变化、用于确定租 </w:t>
      </w:r>
      <w:r>
        <w:rPr>
          <w:color w:val="000000"/>
          <w:spacing w:val="0"/>
          <w:w w:val="100"/>
          <w:position w:val="0"/>
        </w:rPr>
        <w:t>赁付款额的指数或比率发生变动、购买选择权、续租选择权或终止选择权的评估结果或实际行权情况发生 变化时，本集团按照变动后的租赁付款额的现值重新计量租赁负债，并相应调整使用权资产的账面价值。 使用权资产账面价值已调减至零，但租赁负债仍需进一步调减的，将剩余金额计入当期损益。</w:t>
      </w:r>
    </w:p>
    <w:p>
      <w:pPr>
        <w:pStyle w:val="Style10"/>
        <w:keepNext w:val="0"/>
        <w:keepLines w:val="0"/>
        <w:widowControl w:val="0"/>
        <w:shd w:val="clear" w:color="auto" w:fill="auto"/>
        <w:bidi w:val="0"/>
        <w:spacing w:before="0" w:after="0" w:line="470" w:lineRule="exact"/>
        <w:ind w:left="0" w:right="0" w:firstLine="440"/>
        <w:jc w:val="both"/>
      </w:pPr>
      <w:bookmarkStart w:id="1089" w:name="bookmark1089"/>
      <w:r>
        <w:rPr>
          <w:color w:val="000000"/>
          <w:spacing w:val="0"/>
          <w:w w:val="100"/>
          <w:position w:val="0"/>
        </w:rPr>
        <w:t>4</w:t>
      </w:r>
      <w:bookmarkEnd w:id="1089"/>
      <w:r>
        <w:rPr>
          <w:color w:val="000000"/>
          <w:spacing w:val="0"/>
          <w:w w:val="100"/>
          <w:position w:val="0"/>
        </w:rPr>
        <w:t>）</w:t>
      </w:r>
      <w:r>
        <w:rPr>
          <w:color w:val="000000"/>
          <w:spacing w:val="0"/>
          <w:w w:val="100"/>
          <w:position w:val="0"/>
        </w:rPr>
        <w:t>短期租赁和低价值资产租赁</w:t>
      </w:r>
    </w:p>
    <w:p>
      <w:pPr>
        <w:pStyle w:val="Style10"/>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对于短期租赁（在租赁开始日租赁期不超过</w:t>
      </w:r>
      <w:r>
        <w:rPr>
          <w:color w:val="000000"/>
          <w:spacing w:val="0"/>
          <w:w w:val="100"/>
          <w:position w:val="0"/>
        </w:rPr>
        <w:t>12</w:t>
      </w:r>
      <w:r>
        <w:rPr>
          <w:color w:val="000000"/>
          <w:spacing w:val="0"/>
          <w:w w:val="100"/>
          <w:position w:val="0"/>
        </w:rPr>
        <w:t>个月的租赁）和低价值资产租赁，采取简化处理方法， 不确认使用权资产和租赁负债，而在租赁期内各个期间按照直线法或其他系统合理的方法将租赁付款额计 入相关资产成本或当期损益。</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②公司作为出租人</w:t>
      </w:r>
    </w:p>
    <w:p>
      <w:pPr>
        <w:pStyle w:val="Style1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在租赁开始日，公司将实质上转移了与租赁资产所有权有关的几乎全部风险和报酬的租赁划分为融资 租赁，除此之外的均为经营租赁。</w:t>
      </w:r>
    </w:p>
    <w:p>
      <w:pPr>
        <w:pStyle w:val="Style10"/>
        <w:keepNext w:val="0"/>
        <w:keepLines w:val="0"/>
        <w:widowControl w:val="0"/>
        <w:shd w:val="clear" w:color="auto" w:fill="auto"/>
        <w:tabs>
          <w:tab w:pos="813" w:val="left"/>
        </w:tabs>
        <w:bidi w:val="0"/>
        <w:spacing w:before="0" w:after="0" w:line="470" w:lineRule="exact"/>
        <w:ind w:left="0" w:right="0" w:firstLine="440"/>
        <w:jc w:val="both"/>
      </w:pPr>
      <w:bookmarkStart w:id="1090" w:name="bookmark1090"/>
      <w:r>
        <w:rPr>
          <w:color w:val="000000"/>
          <w:spacing w:val="0"/>
          <w:w w:val="100"/>
          <w:position w:val="0"/>
        </w:rPr>
        <w:t>1</w:t>
      </w:r>
      <w:bookmarkEnd w:id="1090"/>
      <w:r>
        <w:rPr>
          <w:color w:val="000000"/>
          <w:spacing w:val="0"/>
          <w:w w:val="100"/>
          <w:position w:val="0"/>
        </w:rPr>
        <w:t>）</w:t>
        <w:tab/>
      </w:r>
      <w:r>
        <w:rPr>
          <w:color w:val="000000"/>
          <w:spacing w:val="0"/>
          <w:w w:val="100"/>
          <w:position w:val="0"/>
        </w:rPr>
        <w:t>经营租赁</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公司在租赁期内各个期间按照直线法将租赁收款额确认为租金收入，发生的初始直接费用予以资本化 并按照与租金收入确认相同的基础进行分摊，分期计入当期损益。公司取得的与经营租赁有关的未计入租 赁收款额的可变租赁付款额在实际发生时计入当期损益。</w:t>
      </w:r>
    </w:p>
    <w:p>
      <w:pPr>
        <w:pStyle w:val="Style10"/>
        <w:keepNext w:val="0"/>
        <w:keepLines w:val="0"/>
        <w:widowControl w:val="0"/>
        <w:shd w:val="clear" w:color="auto" w:fill="auto"/>
        <w:tabs>
          <w:tab w:pos="827" w:val="left"/>
        </w:tabs>
        <w:bidi w:val="0"/>
        <w:spacing w:before="0" w:after="0" w:line="470" w:lineRule="exact"/>
        <w:ind w:left="0" w:right="0" w:firstLine="440"/>
        <w:jc w:val="both"/>
      </w:pPr>
      <w:bookmarkStart w:id="1091" w:name="bookmark1091"/>
      <w:r>
        <w:rPr>
          <w:color w:val="000000"/>
          <w:spacing w:val="0"/>
          <w:w w:val="100"/>
          <w:position w:val="0"/>
        </w:rPr>
        <w:t>2</w:t>
      </w:r>
      <w:bookmarkEnd w:id="1091"/>
      <w:r>
        <w:rPr>
          <w:color w:val="000000"/>
          <w:spacing w:val="0"/>
          <w:w w:val="100"/>
          <w:position w:val="0"/>
        </w:rPr>
        <w:t>）</w:t>
        <w:tab/>
      </w:r>
      <w:r>
        <w:rPr>
          <w:color w:val="000000"/>
          <w:spacing w:val="0"/>
          <w:w w:val="100"/>
          <w:position w:val="0"/>
        </w:rPr>
        <w:t>融资租赁</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在租赁期开始日，公司按照租赁投资净额（未担保余值和租赁期开始日尚未收到的租赁收款额按照租 赁内含利率折现的现值之和）确认应收融资租赁款，并终止确认融资租赁资产。在租赁期的各个期间，公 司按照租赁内含利率计算并确认利息收入。</w:t>
      </w:r>
    </w:p>
    <w:p>
      <w:pPr>
        <w:pStyle w:val="Style10"/>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公司取得的未纳入租赁投资净额计量的可变租赁付款额在实际发生时计入当期损益。</w:t>
      </w:r>
    </w:p>
    <w:p>
      <w:pPr>
        <w:pStyle w:val="Style34"/>
        <w:keepNext/>
        <w:keepLines/>
        <w:widowControl w:val="0"/>
        <w:shd w:val="clear" w:color="auto" w:fill="auto"/>
        <w:bidi w:val="0"/>
        <w:spacing w:before="0" w:after="200" w:line="470" w:lineRule="exact"/>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92"/>
      <w:bookmarkEnd w:id="1093"/>
      <w:bookmarkEnd w:id="1095"/>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以下融资租赁会计政策适用于</w:t>
      </w:r>
      <w:r>
        <w:rPr>
          <w:color w:val="000000"/>
          <w:spacing w:val="0"/>
          <w:w w:val="100"/>
          <w:position w:val="0"/>
        </w:rPr>
        <w:t>2020</w:t>
      </w:r>
      <w:r>
        <w:rPr>
          <w:color w:val="000000"/>
          <w:spacing w:val="0"/>
          <w:w w:val="100"/>
          <w:position w:val="0"/>
        </w:rPr>
        <w:t>年度及以前。</w:t>
      </w:r>
    </w:p>
    <w:p>
      <w:pPr>
        <w:pStyle w:val="Style10"/>
        <w:keepNext w:val="0"/>
        <w:keepLines w:val="0"/>
        <w:widowControl w:val="0"/>
        <w:numPr>
          <w:ilvl w:val="0"/>
          <w:numId w:val="111"/>
        </w:numPr>
        <w:shd w:val="clear" w:color="auto" w:fill="auto"/>
        <w:tabs>
          <w:tab w:pos="814" w:val="left"/>
        </w:tabs>
        <w:bidi w:val="0"/>
        <w:spacing w:before="0" w:after="480" w:line="470" w:lineRule="exact"/>
        <w:ind w:left="0" w:right="0" w:firstLine="440"/>
        <w:jc w:val="both"/>
      </w:pPr>
      <w:bookmarkStart w:id="1096" w:name="bookmark1096"/>
      <w:bookmarkEnd w:id="1096"/>
      <w:r>
        <w:rPr>
          <w:color w:val="000000"/>
          <w:spacing w:val="0"/>
          <w:w w:val="100"/>
          <w:position w:val="0"/>
        </w:rPr>
        <w:t>融资租入资产：公司在承租开始日，将租赁资产公允价值与最低租赁付款额现值两者中较低者作为 租入资产的入账价值，将最低租赁付款额作为长期应付款的入账价值，其差额作为未确认的融资费用。</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融资租入资产的认定依据、计价和折旧方法详见“附注五、</w:t>
      </w:r>
      <w:r>
        <w:rPr>
          <w:color w:val="000000"/>
          <w:spacing w:val="0"/>
          <w:w w:val="100"/>
          <w:position w:val="0"/>
        </w:rPr>
        <w:t>24</w:t>
      </w:r>
      <w:r>
        <w:rPr>
          <w:color w:val="000000"/>
          <w:spacing w:val="0"/>
          <w:w w:val="100"/>
          <w:position w:val="0"/>
        </w:rPr>
        <w:t>、固定资产”。</w:t>
      </w:r>
    </w:p>
    <w:p>
      <w:pPr>
        <w:pStyle w:val="Style1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公司采用实际利率法对未确认的融资费用，在资产租赁期间内摊销，计入财务费用。</w:t>
      </w:r>
    </w:p>
    <w:p>
      <w:pPr>
        <w:pStyle w:val="Style10"/>
        <w:keepNext w:val="0"/>
        <w:keepLines w:val="0"/>
        <w:widowControl w:val="0"/>
        <w:numPr>
          <w:ilvl w:val="0"/>
          <w:numId w:val="111"/>
        </w:numPr>
        <w:shd w:val="clear" w:color="auto" w:fill="auto"/>
        <w:tabs>
          <w:tab w:pos="397" w:val="left"/>
        </w:tabs>
        <w:bidi w:val="0"/>
        <w:spacing w:before="0" w:after="460" w:line="470" w:lineRule="exact"/>
        <w:ind w:left="0" w:right="0" w:firstLine="440"/>
        <w:jc w:val="both"/>
      </w:pPr>
      <w:bookmarkStart w:id="1097" w:name="bookmark1097"/>
      <w:bookmarkEnd w:id="1097"/>
      <w:r>
        <w:rPr>
          <w:color w:val="000000"/>
          <w:spacing w:val="0"/>
          <w:w w:val="100"/>
          <w:position w:val="0"/>
        </w:rPr>
        <w:t xml:space="preserve">融资租出资产：公司在租赁开始日，将应收融资租赁款，未担保余值之和与其现值的差额确认为未 </w:t>
      </w:r>
      <w:r>
        <w:rPr>
          <w:color w:val="000000"/>
          <w:spacing w:val="0"/>
          <w:w w:val="100"/>
          <w:position w:val="0"/>
        </w:rPr>
        <w:t>实现融资收益，在将来收到租金的各期间内确认为租赁收入，公司发生的与出租交易相关的初始直接费用， 计入应收融资租赁款的初始计量中，并减少租赁期内确认的收益金额。</w:t>
      </w:r>
    </w:p>
    <w:p>
      <w:pPr>
        <w:pStyle w:val="Style29"/>
        <w:keepNext/>
        <w:keepLines/>
        <w:widowControl w:val="0"/>
        <w:shd w:val="clear" w:color="auto" w:fill="auto"/>
        <w:tabs>
          <w:tab w:pos="469" w:val="left"/>
        </w:tabs>
        <w:bidi w:val="0"/>
        <w:spacing w:before="0" w:after="0" w:line="480" w:lineRule="auto"/>
        <w:ind w:left="0" w:right="0" w:firstLine="0"/>
        <w:jc w:val="both"/>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4</w:t>
      </w:r>
      <w:bookmarkEnd w:id="1100"/>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98"/>
      <w:bookmarkEnd w:id="1099"/>
      <w:bookmarkEnd w:id="1101"/>
    </w:p>
    <w:p>
      <w:pPr>
        <w:pStyle w:val="Style10"/>
        <w:keepNext w:val="0"/>
        <w:keepLines w:val="0"/>
        <w:widowControl w:val="0"/>
        <w:numPr>
          <w:ilvl w:val="0"/>
          <w:numId w:val="113"/>
        </w:numPr>
        <w:shd w:val="clear" w:color="auto" w:fill="auto"/>
        <w:tabs>
          <w:tab w:pos="832" w:val="left"/>
        </w:tabs>
        <w:bidi w:val="0"/>
        <w:spacing w:before="0" w:after="0" w:line="469" w:lineRule="exact"/>
        <w:ind w:left="0" w:right="0" w:firstLine="440"/>
        <w:jc w:val="left"/>
      </w:pPr>
      <w:bookmarkStart w:id="1102" w:name="bookmark1102"/>
      <w:bookmarkEnd w:id="1102"/>
      <w:r>
        <w:rPr>
          <w:color w:val="000000"/>
          <w:spacing w:val="0"/>
          <w:w w:val="100"/>
          <w:position w:val="0"/>
        </w:rPr>
        <w:t>终止经营</w:t>
      </w:r>
    </w:p>
    <w:p>
      <w:pPr>
        <w:pStyle w:val="Style1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本公司将满足下列条件之一的，且该组成部分已经处置或划归为持有待售类别的、能够单独区分的组 成部分确认为终止经营组成部分：</w:t>
      </w:r>
    </w:p>
    <w:p>
      <w:pPr>
        <w:pStyle w:val="Style10"/>
        <w:keepNext w:val="0"/>
        <w:keepLines w:val="0"/>
        <w:widowControl w:val="0"/>
        <w:shd w:val="clear" w:color="auto" w:fill="auto"/>
        <w:tabs>
          <w:tab w:pos="928" w:val="left"/>
        </w:tabs>
        <w:bidi w:val="0"/>
        <w:spacing w:before="0" w:after="0" w:line="485" w:lineRule="exact"/>
        <w:ind w:left="0" w:right="0" w:firstLine="440"/>
        <w:jc w:val="left"/>
      </w:pPr>
      <w:bookmarkStart w:id="1103" w:name="bookmark1103"/>
      <w:r>
        <w:rPr>
          <w:color w:val="000000"/>
          <w:spacing w:val="0"/>
          <w:w w:val="100"/>
          <w:position w:val="0"/>
        </w:rPr>
        <w:t>（</w:t>
      </w:r>
      <w:bookmarkEnd w:id="1103"/>
      <w:r>
        <w:rPr>
          <w:color w:val="000000"/>
          <w:spacing w:val="0"/>
          <w:w w:val="100"/>
          <w:position w:val="0"/>
        </w:rPr>
        <w:t>1）</w:t>
        <w:tab/>
      </w:r>
      <w:r>
        <w:rPr>
          <w:color w:val="000000"/>
          <w:spacing w:val="0"/>
          <w:w w:val="100"/>
          <w:position w:val="0"/>
        </w:rPr>
        <w:t>该组成部分代表一项独立的主要业务或一个单独的主要经营地区。</w:t>
      </w:r>
    </w:p>
    <w:p>
      <w:pPr>
        <w:pStyle w:val="Style10"/>
        <w:keepNext w:val="0"/>
        <w:keepLines w:val="0"/>
        <w:widowControl w:val="0"/>
        <w:shd w:val="clear" w:color="auto" w:fill="auto"/>
        <w:tabs>
          <w:tab w:pos="1006" w:val="left"/>
        </w:tabs>
        <w:bidi w:val="0"/>
        <w:spacing w:before="0" w:after="0" w:line="485" w:lineRule="exact"/>
        <w:ind w:left="0" w:right="0" w:firstLine="440"/>
        <w:jc w:val="left"/>
      </w:pPr>
      <w:bookmarkStart w:id="1104" w:name="bookmark1104"/>
      <w:r>
        <w:rPr>
          <w:color w:val="000000"/>
          <w:spacing w:val="0"/>
          <w:w w:val="100"/>
          <w:position w:val="0"/>
        </w:rPr>
        <w:t>（</w:t>
      </w:r>
      <w:bookmarkEnd w:id="1104"/>
      <w:r>
        <w:rPr>
          <w:color w:val="000000"/>
          <w:spacing w:val="0"/>
          <w:w w:val="100"/>
          <w:position w:val="0"/>
        </w:rPr>
        <w:t>2）</w:t>
        <w:tab/>
      </w:r>
      <w:r>
        <w:rPr>
          <w:color w:val="000000"/>
          <w:spacing w:val="0"/>
          <w:w w:val="100"/>
          <w:position w:val="0"/>
        </w:rPr>
        <w:t>该组成部分是拟对一项独立的主要业务或一个单独的主要经营地区进行处置的一项相关联计划 的一部分。</w:t>
      </w:r>
    </w:p>
    <w:p>
      <w:pPr>
        <w:pStyle w:val="Style10"/>
        <w:keepNext w:val="0"/>
        <w:keepLines w:val="0"/>
        <w:widowControl w:val="0"/>
        <w:shd w:val="clear" w:color="auto" w:fill="auto"/>
        <w:tabs>
          <w:tab w:pos="928" w:val="left"/>
        </w:tabs>
        <w:bidi w:val="0"/>
        <w:spacing w:before="0" w:after="0" w:line="485" w:lineRule="exact"/>
        <w:ind w:left="0" w:right="0" w:firstLine="440"/>
        <w:jc w:val="left"/>
      </w:pPr>
      <w:bookmarkStart w:id="1105" w:name="bookmark1105"/>
      <w:r>
        <w:rPr>
          <w:color w:val="000000"/>
          <w:spacing w:val="0"/>
          <w:w w:val="100"/>
          <w:position w:val="0"/>
        </w:rPr>
        <w:t>（</w:t>
      </w:r>
      <w:bookmarkEnd w:id="1105"/>
      <w:r>
        <w:rPr>
          <w:color w:val="000000"/>
          <w:spacing w:val="0"/>
          <w:w w:val="100"/>
          <w:position w:val="0"/>
        </w:rPr>
        <w:t>3）</w:t>
        <w:tab/>
      </w:r>
      <w:r>
        <w:rPr>
          <w:color w:val="000000"/>
          <w:spacing w:val="0"/>
          <w:w w:val="100"/>
          <w:position w:val="0"/>
        </w:rPr>
        <w:t>该组成部分是专为转售而取得的子公司。</w:t>
      </w:r>
    </w:p>
    <w:p>
      <w:pPr>
        <w:pStyle w:val="Style1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终止经营的减值损失和转回金额等经营损益及处置损益作为终止经营损益在利润表中列示。</w:t>
      </w:r>
    </w:p>
    <w:p>
      <w:pPr>
        <w:pStyle w:val="Style10"/>
        <w:keepNext w:val="0"/>
        <w:keepLines w:val="0"/>
        <w:widowControl w:val="0"/>
        <w:numPr>
          <w:ilvl w:val="0"/>
          <w:numId w:val="113"/>
        </w:numPr>
        <w:shd w:val="clear" w:color="auto" w:fill="auto"/>
        <w:tabs>
          <w:tab w:pos="837" w:val="left"/>
        </w:tabs>
        <w:bidi w:val="0"/>
        <w:spacing w:before="0" w:after="0" w:line="469" w:lineRule="exact"/>
        <w:ind w:left="0" w:right="0" w:firstLine="440"/>
        <w:jc w:val="left"/>
      </w:pPr>
      <w:bookmarkStart w:id="1106" w:name="bookmark1106"/>
      <w:bookmarkEnd w:id="1106"/>
      <w:r>
        <w:rPr>
          <w:color w:val="000000"/>
          <w:spacing w:val="0"/>
          <w:w w:val="100"/>
          <w:position w:val="0"/>
        </w:rPr>
        <w:t>回购本公司股份</w:t>
      </w:r>
    </w:p>
    <w:p>
      <w:pPr>
        <w:pStyle w:val="Style1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公司回购自身权益工具支付的对价和交易费用，应当减少所有者权益。</w:t>
      </w:r>
    </w:p>
    <w:p>
      <w:pPr>
        <w:pStyle w:val="Style1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公司按法定程序报经批准采用收购本公司股票方式减资，按注销股票面值总额减少股本，购回股票支 付的价款（含交易费用）与股票面值的差额调整所有者权益，超过面值总额的部分，依次冲减资本公积（股 本溢价）、盈余公积和未分配利润；如低于面值总额的，低于面值总额的部分增加资本公积（股本溢价）。 公司回购自身权益工具，不确认利得或损失。</w:t>
      </w:r>
    </w:p>
    <w:p>
      <w:pPr>
        <w:pStyle w:val="Style1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公司回购的股份在注销或者转让之前，作为库存股管理，回购股份的全部支出转作库存股成本，同时 进行备查登记。</w:t>
      </w:r>
    </w:p>
    <w:p>
      <w:pPr>
        <w:pStyle w:val="Style10"/>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库存股转让时，转让收入高于库存股成本的部分，增加资本公积（股本溢价）；低于库存股成本的部分， 依次冲减资本公积（股本溢价）、盈余公积、未分配利润。</w:t>
      </w:r>
    </w:p>
    <w:p>
      <w:pPr>
        <w:pStyle w:val="Style10"/>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公司回购其普通股形成的库存股不参与公司利润分配，公司将其作为在资产负债表中所有者权益的备 抵项目列示。</w:t>
      </w:r>
    </w:p>
    <w:p>
      <w:pPr>
        <w:pStyle w:val="Style29"/>
        <w:keepNext/>
        <w:keepLines/>
        <w:widowControl w:val="0"/>
        <w:shd w:val="clear" w:color="auto" w:fill="auto"/>
        <w:tabs>
          <w:tab w:pos="469" w:val="left"/>
        </w:tabs>
        <w:bidi w:val="0"/>
        <w:spacing w:before="0" w:after="0" w:line="480" w:lineRule="auto"/>
        <w:ind w:left="0" w:right="0" w:firstLine="0"/>
        <w:jc w:val="both"/>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4</w:t>
      </w:r>
      <w:bookmarkEnd w:id="1109"/>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07"/>
      <w:bookmarkEnd w:id="1108"/>
      <w:bookmarkEnd w:id="1110"/>
    </w:p>
    <w:p>
      <w:pPr>
        <w:pStyle w:val="Style34"/>
        <w:keepNext/>
        <w:keepLines/>
        <w:widowControl w:val="0"/>
        <w:shd w:val="clear" w:color="auto" w:fill="auto"/>
        <w:bidi w:val="0"/>
        <w:spacing w:before="0" w:line="469" w:lineRule="exact"/>
        <w:ind w:left="0" w:right="0" w:firstLine="0"/>
        <w:jc w:val="both"/>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11"/>
      <w:bookmarkEnd w:id="1112"/>
      <w:bookmarkEnd w:id="1114"/>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p>
        </w:tc>
      </w:tr>
    </w:tbl>
    <w:p>
      <w:pPr>
        <w:widowControl w:val="0"/>
        <w:spacing w:line="1" w:lineRule="exact"/>
      </w:pPr>
      <w:r>
        <w:br w:type="page"/>
      </w:r>
    </w:p>
    <w:tbl>
      <w:tblPr>
        <w:tblOverlap w:val="never"/>
        <w:jc w:val="center"/>
        <w:tblLayout w:type="fixed"/>
      </w:tblPr>
      <w:tblGrid>
        <w:gridCol w:w="3202"/>
        <w:gridCol w:w="3187"/>
        <w:gridCol w:w="3197"/>
      </w:tblGrid>
      <w:tr>
        <w:trPr>
          <w:trHeight w:val="291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tabs>
                <w:tab w:pos="1810" w:val="left"/>
              </w:tabs>
              <w:bidi w:val="0"/>
              <w:spacing w:before="0" w:after="0" w:line="312"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日起执行财政部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租赁》（财会〔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号文件）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第五届董事会第十八次会议</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根据新租赁准则要求，公司自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日开始按照新修订的租赁准则《企 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租赁》进行会计处 理，并根据衔接规定，对可比期间信息 不予调整，首次执行日新租赁准则与现 行租赁准则的差异追溯调整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 初留存收益。执行新租赁准则不会对公 司以前年度财务状况、经营成果产生影 响。</w:t>
            </w:r>
          </w:p>
        </w:tc>
      </w:tr>
    </w:tbl>
    <w:p>
      <w:pPr>
        <w:pStyle w:val="Style26"/>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受重要影响的报表项目名称和金额见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年起首次执行新租赁准则调整首次执行当年年初财务报表相 关项目情况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tabs>
          <w:tab w:pos="478" w:val="left"/>
        </w:tabs>
        <w:bidi w:val="0"/>
        <w:spacing w:before="0" w:line="240" w:lineRule="auto"/>
        <w:ind w:left="0" w:right="0" w:firstLine="0"/>
        <w:jc w:val="both"/>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15"/>
      <w:bookmarkEnd w:id="1116"/>
      <w:bookmarkEnd w:id="1118"/>
    </w:p>
    <w:p>
      <w:pPr>
        <w:pStyle w:val="Style26"/>
        <w:keepNext w:val="0"/>
        <w:keepLines w:val="0"/>
        <w:widowControl w:val="0"/>
        <w:shd w:val="clear" w:color="auto" w:fill="auto"/>
        <w:bidi w:val="0"/>
        <w:spacing w:before="0" w:after="26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8" w:val="left"/>
        </w:tabs>
        <w:bidi w:val="0"/>
        <w:spacing w:before="0" w:line="240" w:lineRule="auto"/>
        <w:ind w:left="0" w:right="0" w:firstLine="0"/>
        <w:jc w:val="both"/>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19"/>
      <w:bookmarkEnd w:id="1120"/>
      <w:bookmarkEnd w:id="1122"/>
    </w:p>
    <w:p>
      <w:pPr>
        <w:pStyle w:val="Style26"/>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322" w:lineRule="exact"/>
        <w:ind w:left="0" w:right="0" w:firstLine="0"/>
        <w:jc w:val="both"/>
      </w:pPr>
      <w:r>
        <w:rPr>
          <w:color w:val="000000"/>
          <w:spacing w:val="0"/>
          <w:w w:val="100"/>
          <w:position w:val="0"/>
        </w:rPr>
        <w:t>是否需要调整年初资产负债表科目</w:t>
      </w:r>
    </w:p>
    <w:p>
      <w:pPr>
        <w:pStyle w:val="Style26"/>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合并资产负债表</w:t>
      </w:r>
    </w:p>
    <w:p>
      <w:pPr>
        <w:pStyle w:val="Style26"/>
        <w:keepNext w:val="0"/>
        <w:keepLines w:val="0"/>
        <w:widowControl w:val="0"/>
        <w:shd w:val="clear" w:color="auto" w:fill="auto"/>
        <w:bidi w:val="0"/>
        <w:spacing w:before="0" w:after="80" w:line="322" w:lineRule="exact"/>
        <w:ind w:left="0" w:right="0" w:firstLine="0"/>
        <w:jc w:val="both"/>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926,780,292.82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926,780,292.82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69,795,091.24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69,795,091.24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666,958.23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666,958.23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4,075,840.58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4,075,840.58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20,993,327.59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20,993,327.59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109,056,467.22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109,056,467.22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5,616,783.81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5,616,783.81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1,136,984,761.49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1,136,984,761.49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368,186,169.46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368,186,169.46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19,580,692.38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19,580,692.38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467,197,104.76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467,197,104.76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392,831.55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392,831.55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32,140,200.89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32,140,200.89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52,681,488.32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52,681,488.32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40,359,243.33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40,359,243.33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23,975,735.51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23,975,735.51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28,870,534.45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28,870,534.45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1,001,362,779.76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1,033,502,980.65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32,140,200.89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2,138,347,541.25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2,170,487,742.14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32,140,200.89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123,158,231.94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123,158,231.94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23,100,129.15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23,100,129.15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58,519,859.25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58,258,217.75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-261,641.50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27,783,678.61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27,783,678.61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24,253,668.50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24,253,668.50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9,491,468.24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9,491,468.24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40,853,773.41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38,999,183.83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-1,854,589.58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106,880.78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106,880.78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307,277,113.21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305,160,882.13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-2,116,231.08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37,404,785.93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37,404,785.93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10,442,914.10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10,442,914.10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10,351,655.69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10,351,655.69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34,777,891.86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34,777,891.86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55,572,461.65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92,977,247.58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37,404,785.93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362,849,574.86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398,138,129.71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35,288,554.85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498,344,263.00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498,344,263.00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875,577,669.05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875,577,669.05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40,518,032.85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40,518,032.85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65,405,955.59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65,354,147.44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-51,808.15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281,083,267.13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279,275,554.83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-1,807,712.30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1,679,893,121.92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1,678,033,601.47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-1,859,520.45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95,604,844.47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94,316,010.96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-1,288,833.51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1,775,497,966.39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1,772,349,612.43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-3,148,353.96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2,138,347,541.25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2,170,487,742.14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32,140,200.89</w:t>
            </w:r>
          </w:p>
        </w:tc>
      </w:tr>
    </w:tbl>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调整情况说明</w:t>
      </w:r>
    </w:p>
    <w:p>
      <w:pPr>
        <w:pStyle w:val="Style26"/>
        <w:keepNext w:val="0"/>
        <w:keepLines w:val="0"/>
        <w:widowControl w:val="0"/>
        <w:shd w:val="clear" w:color="auto" w:fill="auto"/>
        <w:bidi w:val="0"/>
        <w:spacing w:before="0" w:after="80" w:line="360" w:lineRule="exact"/>
        <w:ind w:left="0" w:right="0" w:firstLine="0"/>
        <w:jc w:val="left"/>
      </w:pPr>
      <w:r>
        <w:rPr>
          <w:color w:val="000000"/>
          <w:spacing w:val="0"/>
          <w:w w:val="100"/>
          <w:position w:val="0"/>
        </w:rPr>
        <w:t>母公司资产负债表 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544,889,235.39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544,889,235.39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35,145,180.40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35,145,180.40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2,296,721.26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2,296,721.26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127,664,123.06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127,664,123.06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10,387,166.27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10,387,166.27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3,557,764.76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3,557,764.76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723,940,191.14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723,940,191.14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986,633,814.83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986,633,814.83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362,186,169.46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362,186,169.46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16,794,446.48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16,794,446.48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78,445,090.30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78,445,090.30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10,613,962.57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10,613,962.57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2,229,064.32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2,229,064.32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8,080,434.96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8,080,434.96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9,561,841.45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9,561,841.45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1,463,930,861.80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1,474,544,824.37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10,613,962.57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2,187,871,052.94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2,198,485,015.51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10,613,962.57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123,158,231.94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123,158,231.94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12,933,591.86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12,933,591.86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26,647,815.95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26,386,174.45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-261,641.50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13,992,049.75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13,992,049.75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6,486,522.25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6,486,522.25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2,796,557.29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2,796,557.29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174,329,544.24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174,329,544.24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360,344,313.28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360,082,671.78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-261,641.50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11,393,685.57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11,393,685.57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29,131,709.61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29,131,709.61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29,131,709.61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40,525,395.18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11,393,685.57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389,476,022.89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400,608,066.96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11,132,044.07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498,344,263.00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498,344,263.00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892,670,004.94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892,670,004.94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40,518,032.85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40,518,032.85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64,168,657.83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64,116,849.68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-51,808.15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383,730,137.13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383,263,863.78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-466,273.35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1,798,395,030.05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1,797,876,948.55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-518,081.50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2,187,871,052.94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2,198,485,015.51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10,613,962.57</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34"/>
        <w:keepNext/>
        <w:keepLines/>
        <w:widowControl w:val="0"/>
        <w:shd w:val="clear" w:color="auto" w:fill="auto"/>
        <w:tabs>
          <w:tab w:pos="478" w:val="left"/>
        </w:tabs>
        <w:bidi w:val="0"/>
        <w:spacing w:before="0" w:after="36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shd w:val="clear" w:color="auto" w:fill="FFFFFF"/>
        </w:rPr>
        <w:t>（</w:t>
      </w:r>
      <w:bookmarkEnd w:id="1125"/>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23"/>
      <w:bookmarkEnd w:id="1124"/>
      <w:bookmarkEnd w:id="1126"/>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27"/>
      <w:bookmarkEnd w:id="1128"/>
      <w:bookmarkEnd w:id="1129"/>
    </w:p>
    <w:p>
      <w:pPr>
        <w:pStyle w:val="Style21"/>
        <w:keepNext/>
        <w:keepLines/>
        <w:widowControl w:val="0"/>
        <w:shd w:val="clear" w:color="auto" w:fill="auto"/>
        <w:bidi w:val="0"/>
        <w:spacing w:before="0" w:after="36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六</w:t>
      </w:r>
      <w:bookmarkEnd w:id="1132"/>
      <w:r>
        <w:rPr>
          <w:color w:val="000000"/>
          <w:spacing w:val="0"/>
          <w:w w:val="100"/>
          <w:position w:val="0"/>
        </w:rPr>
        <w:t>、税项</w:t>
      </w:r>
      <w:bookmarkEnd w:id="1130"/>
      <w:bookmarkEnd w:id="1131"/>
      <w:bookmarkEnd w:id="1133"/>
    </w:p>
    <w:p>
      <w:pPr>
        <w:pStyle w:val="Style29"/>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34"/>
      <w:bookmarkEnd w:id="1135"/>
      <w:bookmarkEnd w:id="1136"/>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北京中科彩技术有限公司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鸿博昊天科技有限公司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重庆市鸿海印务有限公司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四川鸿海印务有限公司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四川玉屏池酒业有限公司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鸿博（福建）数据网络科技股份有限公司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福州港龙贸易有限公司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福建鸿博致远信息科技有限公司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广州彩创网络技术有限公司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北京昊天国彩印刷有限公司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北京科信盛彩投资有限公司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钻研（北京）国际文化传媒有限公司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无锡双龙信息纸有限公司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开封鸿博股权投资有限公司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乐特瑞（海南）科技有限公司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上海弘博信息技术有限公司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成都标点体育文化发展有限公司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珠海寰博科技有限公司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香港鸿博集团有限公司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亿科集团有限公司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bl>
    <w:p>
      <w:pPr>
        <w:widowControl w:val="0"/>
        <w:spacing w:after="99" w:line="1" w:lineRule="exact"/>
      </w:pPr>
    </w:p>
    <w:p>
      <w:pPr>
        <w:pStyle w:val="Style29"/>
        <w:keepNext/>
        <w:keepLines/>
        <w:widowControl w:val="0"/>
        <w:shd w:val="clear" w:color="auto" w:fill="auto"/>
        <w:bidi w:val="0"/>
        <w:spacing w:before="0" w:after="220" w:line="466" w:lineRule="exact"/>
        <w:ind w:left="0" w:right="0" w:firstLine="0"/>
        <w:jc w:val="left"/>
      </w:pPr>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37"/>
      <w:bookmarkEnd w:id="1138"/>
      <w:bookmarkEnd w:id="1139"/>
    </w:p>
    <w:p>
      <w:pPr>
        <w:pStyle w:val="Style10"/>
        <w:keepNext w:val="0"/>
        <w:keepLines w:val="0"/>
        <w:widowControl w:val="0"/>
        <w:shd w:val="clear" w:color="auto" w:fill="auto"/>
        <w:tabs>
          <w:tab w:pos="904" w:val="left"/>
        </w:tabs>
        <w:bidi w:val="0"/>
        <w:spacing w:before="0" w:line="466" w:lineRule="exact"/>
        <w:ind w:left="0" w:right="0" w:firstLine="440"/>
        <w:jc w:val="both"/>
      </w:pPr>
      <w:bookmarkStart w:id="1140" w:name="bookmark1140"/>
      <w:r>
        <w:rPr>
          <w:color w:val="000000"/>
          <w:spacing w:val="0"/>
          <w:w w:val="100"/>
          <w:position w:val="0"/>
        </w:rPr>
        <w:t>（</w:t>
      </w:r>
      <w:bookmarkEnd w:id="1140"/>
      <w:r>
        <w:rPr>
          <w:color w:val="000000"/>
          <w:spacing w:val="0"/>
          <w:w w:val="100"/>
          <w:position w:val="0"/>
        </w:rPr>
        <w:t>1）</w:t>
        <w:tab/>
      </w:r>
      <w:r>
        <w:rPr>
          <w:color w:val="000000"/>
          <w:spacing w:val="0"/>
          <w:w w:val="100"/>
          <w:position w:val="0"/>
        </w:rPr>
        <w:t>增值税优惠</w:t>
      </w:r>
    </w:p>
    <w:p>
      <w:pPr>
        <w:pStyle w:val="Style10"/>
        <w:keepNext w:val="0"/>
        <w:keepLines w:val="0"/>
        <w:widowControl w:val="0"/>
        <w:shd w:val="clear" w:color="auto" w:fill="auto"/>
        <w:bidi w:val="0"/>
        <w:spacing w:before="0" w:line="466" w:lineRule="exact"/>
        <w:ind w:left="0" w:right="0" w:firstLine="440"/>
        <w:jc w:val="both"/>
      </w:pPr>
      <w:r>
        <w:rPr>
          <w:color w:val="000000"/>
          <w:spacing w:val="0"/>
          <w:w w:val="100"/>
          <w:position w:val="0"/>
        </w:rPr>
        <w:t>本公司鸿博股份为福利企业，根据财政部和国家税务总局《关于促进残疾人就业增值税优惠政策的通 知》（财税</w:t>
      </w:r>
      <w:r>
        <w:rPr>
          <w:color w:val="000000"/>
          <w:spacing w:val="0"/>
          <w:w w:val="100"/>
          <w:position w:val="0"/>
        </w:rPr>
        <w:t>[2016]52</w:t>
      </w:r>
      <w:r>
        <w:rPr>
          <w:color w:val="000000"/>
          <w:spacing w:val="0"/>
          <w:w w:val="100"/>
          <w:position w:val="0"/>
        </w:rPr>
        <w:t>号）的规定，自</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日起实行由税务机关按纳税人安置残疾人的人数，限 额即征即退增值税的办法。安置的每位残疾人每月可退还的增值税具体限额，由县级以上税务机关根据纳 税人所在区县（含县级市、旗，下同）适用的经省（含自治区、直辖市、计划单列市，下同）人民政府批 准的月最低工资标准的</w:t>
      </w:r>
      <w:r>
        <w:rPr>
          <w:color w:val="000000"/>
          <w:spacing w:val="0"/>
          <w:w w:val="100"/>
          <w:position w:val="0"/>
        </w:rPr>
        <w:t>4</w:t>
      </w:r>
      <w:r>
        <w:rPr>
          <w:color w:val="000000"/>
          <w:spacing w:val="0"/>
          <w:w w:val="100"/>
          <w:position w:val="0"/>
        </w:rPr>
        <w:t>倍确定。</w:t>
      </w:r>
    </w:p>
    <w:p>
      <w:pPr>
        <w:pStyle w:val="Style10"/>
        <w:keepNext w:val="0"/>
        <w:keepLines w:val="0"/>
        <w:widowControl w:val="0"/>
        <w:shd w:val="clear" w:color="auto" w:fill="auto"/>
        <w:tabs>
          <w:tab w:pos="904" w:val="left"/>
        </w:tabs>
        <w:bidi w:val="0"/>
        <w:spacing w:before="0" w:line="466" w:lineRule="exact"/>
        <w:ind w:left="0" w:right="0" w:firstLine="440"/>
        <w:jc w:val="both"/>
      </w:pPr>
      <w:bookmarkStart w:id="1141" w:name="bookmark1141"/>
      <w:r>
        <w:rPr>
          <w:color w:val="000000"/>
          <w:spacing w:val="0"/>
          <w:w w:val="100"/>
          <w:position w:val="0"/>
        </w:rPr>
        <w:t>（</w:t>
      </w:r>
      <w:bookmarkEnd w:id="1141"/>
      <w:r>
        <w:rPr>
          <w:color w:val="000000"/>
          <w:spacing w:val="0"/>
          <w:w w:val="100"/>
          <w:position w:val="0"/>
        </w:rPr>
        <w:t>2）</w:t>
        <w:tab/>
      </w:r>
      <w:r>
        <w:rPr>
          <w:color w:val="000000"/>
          <w:spacing w:val="0"/>
          <w:w w:val="100"/>
          <w:position w:val="0"/>
        </w:rPr>
        <w:t>企业所得税优惠</w:t>
      </w:r>
    </w:p>
    <w:p>
      <w:pPr>
        <w:pStyle w:val="Style10"/>
        <w:keepNext w:val="0"/>
        <w:keepLines w:val="0"/>
        <w:widowControl w:val="0"/>
        <w:numPr>
          <w:ilvl w:val="0"/>
          <w:numId w:val="115"/>
        </w:numPr>
        <w:shd w:val="clear" w:color="auto" w:fill="auto"/>
        <w:tabs>
          <w:tab w:pos="790" w:val="left"/>
        </w:tabs>
        <w:bidi w:val="0"/>
        <w:spacing w:before="0" w:line="458" w:lineRule="exact"/>
        <w:ind w:left="0" w:right="0" w:firstLine="440"/>
        <w:jc w:val="both"/>
      </w:pPr>
      <w:bookmarkStart w:id="1142" w:name="bookmark1142"/>
      <w:bookmarkEnd w:id="1142"/>
      <w:r>
        <w:rPr>
          <w:color w:val="000000"/>
          <w:spacing w:val="0"/>
          <w:w w:val="100"/>
          <w:position w:val="0"/>
        </w:rPr>
        <w:t>根据《高新技术企业认定管理办法》及《中华人民共和国企业所得税法》等有关规定，本公司鸿博 股份有限公司于</w:t>
      </w:r>
      <w:r>
        <w:rPr>
          <w:color w:val="000000"/>
          <w:spacing w:val="0"/>
          <w:w w:val="100"/>
          <w:position w:val="0"/>
        </w:rPr>
        <w:t>2020</w:t>
      </w:r>
      <w:r>
        <w:rPr>
          <w:color w:val="000000"/>
          <w:spacing w:val="0"/>
          <w:w w:val="100"/>
          <w:position w:val="0"/>
        </w:rPr>
        <w:t>年被认定为高新技术企业，并取得编号为</w:t>
      </w:r>
      <w:r>
        <w:rPr>
          <w:color w:val="000000"/>
          <w:spacing w:val="0"/>
          <w:w w:val="100"/>
          <w:position w:val="0"/>
        </w:rPr>
        <w:t>“GR202035001551”</w:t>
      </w:r>
      <w:r>
        <w:rPr>
          <w:color w:val="000000"/>
          <w:spacing w:val="0"/>
          <w:w w:val="100"/>
          <w:position w:val="0"/>
        </w:rPr>
        <w:t>高新技术企业证书， 于</w:t>
      </w:r>
      <w:r>
        <w:rPr>
          <w:color w:val="000000"/>
          <w:spacing w:val="0"/>
          <w:w w:val="100"/>
          <w:position w:val="0"/>
        </w:rPr>
        <w:t>2020</w:t>
      </w:r>
      <w:r>
        <w:rPr>
          <w:color w:val="000000"/>
          <w:spacing w:val="0"/>
          <w:w w:val="100"/>
          <w:position w:val="0"/>
        </w:rPr>
        <w:t>年至</w:t>
      </w:r>
      <w:r>
        <w:rPr>
          <w:color w:val="000000"/>
          <w:spacing w:val="0"/>
          <w:w w:val="100"/>
          <w:position w:val="0"/>
        </w:rPr>
        <w:t>2022</w:t>
      </w:r>
      <w:r>
        <w:rPr>
          <w:color w:val="000000"/>
          <w:spacing w:val="0"/>
          <w:w w:val="100"/>
          <w:position w:val="0"/>
        </w:rPr>
        <w:t>年企业所得税按</w:t>
      </w:r>
      <w:r>
        <w:rPr>
          <w:color w:val="000000"/>
          <w:spacing w:val="0"/>
          <w:w w:val="100"/>
          <w:position w:val="0"/>
        </w:rPr>
        <w:t>15%</w:t>
      </w:r>
      <w:r>
        <w:rPr>
          <w:color w:val="000000"/>
          <w:spacing w:val="0"/>
          <w:w w:val="100"/>
          <w:position w:val="0"/>
        </w:rPr>
        <w:t>的税率征收；</w:t>
      </w:r>
    </w:p>
    <w:p>
      <w:pPr>
        <w:pStyle w:val="Style10"/>
        <w:keepNext w:val="0"/>
        <w:keepLines w:val="0"/>
        <w:widowControl w:val="0"/>
        <w:shd w:val="clear" w:color="auto" w:fill="auto"/>
        <w:bidi w:val="0"/>
        <w:spacing w:before="0" w:line="466" w:lineRule="exact"/>
        <w:ind w:left="0" w:right="0" w:firstLine="440"/>
        <w:jc w:val="both"/>
      </w:pPr>
      <w:r>
        <w:rPr>
          <w:color w:val="000000"/>
          <w:spacing w:val="0"/>
          <w:w w:val="100"/>
          <w:position w:val="0"/>
        </w:rPr>
        <w:t>孙公司北京中科彩技术有限公司于</w:t>
      </w:r>
      <w:r>
        <w:rPr>
          <w:color w:val="000000"/>
          <w:spacing w:val="0"/>
          <w:w w:val="100"/>
          <w:position w:val="0"/>
        </w:rPr>
        <w:t>2019</w:t>
      </w:r>
      <w:r>
        <w:rPr>
          <w:color w:val="000000"/>
          <w:spacing w:val="0"/>
          <w:w w:val="100"/>
          <w:position w:val="0"/>
        </w:rPr>
        <w:t>年被认定为高新技术企业，并取得编号为</w:t>
      </w:r>
      <w:r>
        <w:rPr>
          <w:color w:val="000000"/>
          <w:spacing w:val="0"/>
          <w:w w:val="100"/>
          <w:position w:val="0"/>
        </w:rPr>
        <w:t xml:space="preserve">“GR201911003073” </w:t>
      </w:r>
      <w:r>
        <w:rPr>
          <w:color w:val="000000"/>
          <w:spacing w:val="0"/>
          <w:w w:val="100"/>
          <w:position w:val="0"/>
        </w:rPr>
        <w:t>高新技术企业证书，于</w:t>
      </w:r>
      <w:r>
        <w:rPr>
          <w:color w:val="000000"/>
          <w:spacing w:val="0"/>
          <w:w w:val="100"/>
          <w:position w:val="0"/>
        </w:rPr>
        <w:t>2019</w:t>
      </w:r>
      <w:r>
        <w:rPr>
          <w:color w:val="000000"/>
          <w:spacing w:val="0"/>
          <w:w w:val="100"/>
          <w:position w:val="0"/>
        </w:rPr>
        <w:t>年至</w:t>
      </w:r>
      <w:r>
        <w:rPr>
          <w:color w:val="000000"/>
          <w:spacing w:val="0"/>
          <w:w w:val="100"/>
          <w:position w:val="0"/>
        </w:rPr>
        <w:t>2021</w:t>
      </w:r>
      <w:r>
        <w:rPr>
          <w:color w:val="000000"/>
          <w:spacing w:val="0"/>
          <w:w w:val="100"/>
          <w:position w:val="0"/>
        </w:rPr>
        <w:t>年企业所得税按</w:t>
      </w:r>
      <w:r>
        <w:rPr>
          <w:color w:val="000000"/>
          <w:spacing w:val="0"/>
          <w:w w:val="100"/>
          <w:position w:val="0"/>
        </w:rPr>
        <w:t>15%</w:t>
      </w:r>
      <w:r>
        <w:rPr>
          <w:color w:val="000000"/>
          <w:spacing w:val="0"/>
          <w:w w:val="100"/>
          <w:position w:val="0"/>
        </w:rPr>
        <w:t>的税率征收；</w:t>
      </w:r>
    </w:p>
    <w:p>
      <w:pPr>
        <w:pStyle w:val="Style10"/>
        <w:keepNext w:val="0"/>
        <w:keepLines w:val="0"/>
        <w:widowControl w:val="0"/>
        <w:shd w:val="clear" w:color="auto" w:fill="auto"/>
        <w:bidi w:val="0"/>
        <w:spacing w:before="0" w:line="466" w:lineRule="exact"/>
        <w:ind w:left="0" w:right="0" w:firstLine="440"/>
        <w:jc w:val="both"/>
      </w:pPr>
      <w:r>
        <w:rPr>
          <w:color w:val="000000"/>
          <w:spacing w:val="0"/>
          <w:w w:val="100"/>
          <w:position w:val="0"/>
        </w:rPr>
        <w:t>子公司鸿博昊天科技有限公司于</w:t>
      </w:r>
      <w:r>
        <w:rPr>
          <w:color w:val="000000"/>
          <w:spacing w:val="0"/>
          <w:w w:val="100"/>
          <w:position w:val="0"/>
        </w:rPr>
        <w:t>2020</w:t>
      </w:r>
      <w:r>
        <w:rPr>
          <w:color w:val="000000"/>
          <w:spacing w:val="0"/>
          <w:w w:val="100"/>
          <w:position w:val="0"/>
        </w:rPr>
        <w:t>年被认定为高新技术企业，并取得编号为</w:t>
      </w:r>
      <w:r>
        <w:rPr>
          <w:color w:val="000000"/>
          <w:spacing w:val="0"/>
          <w:w w:val="100"/>
          <w:position w:val="0"/>
        </w:rPr>
        <w:t xml:space="preserve">“GR202011001389” </w:t>
      </w:r>
      <w:r>
        <w:rPr>
          <w:color w:val="000000"/>
          <w:spacing w:val="0"/>
          <w:w w:val="100"/>
          <w:position w:val="0"/>
        </w:rPr>
        <w:t>高新技术企业证书，于</w:t>
      </w:r>
      <w:r>
        <w:rPr>
          <w:color w:val="000000"/>
          <w:spacing w:val="0"/>
          <w:w w:val="100"/>
          <w:position w:val="0"/>
        </w:rPr>
        <w:t>2020</w:t>
      </w:r>
      <w:r>
        <w:rPr>
          <w:color w:val="000000"/>
          <w:spacing w:val="0"/>
          <w:w w:val="100"/>
          <w:position w:val="0"/>
        </w:rPr>
        <w:t>年至</w:t>
      </w:r>
      <w:r>
        <w:rPr>
          <w:color w:val="000000"/>
          <w:spacing w:val="0"/>
          <w:w w:val="100"/>
          <w:position w:val="0"/>
        </w:rPr>
        <w:t>2022</w:t>
      </w:r>
      <w:r>
        <w:rPr>
          <w:color w:val="000000"/>
          <w:spacing w:val="0"/>
          <w:w w:val="100"/>
          <w:position w:val="0"/>
        </w:rPr>
        <w:t>年企业所得税按</w:t>
      </w:r>
      <w:r>
        <w:rPr>
          <w:color w:val="000000"/>
          <w:spacing w:val="0"/>
          <w:w w:val="100"/>
          <w:position w:val="0"/>
        </w:rPr>
        <w:t>15%</w:t>
      </w:r>
      <w:r>
        <w:rPr>
          <w:color w:val="000000"/>
          <w:spacing w:val="0"/>
          <w:w w:val="100"/>
          <w:position w:val="0"/>
        </w:rPr>
        <w:t>的税率征收。</w:t>
      </w:r>
    </w:p>
    <w:p>
      <w:pPr>
        <w:pStyle w:val="Style10"/>
        <w:keepNext w:val="0"/>
        <w:keepLines w:val="0"/>
        <w:widowControl w:val="0"/>
        <w:numPr>
          <w:ilvl w:val="0"/>
          <w:numId w:val="115"/>
        </w:numPr>
        <w:shd w:val="clear" w:color="auto" w:fill="auto"/>
        <w:tabs>
          <w:tab w:pos="785" w:val="left"/>
        </w:tabs>
        <w:bidi w:val="0"/>
        <w:spacing w:before="0" w:line="466" w:lineRule="exact"/>
        <w:ind w:left="0" w:right="0" w:firstLine="440"/>
        <w:jc w:val="both"/>
      </w:pPr>
      <w:bookmarkStart w:id="1143" w:name="bookmark1143"/>
      <w:bookmarkEnd w:id="1143"/>
      <w:r>
        <w:rPr>
          <w:color w:val="000000"/>
          <w:spacing w:val="0"/>
          <w:w w:val="100"/>
          <w:position w:val="0"/>
        </w:rPr>
        <w:t>根据财政部和国家税务总局《关于安置残疾人员就业有关企业所得税优惠政策问题的通知》（财税 字</w:t>
      </w:r>
      <w:r>
        <w:rPr>
          <w:color w:val="000000"/>
          <w:spacing w:val="0"/>
          <w:w w:val="100"/>
          <w:position w:val="0"/>
        </w:rPr>
        <w:t>[2009]70</w:t>
      </w:r>
      <w:r>
        <w:rPr>
          <w:color w:val="000000"/>
          <w:spacing w:val="0"/>
          <w:w w:val="100"/>
          <w:position w:val="0"/>
        </w:rPr>
        <w:t xml:space="preserve">号）的规定，报告期本公司企业所得税的优惠政策为按在税前列支残疾人工资的基础上加计 </w:t>
      </w:r>
      <w:r>
        <w:rPr>
          <w:color w:val="000000"/>
          <w:spacing w:val="0"/>
          <w:w w:val="100"/>
          <w:position w:val="0"/>
        </w:rPr>
        <w:t>100%</w:t>
      </w:r>
      <w:r>
        <w:rPr>
          <w:color w:val="000000"/>
          <w:spacing w:val="0"/>
          <w:w w:val="100"/>
          <w:position w:val="0"/>
        </w:rPr>
        <w:t>扣除。</w:t>
      </w:r>
    </w:p>
    <w:p>
      <w:pPr>
        <w:pStyle w:val="Style10"/>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 xml:space="preserve">根据财政部、国家税务总局及海关总署联合发文的《财政部税务总局国家发展改革委关于延续西部大 </w:t>
      </w:r>
      <w:r>
        <w:rPr>
          <w:color w:val="000000"/>
          <w:spacing w:val="0"/>
          <w:w w:val="100"/>
          <w:position w:val="0"/>
        </w:rPr>
        <w:t>开发企业所得税政策的公告》</w:t>
      </w:r>
      <w:r>
        <w:rPr>
          <w:color w:val="000000"/>
          <w:spacing w:val="0"/>
          <w:w w:val="100"/>
          <w:position w:val="0"/>
        </w:rPr>
        <w:t>（2020</w:t>
      </w:r>
      <w:r>
        <w:rPr>
          <w:color w:val="000000"/>
          <w:spacing w:val="0"/>
          <w:w w:val="100"/>
          <w:position w:val="0"/>
        </w:rPr>
        <w:t>年第</w:t>
      </w:r>
      <w:r>
        <w:rPr>
          <w:color w:val="000000"/>
          <w:spacing w:val="0"/>
          <w:w w:val="100"/>
          <w:position w:val="0"/>
        </w:rPr>
        <w:t>23</w:t>
      </w:r>
      <w:r>
        <w:rPr>
          <w:color w:val="000000"/>
          <w:spacing w:val="0"/>
          <w:w w:val="100"/>
          <w:position w:val="0"/>
        </w:rPr>
        <w:t>号）的规定，子公司重庆市鸿海印务有限公司及孙公司四川 鸿海印务有限公司自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2030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日的企业所得税按</w:t>
      </w:r>
      <w:r>
        <w:rPr>
          <w:color w:val="000000"/>
          <w:spacing w:val="0"/>
          <w:w w:val="100"/>
          <w:position w:val="0"/>
        </w:rPr>
        <w:t>15%</w:t>
      </w:r>
      <w:r>
        <w:rPr>
          <w:color w:val="000000"/>
          <w:spacing w:val="0"/>
          <w:w w:val="100"/>
          <w:position w:val="0"/>
        </w:rPr>
        <w:t>的税率征收。</w:t>
      </w:r>
    </w:p>
    <w:p>
      <w:pPr>
        <w:pStyle w:val="Style29"/>
        <w:keepNext/>
        <w:keepLines/>
        <w:widowControl w:val="0"/>
        <w:shd w:val="clear" w:color="auto" w:fill="auto"/>
        <w:bidi w:val="0"/>
        <w:spacing w:before="0" w:after="160" w:line="48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w:t>
      </w:r>
      <w:bookmarkEnd w:id="1146"/>
      <w:r>
        <w:rPr>
          <w:color w:val="000000"/>
          <w:spacing w:val="0"/>
          <w:w w:val="100"/>
          <w:position w:val="0"/>
        </w:rPr>
        <w:t>、其他</w:t>
      </w:r>
      <w:bookmarkEnd w:id="1144"/>
      <w:bookmarkEnd w:id="1145"/>
      <w:bookmarkEnd w:id="114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七</w:t>
      </w:r>
      <w:bookmarkEnd w:id="1150"/>
      <w:r>
        <w:rPr>
          <w:color w:val="000000"/>
          <w:spacing w:val="0"/>
          <w:w w:val="100"/>
          <w:position w:val="0"/>
        </w:rPr>
        <w:t>、合并财务报表项目注释</w:t>
      </w:r>
      <w:bookmarkEnd w:id="1148"/>
      <w:bookmarkEnd w:id="1149"/>
      <w:bookmarkEnd w:id="1151"/>
    </w:p>
    <w:p>
      <w:pPr>
        <w:pStyle w:val="Style29"/>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52"/>
      <w:bookmarkEnd w:id="1153"/>
      <w:bookmarkEnd w:id="1154"/>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33,884.47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8,912.98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1,013,418,236.62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904,872,874.87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27,502,826.27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21,898,504.97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1,040,954,947.36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926,780,292.82</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24,465,764.51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21,806,929.24</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日，本公司不存在质押或有潜在收回风险的款项。</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其中受限制的货币资金明细如下：</w:t>
      </w:r>
    </w:p>
    <w:tbl>
      <w:tblPr>
        <w:tblOverlap w:val="never"/>
        <w:jc w:val="center"/>
        <w:tblLayout w:type="fixed"/>
      </w:tblPr>
      <w:tblGrid>
        <w:gridCol w:w="4838"/>
        <w:gridCol w:w="2558"/>
        <w:gridCol w:w="2280"/>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23,918,629.20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20,695,307.90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69,000.00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被冻结的银行存款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47,135.31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542,621.34</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24,465,764.51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21,806,929.24</w:t>
            </w:r>
          </w:p>
        </w:tc>
      </w:tr>
    </w:tbl>
    <w:p>
      <w:pPr>
        <w:widowControl w:val="0"/>
        <w:spacing w:after="679" w:line="1" w:lineRule="exact"/>
      </w:pPr>
    </w:p>
    <w:p>
      <w:pPr>
        <w:pStyle w:val="Style29"/>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55"/>
      <w:bookmarkEnd w:id="1156"/>
      <w:bookmarkEnd w:id="1157"/>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以公允价值计量且其变动计入当期损益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3</w:t>
      </w:r>
      <w:bookmarkEnd w:id="1160"/>
      <w:r>
        <w:rPr>
          <w:color w:val="000000"/>
          <w:spacing w:val="0"/>
          <w:w w:val="100"/>
          <w:position w:val="0"/>
        </w:rPr>
        <w:t>、衍生金融资产</w:t>
      </w:r>
      <w:bookmarkEnd w:id="1158"/>
      <w:bookmarkEnd w:id="1159"/>
      <w:bookmarkEnd w:id="1161"/>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4</w:t>
      </w:r>
      <w:bookmarkEnd w:id="1164"/>
      <w:r>
        <w:rPr>
          <w:color w:val="000000"/>
          <w:spacing w:val="0"/>
          <w:w w:val="100"/>
          <w:position w:val="0"/>
        </w:rPr>
        <w:t>、应收票据</w:t>
      </w:r>
      <w:bookmarkEnd w:id="1162"/>
      <w:bookmarkEnd w:id="1163"/>
      <w:bookmarkEnd w:id="1165"/>
    </w:p>
    <w:p>
      <w:pPr>
        <w:pStyle w:val="Style34"/>
        <w:keepNext/>
        <w:keepLines/>
        <w:widowControl w:val="0"/>
        <w:shd w:val="clear" w:color="auto" w:fill="auto"/>
        <w:bidi w:val="0"/>
        <w:spacing w:before="0" w:line="240" w:lineRule="auto"/>
        <w:ind w:left="0" w:right="0" w:firstLine="0"/>
        <w:jc w:val="both"/>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66"/>
      <w:bookmarkEnd w:id="1167"/>
      <w:bookmarkEnd w:id="1169"/>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按单项计提坏账准备:</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计提理由</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按组合计提坏账准备:</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如是按照预期信用损失一般模型计提应收票据坏账准备，请参照其他应收款的披露方式披露坏账准备的相关信息:</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70"/>
      <w:bookmarkEnd w:id="1171"/>
      <w:bookmarkEnd w:id="117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74"/>
      <w:bookmarkEnd w:id="1175"/>
      <w:bookmarkEnd w:id="1177"/>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期末已质押金额</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78"/>
      <w:bookmarkEnd w:id="1179"/>
      <w:bookmarkEnd w:id="1181"/>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期末未终止确认金额</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82"/>
      <w:bookmarkEnd w:id="1183"/>
      <w:bookmarkEnd w:id="1185"/>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期末转应收账款金额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86"/>
      <w:bookmarkEnd w:id="1187"/>
      <w:bookmarkEnd w:id="1189"/>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1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其中重要的应收票据核销情况： 单位：元</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款项是否由关联交 易产生</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29"/>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5</w:t>
      </w:r>
      <w:bookmarkEnd w:id="1192"/>
      <w:r>
        <w:rPr>
          <w:color w:val="000000"/>
          <w:spacing w:val="0"/>
          <w:w w:val="100"/>
          <w:position w:val="0"/>
        </w:rPr>
        <w:t>、应收账款</w:t>
      </w:r>
      <w:bookmarkEnd w:id="1190"/>
      <w:bookmarkEnd w:id="1191"/>
      <w:bookmarkEnd w:id="1193"/>
    </w:p>
    <w:p>
      <w:pPr>
        <w:pStyle w:val="Style34"/>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94"/>
      <w:bookmarkEnd w:id="1195"/>
      <w:bookmarkEnd w:id="1197"/>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单位：元</w:t>
      </w: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6,947,05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6,947,05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9,315,250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9,315,250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186,424,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13,443,6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172,981,2</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80,487,02</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10,691,93</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69,795,091.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186,424,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13,443,6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172,981,2</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80,487,02</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10,691,93</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69,795,091.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193,371, </w:t>
            </w:r>
            <w:r>
              <w:rPr>
                <w:rFonts w:ascii="Times New Roman" w:eastAsia="Times New Roman" w:hAnsi="Times New Roman" w:cs="Times New Roman"/>
                <w:color w:val="000000"/>
                <w:spacing w:val="0"/>
                <w:w w:val="100"/>
                <w:position w:val="0"/>
                <w:sz w:val="18"/>
                <w:szCs w:val="18"/>
              </w:rPr>
              <w:t>984.08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20,390,7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172,981,2</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89,802,27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20,007,18</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69,795,091.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r>
    </w:tbl>
    <w:p>
      <w:pPr>
        <w:widowControl w:val="0"/>
        <w:spacing w:after="79" w:line="1" w:lineRule="exact"/>
      </w:pPr>
    </w:p>
    <w:p>
      <w:pPr>
        <w:pStyle w:val="Style45"/>
        <w:keepNext w:val="0"/>
        <w:keepLines w:val="0"/>
        <w:widowControl w:val="0"/>
        <w:shd w:val="clear" w:color="auto" w:fill="auto"/>
        <w:bidi w:val="0"/>
        <w:spacing w:before="0" w:after="160" w:line="240" w:lineRule="auto"/>
        <w:ind w:left="0" w:right="0" w:firstLine="0"/>
        <w:jc w:val="left"/>
      </w:pPr>
      <w:r>
        <w:rPr>
          <w:rFonts w:ascii="SimSun" w:eastAsia="SimSun" w:hAnsi="SimSun" w:cs="SimSun"/>
          <w:color w:val="000000"/>
          <w:spacing w:val="0"/>
          <w:w w:val="100"/>
          <w:position w:val="0"/>
          <w:sz w:val="17"/>
          <w:szCs w:val="17"/>
        </w:rPr>
        <w:t>按单项计提坏账准备：</w:t>
      </w:r>
      <w:r>
        <w:rPr>
          <w:color w:val="000000"/>
          <w:spacing w:val="0"/>
          <w:w w:val="100"/>
          <w:position w:val="0"/>
        </w:rPr>
        <w:t>6,947,054.10</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厦门我样动漫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红厨帽国际广告传媒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885,759.23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885,759.23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武汉华窖酒业有限公司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723,866.30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723,866.30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深圳航信德诚科技有限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酒立得（武汉）科技股 份有限公司（李岱）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354,833.10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354,833.10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山东科学技术出版社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339,935.00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339,935.00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邢台市晨凯商贸有限公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320,359.80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320,359.80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北京金碧伟业印刷有限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292,242.00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292,242.00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北京中和永道文化传媒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208,403.00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208,403.00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江苏中江物联网科技有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173,382.66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173,382.66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北京华美鸿业广告传媒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164,448.99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164,448.99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《中国新闻周刊》杂志 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148,248.65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148,248.65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《海外文摘》杂志社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国影智翼（北京）文化 传播有限公司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108,880.92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108,880.92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北京宇际星海广告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中国电信股份有限公司 漳州分公司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121,820.22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121,820.22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上海爱熹熹防伪科技有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134,776.00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134,776.00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1,192,398.21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1,192,398.21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6,947,054.10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6,947,054.10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26"/>
        <w:keepNext w:val="0"/>
        <w:keepLines w:val="0"/>
        <w:widowControl w:val="0"/>
        <w:shd w:val="clear" w:color="auto" w:fill="auto"/>
        <w:bidi w:val="0"/>
        <w:spacing w:before="0" w:after="65" w:line="240" w:lineRule="auto"/>
        <w:ind w:left="0" w:right="0" w:firstLine="0"/>
        <w:jc w:val="left"/>
      </w:pPr>
      <w:r>
        <w:rPr>
          <w:color w:val="000000"/>
          <w:spacing w:val="0"/>
          <w:w w:val="100"/>
          <w:position w:val="0"/>
        </w:rPr>
        <w:t>单位：元</w:t>
      </w:r>
    </w:p>
    <w:p>
      <w:pPr>
        <w:pStyle w:val="Style26"/>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240" w:lineRule="auto"/>
        <w:ind w:left="1960" w:right="0" w:firstLine="0"/>
        <w:jc w:val="left"/>
      </w:pPr>
      <w:r>
        <w:rPr>
          <w:color w:val="000000"/>
          <w:spacing w:val="0"/>
          <w:w w:val="100"/>
          <w:position w:val="0"/>
        </w:rPr>
        <w:t>期末余额</w:t>
      </w:r>
    </w:p>
    <w:p>
      <w:pPr>
        <w:pStyle w:val="Style26"/>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1886" w:val="left"/>
          <w:tab w:leader="hyphen" w:pos="3812" w:val="left"/>
          <w:tab w:leader="hyphen" w:pos="5734" w:val="left"/>
          <w:tab w:leader="hyphen" w:pos="7640" w:val="left"/>
          <w:tab w:leader="hyphen" w:pos="8376" w:val="left"/>
        </w:tabs>
        <w:bidi w:val="0"/>
        <w:spacing w:before="0" w:after="0" w:line="240" w:lineRule="auto"/>
        <w:ind w:left="0" w:right="0" w:firstLine="0"/>
        <w:jc w:val="left"/>
      </w:pPr>
      <w:r>
        <w:rPr>
          <w:color w:val="000000"/>
          <w:spacing w:val="0"/>
          <w:w w:val="100"/>
          <w:position w:val="0"/>
        </w:rPr>
        <w:t>名称</w:t>
        <w:tab/>
        <w:tab/>
        <w:tab/>
        <w:tab/>
        <w:tab/>
      </w:r>
    </w:p>
    <w:p>
      <w:pPr>
        <w:pStyle w:val="Style26"/>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3812" w:val="left"/>
          <w:tab w:pos="5734" w:val="left"/>
          <w:tab w:pos="7640" w:val="left"/>
        </w:tabs>
        <w:bidi w:val="0"/>
        <w:spacing w:before="0" w:after="41" w:line="240" w:lineRule="auto"/>
        <w:ind w:left="1960" w:right="0" w:firstLine="0"/>
        <w:jc w:val="left"/>
      </w:pPr>
      <w:r>
        <w:rPr>
          <w:color w:val="000000"/>
          <w:spacing w:val="0"/>
          <w:w w:val="100"/>
          <w:position w:val="0"/>
        </w:rPr>
        <w:t>账面余额</w:t>
        <w:tab/>
        <w:t>坏账准备</w:t>
        <w:tab/>
        <w:t>计提比例</w:t>
        <w:tab/>
        <w:t>计提理由</w:t>
      </w:r>
    </w:p>
    <w:p>
      <w:pPr>
        <w:pStyle w:val="Style45"/>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13,443,699.33</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176,560,773.62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5,296,823.21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477,232.16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95,446.43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1,602,732.44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641,092.98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799,041.01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559,328.71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670,713.75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536,571.00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6,314,437.00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6,314,437.00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186,424,929.98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13,443,699.33</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按账龄划分的具有类似信用风险特征的应收账款。</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r>
    </w:tbl>
    <w:p>
      <w:pPr>
        <w:widowControl w:val="0"/>
        <w:spacing w:after="119" w:line="1" w:lineRule="exact"/>
      </w:pP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176,587,164.00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645,116.07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2,091,283.44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14,048,420.57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1,075,149.83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1,509,149.19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11,464,121.55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193,371,984.08</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98"/>
      <w:bookmarkEnd w:id="1199"/>
      <w:bookmarkEnd w:id="120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9,315,250.97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1,181,517.70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68,358.20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3,481,356.37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6,947,054.10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10,691,933.93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3,315,161.98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559,739.67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101,177.70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97,520.79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13,443,699.33</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20,007,184.90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4,496,679.68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628,097.87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3,582,534.07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97,520.79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20,390,753.43</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收回方式</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其他变动系并购成都标点公司时点的账面应收账款坏账准备。</w:t>
      </w:r>
    </w:p>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02"/>
      <w:bookmarkEnd w:id="1203"/>
      <w:bookmarkEnd w:id="1205"/>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3,582,534.07</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款项是否由关联交 易产生</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泸州驰坊酒类销售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1,551,903.22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已起诉，对方无财产 可执行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通过内部</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泸州官窖酒类销售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679,728.60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已起诉，对方无财产 可执行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通过内部</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泸州柒腾酒类销售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649,057.72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已起诉，对方无财产 可执行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通过内部</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四川鑫玖汇商贸有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251,046.44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已起诉，对方无财产 可执行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通过内部</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石家庄桥西糖烟酒 食品股份有限公司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144,541.93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已过诉讼时效，据市 场部评估已完全没 有回收的可能。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通过内部</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3,276,277.91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应收账款核销说明：</w:t>
      </w:r>
    </w:p>
    <w:p>
      <w:pPr>
        <w:pStyle w:val="Style34"/>
        <w:keepNext/>
        <w:keepLines/>
        <w:widowControl w:val="0"/>
        <w:shd w:val="clear" w:color="auto" w:fill="auto"/>
        <w:bidi w:val="0"/>
        <w:spacing w:before="0" w:after="400" w:line="240" w:lineRule="auto"/>
        <w:ind w:left="0" w:right="0" w:firstLine="0"/>
        <w:jc w:val="both"/>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06"/>
      <w:bookmarkEnd w:id="1207"/>
      <w:bookmarkEnd w:id="1209"/>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47,885,384.14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1,436,561.52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36,021,573.48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1,080,647.20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23,991,141.00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719,734.23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7,640,100.00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583,959.00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6,731,739.43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201,952.18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122,269,938.05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tabs>
          <w:tab w:pos="478" w:val="left"/>
        </w:tabs>
        <w:bidi w:val="0"/>
        <w:spacing w:before="0" w:after="400" w:line="240" w:lineRule="auto"/>
        <w:ind w:left="0" w:right="0" w:firstLine="0"/>
        <w:jc w:val="both"/>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210"/>
      <w:bookmarkEnd w:id="1211"/>
      <w:bookmarkEnd w:id="1213"/>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tabs>
          <w:tab w:pos="478" w:val="left"/>
        </w:tabs>
        <w:bidi w:val="0"/>
        <w:spacing w:before="0" w:after="360" w:line="240" w:lineRule="auto"/>
        <w:ind w:left="0" w:right="0" w:firstLine="0"/>
        <w:jc w:val="both"/>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214"/>
      <w:bookmarkEnd w:id="1215"/>
      <w:bookmarkEnd w:id="1217"/>
    </w:p>
    <w:p>
      <w:pPr>
        <w:pStyle w:val="Style29"/>
        <w:keepNext/>
        <w:keepLines/>
        <w:widowControl w:val="0"/>
        <w:shd w:val="clear" w:color="auto" w:fill="auto"/>
        <w:bidi w:val="0"/>
        <w:spacing w:before="0" w:line="240" w:lineRule="auto"/>
        <w:ind w:left="0" w:right="0" w:firstLine="0"/>
        <w:jc w:val="both"/>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6</w:t>
      </w:r>
      <w:bookmarkEnd w:id="1220"/>
      <w:r>
        <w:rPr>
          <w:color w:val="000000"/>
          <w:spacing w:val="0"/>
          <w:w w:val="100"/>
          <w:position w:val="0"/>
        </w:rPr>
        <w:t>、应收款项融资</w:t>
      </w:r>
      <w:bookmarkEnd w:id="1218"/>
      <w:bookmarkEnd w:id="1219"/>
      <w:bookmarkEnd w:id="1221"/>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666,958.23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19,405.00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666,958.23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应收款项融资本期增减变动及公允价值变动情况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7</w:t>
      </w:r>
      <w:bookmarkEnd w:id="1224"/>
      <w:r>
        <w:rPr>
          <w:color w:val="000000"/>
          <w:spacing w:val="0"/>
          <w:w w:val="100"/>
          <w:position w:val="0"/>
        </w:rPr>
        <w:t>、预付款项</w:t>
      </w:r>
      <w:bookmarkEnd w:id="1222"/>
      <w:bookmarkEnd w:id="1223"/>
      <w:bookmarkEnd w:id="1225"/>
    </w:p>
    <w:p>
      <w:pPr>
        <w:pStyle w:val="Style34"/>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26"/>
      <w:bookmarkEnd w:id="1227"/>
      <w:bookmarkEnd w:id="1229"/>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14,197,362.84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4,031,580.55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29,971.73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39,260.02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14,233,159.58</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4,075,840.58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380" w:line="36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无</w:t>
      </w:r>
    </w:p>
    <w:p>
      <w:pPr>
        <w:pStyle w:val="Style34"/>
        <w:keepNext/>
        <w:keepLines/>
        <w:widowControl w:val="0"/>
        <w:shd w:val="clear" w:color="auto" w:fill="auto"/>
        <w:bidi w:val="0"/>
        <w:spacing w:before="0" w:after="32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30"/>
      <w:bookmarkEnd w:id="1231"/>
      <w:bookmarkEnd w:id="1233"/>
    </w:p>
    <w:tbl>
      <w:tblPr>
        <w:tblOverlap w:val="never"/>
        <w:jc w:val="center"/>
        <w:tblLayout w:type="fixed"/>
      </w:tblPr>
      <w:tblGrid>
        <w:gridCol w:w="3298"/>
        <w:gridCol w:w="1742"/>
        <w:gridCol w:w="1541"/>
        <w:gridCol w:w="1546"/>
        <w:gridCol w:w="1550"/>
      </w:tblGrid>
      <w:tr>
        <w:trPr>
          <w:trHeight w:val="74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占预付款项总额的</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预付款时间</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未结算原因</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7,059,000.00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49.60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尚未到结算期</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2,683,987.82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尚未到结算期</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尚未到结算期</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623,547.54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尚未到结算期</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206,137.91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尚未到结算期</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12,432,673.27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8</w:t>
      </w:r>
      <w:bookmarkEnd w:id="1236"/>
      <w:r>
        <w:rPr>
          <w:color w:val="000000"/>
          <w:spacing w:val="0"/>
          <w:w w:val="100"/>
          <w:position w:val="0"/>
        </w:rPr>
        <w:t>、其他应收款</w:t>
      </w:r>
      <w:bookmarkEnd w:id="1234"/>
      <w:bookmarkEnd w:id="1235"/>
      <w:bookmarkEnd w:id="1237"/>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15,878,955.53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20,993,327.59</w:t>
            </w: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15,878,955.53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20,993,327.59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38"/>
      <w:bookmarkEnd w:id="1239"/>
      <w:bookmarkEnd w:id="1241"/>
    </w:p>
    <w:p>
      <w:pPr>
        <w:pStyle w:val="Style53"/>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color w:val="000000"/>
          <w:spacing w:val="0"/>
          <w:w w:val="100"/>
          <w:position w:val="0"/>
        </w:rPr>
        <w:t>）应收利息分类</w:t>
      </w:r>
      <w:bookmarkEnd w:id="1242"/>
      <w:bookmarkEnd w:id="1243"/>
      <w:bookmarkEnd w:id="1245"/>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color w:val="000000"/>
          <w:spacing w:val="0"/>
          <w:w w:val="100"/>
          <w:position w:val="0"/>
        </w:rPr>
        <w:t>）重要逾期利息</w:t>
      </w:r>
      <w:bookmarkEnd w:id="1246"/>
      <w:bookmarkEnd w:id="1247"/>
      <w:bookmarkEnd w:id="1249"/>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是否发生减值及其判断 依据</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3"/>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3</w:t>
      </w:r>
      <w:bookmarkEnd w:id="1252"/>
      <w:r>
        <w:rPr>
          <w:color w:val="000000"/>
          <w:spacing w:val="0"/>
          <w:w w:val="100"/>
          <w:position w:val="0"/>
        </w:rPr>
        <w:t>）坏账准备计提情况</w:t>
      </w:r>
      <w:bookmarkEnd w:id="1250"/>
      <w:bookmarkEnd w:id="1251"/>
      <w:bookmarkEnd w:id="1253"/>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54"/>
      <w:bookmarkEnd w:id="1255"/>
      <w:bookmarkEnd w:id="1257"/>
    </w:p>
    <w:p>
      <w:pPr>
        <w:pStyle w:val="Style53"/>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258"/>
      <w:bookmarkEnd w:id="1259"/>
      <w:bookmarkEnd w:id="1260"/>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61"/>
      <w:bookmarkEnd w:id="1262"/>
      <w:bookmarkEnd w:id="1263"/>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是否发生减值及其判断 依据</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3</w:t>
      </w:r>
      <w:bookmarkEnd w:id="1266"/>
      <w:r>
        <w:rPr>
          <w:color w:val="000000"/>
          <w:spacing w:val="0"/>
          <w:w w:val="100"/>
          <w:position w:val="0"/>
        </w:rPr>
        <w:t>）坏账准备计提情况</w:t>
      </w:r>
      <w:bookmarkEnd w:id="1264"/>
      <w:bookmarkEnd w:id="1265"/>
      <w:bookmarkEnd w:id="1267"/>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68"/>
      <w:bookmarkEnd w:id="1269"/>
      <w:bookmarkEnd w:id="1271"/>
    </w:p>
    <w:p>
      <w:pPr>
        <w:pStyle w:val="Style53"/>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272"/>
      <w:bookmarkEnd w:id="1273"/>
      <w:bookmarkEnd w:id="127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押金保证金及备用金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16,923,515.01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20,852,514.46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1,079,685.89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1,264,560.37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2,154,329.39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963,769.04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20,157,530.29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23,080,843.87</w:t>
            </w:r>
          </w:p>
        </w:tc>
      </w:tr>
    </w:tbl>
    <w:p>
      <w:pPr>
        <w:widowControl w:val="0"/>
        <w:spacing w:after="319" w:line="1" w:lineRule="exact"/>
      </w:pPr>
    </w:p>
    <w:p>
      <w:pPr>
        <w:pStyle w:val="Style53"/>
        <w:keepNext/>
        <w:keepLines/>
        <w:widowControl w:val="0"/>
        <w:shd w:val="clear" w:color="auto" w:fill="auto"/>
        <w:bidi w:val="0"/>
        <w:spacing w:before="0" w:after="400" w:line="240" w:lineRule="auto"/>
        <w:ind w:left="0" w:right="0" w:firstLine="0"/>
        <w:jc w:val="both"/>
      </w:pPr>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275"/>
      <w:bookmarkEnd w:id="1276"/>
      <w:bookmarkEnd w:id="1277"/>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7,727.79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181,434.71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1,898,353.78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2,087,516.28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158,702.32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69,018.55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2,153,368.59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2,222,387.14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22,732.39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26,548.66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234,772.39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4,043,802.37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4,278,574.76</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8,144,606.38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3,780,024.02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413,019.43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7,819,880.46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867,979.33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2,558,920.00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4,392,981.13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20,157,530.29</w:t>
            </w:r>
          </w:p>
        </w:tc>
      </w:tr>
    </w:tbl>
    <w:p>
      <w:pPr>
        <w:spacing w:lineRule="exact" w:line="1"/>
        <w:rPr>
          <w:sz w:val="2"/>
          <w:szCs w:val="2"/>
        </w:rPr>
      </w:pPr>
      <w:r>
        <w:br w:type="page"/>
      </w:r>
    </w:p>
    <w:p>
      <w:pPr>
        <w:pStyle w:val="Style53"/>
        <w:keepNext/>
        <w:keepLines/>
        <w:widowControl w:val="0"/>
        <w:shd w:val="clear" w:color="auto" w:fill="auto"/>
        <w:bidi w:val="0"/>
        <w:spacing w:before="0" w:line="240" w:lineRule="auto"/>
        <w:ind w:left="0" w:right="0" w:firstLine="0"/>
        <w:jc w:val="both"/>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3</w:t>
      </w:r>
      <w:bookmarkEnd w:id="1280"/>
      <w:r>
        <w:rPr>
          <w:color w:val="000000"/>
          <w:spacing w:val="0"/>
          <w:w w:val="100"/>
          <w:position w:val="0"/>
        </w:rPr>
        <w:t>）本期计提、收回或转回的坏账准备情况</w:t>
      </w:r>
      <w:bookmarkEnd w:id="1278"/>
      <w:bookmarkEnd w:id="1279"/>
      <w:bookmarkEnd w:id="1281"/>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本期计提坏账准备情况：</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单位：元</w:t>
      </w:r>
    </w:p>
    <w:tbl>
      <w:tblPr>
        <w:tblOverlap w:val="never"/>
        <w:jc w:val="center"/>
        <w:tblLayout w:type="fixed"/>
      </w:tblPr>
      <w:tblGrid>
        <w:gridCol w:w="1426"/>
        <w:gridCol w:w="1094"/>
        <w:gridCol w:w="677"/>
        <w:gridCol w:w="518"/>
        <w:gridCol w:w="1306"/>
        <w:gridCol w:w="1090"/>
        <w:gridCol w:w="278"/>
        <w:gridCol w:w="1459"/>
        <w:gridCol w:w="173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54" w:hRule="exact"/>
        </w:trPr>
        <w:tc>
          <w:tcPr>
            <w:gridSpan w:val="9"/>
            <w:tcBorders>
              <w:top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both"/>
            </w:pPr>
            <w:r>
              <w:rPr>
                <w:color w:val="000000"/>
                <w:spacing w:val="0"/>
                <w:w w:val="100"/>
                <w:position w:val="0"/>
              </w:rPr>
              <w:t>其中本期坏账准备转回或收回金额重要的： 单位：元</w:t>
            </w:r>
          </w:p>
        </w:tc>
      </w:tr>
      <w:tr>
        <w:trPr>
          <w:trHeight w:val="413" w:hRule="exact"/>
        </w:trPr>
        <w:tc>
          <w:tcPr>
            <w:gridSpan w:val="3"/>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gridSpan w:val="4"/>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转回或收回金额</w:t>
            </w:r>
          </w:p>
        </w:tc>
        <w:tc>
          <w:tcPr>
            <w:gridSpan w:val="2"/>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收回方式</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both"/>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4</w:t>
      </w:r>
      <w:bookmarkEnd w:id="1284"/>
      <w:r>
        <w:rPr>
          <w:color w:val="000000"/>
          <w:spacing w:val="0"/>
          <w:w w:val="100"/>
          <w:position w:val="0"/>
        </w:rPr>
        <w:t>）本期实际核销的其他应收款情况</w:t>
      </w:r>
      <w:bookmarkEnd w:id="1282"/>
      <w:bookmarkEnd w:id="1283"/>
      <w:bookmarkEnd w:id="1285"/>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7,920.00</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其中重要的其他应收款核销情况:</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其他应收款核销说明：</w:t>
            </w:r>
          </w:p>
          <w:p>
            <w:pPr>
              <w:pStyle w:val="Style18"/>
              <w:keepNext w:val="0"/>
              <w:keepLines w:val="0"/>
              <w:widowControl w:val="0"/>
              <w:shd w:val="clear" w:color="auto" w:fill="auto"/>
              <w:bidi w:val="0"/>
              <w:spacing w:before="0" w:after="380" w:line="240" w:lineRule="auto"/>
              <w:ind w:left="0" w:right="0" w:firstLine="0"/>
              <w:jc w:val="both"/>
              <w:rPr>
                <w:sz w:val="20"/>
                <w:szCs w:val="20"/>
              </w:rPr>
            </w:pPr>
            <w:bookmarkStart w:id="1286" w:name="bookmark1286"/>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286"/>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单位：元</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1,999,992.00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1,516,319.77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1,516,319.77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1,079,685.89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53,984.29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7,439,197.66</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1,570,304.06</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both"/>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6</w:t>
      </w:r>
      <w:bookmarkEnd w:id="1289"/>
      <w:r>
        <w:rPr>
          <w:color w:val="000000"/>
          <w:spacing w:val="0"/>
          <w:w w:val="100"/>
          <w:position w:val="0"/>
        </w:rPr>
        <w:t>）涉及政府补助的应收款项</w:t>
      </w:r>
      <w:bookmarkEnd w:id="1287"/>
      <w:bookmarkEnd w:id="1288"/>
      <w:bookmarkEnd w:id="1290"/>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预计收取的时间、金额 及依据</w:t>
            </w:r>
          </w:p>
        </w:tc>
      </w:tr>
    </w:tbl>
    <w:p>
      <w:pPr>
        <w:widowControl w:val="0"/>
        <w:spacing w:line="1" w:lineRule="exact"/>
      </w:pPr>
      <w:r>
        <w:br w:type="page"/>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促进残疾人就业税收优 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1,079,685.89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r>
    </w:tbl>
    <w:p>
      <w:pPr>
        <w:widowControl w:val="0"/>
        <w:spacing w:after="339" w:line="1" w:lineRule="exact"/>
      </w:pPr>
    </w:p>
    <w:p>
      <w:pPr>
        <w:pStyle w:val="Style53"/>
        <w:keepNext/>
        <w:keepLines/>
        <w:widowControl w:val="0"/>
        <w:shd w:val="clear" w:color="auto" w:fill="auto"/>
        <w:tabs>
          <w:tab w:pos="382" w:val="left"/>
        </w:tabs>
        <w:bidi w:val="0"/>
        <w:spacing w:before="0" w:after="34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7</w:t>
      </w:r>
      <w:bookmarkEnd w:id="1293"/>
      <w:r>
        <w:rPr>
          <w:color w:val="000000"/>
          <w:spacing w:val="0"/>
          <w:w w:val="100"/>
          <w:position w:val="0"/>
        </w:rPr>
        <w:t>）</w:t>
        <w:tab/>
        <w:t>因金融资产转移而终止确认的其他应收款</w:t>
      </w:r>
      <w:bookmarkEnd w:id="1291"/>
      <w:bookmarkEnd w:id="1292"/>
      <w:bookmarkEnd w:id="1294"/>
    </w:p>
    <w:p>
      <w:pPr>
        <w:pStyle w:val="Style53"/>
        <w:keepNext/>
        <w:keepLines/>
        <w:widowControl w:val="0"/>
        <w:shd w:val="clear" w:color="auto" w:fill="auto"/>
        <w:tabs>
          <w:tab w:pos="387" w:val="left"/>
        </w:tabs>
        <w:bidi w:val="0"/>
        <w:spacing w:before="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8</w:t>
      </w:r>
      <w:bookmarkEnd w:id="1297"/>
      <w:r>
        <w:rPr>
          <w:color w:val="000000"/>
          <w:spacing w:val="0"/>
          <w:w w:val="100"/>
          <w:position w:val="0"/>
        </w:rPr>
        <w:t>）</w:t>
        <w:tab/>
        <w:t>转移其他应收款且继续涉入形成的资产、负债金额</w:t>
      </w:r>
      <w:bookmarkEnd w:id="1295"/>
      <w:bookmarkEnd w:id="1296"/>
      <w:bookmarkEnd w:id="129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9</w:t>
      </w:r>
      <w:bookmarkEnd w:id="1301"/>
      <w:r>
        <w:rPr>
          <w:color w:val="000000"/>
          <w:spacing w:val="0"/>
          <w:w w:val="100"/>
          <w:position w:val="0"/>
        </w:rPr>
        <w:t>、存货</w:t>
      </w:r>
      <w:bookmarkEnd w:id="1299"/>
      <w:bookmarkEnd w:id="1300"/>
      <w:bookmarkEnd w:id="1302"/>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03"/>
      <w:bookmarkEnd w:id="1304"/>
      <w:bookmarkEnd w:id="1306"/>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52,500,503.71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7,534,041.48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44,966,462.23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55,819,907.70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5,654,875.35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50,165,032.35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4,385,504.63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1,498,658.98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2,886,845.65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9,765,311.21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1,498,658.98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8,266,652.23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25,936,074.82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3,536,015.25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22,400,059.57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41,819,445.38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4,118,066.79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37,701,378.59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541,596.81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541,596.81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688,897.31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688,897.31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7,098,572.99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85,450.50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7,013,122.49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12,392,681.23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158,174.49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12,234,506.74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90,462,252.96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12,654,166.21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77,808,086.75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120,486,242.83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11,429,775.61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109,056,467.22</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07"/>
      <w:bookmarkEnd w:id="1308"/>
      <w:bookmarkEnd w:id="1310"/>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5,654,875.35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2,881,996.00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1,002,829.87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7,534,041.48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1,498,658.98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1,498,658.98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4,118,066.79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579,050.30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1,161,101.84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3,536,015.25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158,174.49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85,450.50</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11,429,775.61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3,461,046.30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2,236,655.70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12,654,166.21</w:t>
            </w:r>
          </w:p>
        </w:tc>
      </w:tr>
    </w:tbl>
    <w:p>
      <w:pPr>
        <w:widowControl w:val="0"/>
        <w:spacing w:after="359" w:line="1" w:lineRule="exact"/>
      </w:pPr>
    </w:p>
    <w:p>
      <w:pPr>
        <w:pStyle w:val="Style34"/>
        <w:keepNext/>
        <w:keepLines/>
        <w:widowControl w:val="0"/>
        <w:shd w:val="clear" w:color="auto" w:fill="auto"/>
        <w:tabs>
          <w:tab w:pos="478" w:val="left"/>
        </w:tabs>
        <w:bidi w:val="0"/>
        <w:spacing w:before="0" w:after="360" w:line="240" w:lineRule="auto"/>
        <w:ind w:left="0" w:right="0" w:firstLine="0"/>
        <w:jc w:val="left"/>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11"/>
      <w:bookmarkEnd w:id="1312"/>
      <w:bookmarkEnd w:id="1314"/>
    </w:p>
    <w:p>
      <w:pPr>
        <w:pStyle w:val="Style34"/>
        <w:keepNext/>
        <w:keepLines/>
        <w:widowControl w:val="0"/>
        <w:shd w:val="clear" w:color="auto" w:fill="auto"/>
        <w:tabs>
          <w:tab w:pos="478" w:val="left"/>
        </w:tabs>
        <w:bidi w:val="0"/>
        <w:spacing w:before="0" w:after="36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15"/>
      <w:bookmarkEnd w:id="1316"/>
      <w:bookmarkEnd w:id="1318"/>
    </w:p>
    <w:p>
      <w:pPr>
        <w:pStyle w:val="Style29"/>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1</w:t>
      </w:r>
      <w:bookmarkEnd w:id="1321"/>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19"/>
      <w:bookmarkEnd w:id="1320"/>
      <w:bookmarkEnd w:id="1322"/>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pStyle w:val="Style26"/>
        <w:keepNext w:val="0"/>
        <w:keepLines w:val="0"/>
        <w:widowControl w:val="0"/>
        <w:shd w:val="clear" w:color="auto" w:fill="auto"/>
        <w:bidi w:val="0"/>
        <w:spacing w:before="0" w:after="100" w:line="355" w:lineRule="exact"/>
        <w:ind w:left="0" w:right="0" w:firstLine="0"/>
        <w:jc w:val="left"/>
      </w:pPr>
      <w:r>
        <w:rPr>
          <w:color w:val="000000"/>
          <w:spacing w:val="0"/>
          <w:w w:val="100"/>
          <w:position w:val="0"/>
        </w:rPr>
        <w:t>合同资产的账面价值在本期内发生的重大变动金额和原因: 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变动原因</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1</w:t>
      </w:r>
      <w:bookmarkEnd w:id="1325"/>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23"/>
      <w:bookmarkEnd w:id="1324"/>
      <w:bookmarkEnd w:id="1326"/>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预计处置时间</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bookmarkEnd w:id="1329"/>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27"/>
      <w:bookmarkEnd w:id="1328"/>
      <w:bookmarkEnd w:id="1330"/>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bl>
    <w:p>
      <w:pPr>
        <w:pStyle w:val="Style26"/>
        <w:keepNext w:val="0"/>
        <w:keepLines w:val="0"/>
        <w:widowControl w:val="0"/>
        <w:shd w:val="clear" w:color="auto" w:fill="auto"/>
        <w:bidi w:val="0"/>
        <w:spacing w:before="0" w:after="100" w:line="336" w:lineRule="exact"/>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 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到期日</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1</w:t>
      </w:r>
      <w:bookmarkEnd w:id="1333"/>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31"/>
      <w:bookmarkEnd w:id="1332"/>
      <w:bookmarkEnd w:id="133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6,133,872.56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5,616,783.81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1,105,827.54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预缴个人所得税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7,240,562.48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5,616,783.81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bookmarkEnd w:id="1337"/>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35"/>
      <w:bookmarkEnd w:id="1336"/>
      <w:bookmarkEnd w:id="1338"/>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重要的债权投资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到期日</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减值准备计提情况</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1</w:t>
      </w:r>
      <w:bookmarkEnd w:id="1341"/>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39"/>
      <w:bookmarkEnd w:id="1340"/>
      <w:bookmarkEnd w:id="1342"/>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4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累计公允价</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bl>
    <w:p>
      <w:pPr>
        <w:pStyle w:val="Style26"/>
        <w:keepNext w:val="0"/>
        <w:keepLines w:val="0"/>
        <w:widowControl w:val="0"/>
        <w:shd w:val="clear" w:color="auto" w:fill="auto"/>
        <w:bidi w:val="0"/>
        <w:spacing w:before="0" w:after="100" w:line="336" w:lineRule="exact"/>
        <w:ind w:left="0" w:right="0" w:firstLine="0"/>
        <w:jc w:val="left"/>
      </w:pPr>
      <w:r>
        <w:rPr>
          <w:color w:val="000000"/>
          <w:spacing w:val="0"/>
          <w:w w:val="100"/>
          <w:position w:val="0"/>
        </w:rPr>
        <w:t>重要的其他债权投资 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到期日</w:t>
            </w:r>
          </w:p>
        </w:tc>
      </w:tr>
    </w:tbl>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减值准备计提情况</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1</w:t>
      </w:r>
      <w:bookmarkEnd w:id="1345"/>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43"/>
      <w:bookmarkEnd w:id="1344"/>
      <w:bookmarkEnd w:id="1346"/>
    </w:p>
    <w:p>
      <w:pPr>
        <w:pStyle w:val="Style34"/>
        <w:keepNext/>
        <w:keepLines/>
        <w:widowControl w:val="0"/>
        <w:shd w:val="clear" w:color="auto" w:fill="auto"/>
        <w:bidi w:val="0"/>
        <w:spacing w:before="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47"/>
      <w:bookmarkEnd w:id="1348"/>
      <w:bookmarkEnd w:id="1350"/>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6"/>
        <w:keepNext w:val="0"/>
        <w:keepLines w:val="0"/>
        <w:widowControl w:val="0"/>
        <w:shd w:val="clear" w:color="auto" w:fill="auto"/>
        <w:bidi w:val="0"/>
        <w:spacing w:before="0" w:after="80" w:line="341" w:lineRule="exact"/>
        <w:ind w:left="0" w:right="0" w:firstLine="0"/>
        <w:jc w:val="left"/>
      </w:pPr>
      <w:r>
        <w:rPr>
          <w:color w:val="000000"/>
          <w:spacing w:val="0"/>
          <w:w w:val="100"/>
          <w:position w:val="0"/>
        </w:rPr>
        <w:t>坏账准备减值情况 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8" w:val="left"/>
        </w:tabs>
        <w:bidi w:val="0"/>
        <w:spacing w:before="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51"/>
      <w:bookmarkEnd w:id="1352"/>
      <w:bookmarkEnd w:id="1354"/>
    </w:p>
    <w:p>
      <w:pPr>
        <w:pStyle w:val="Style34"/>
        <w:keepNext/>
        <w:keepLines/>
        <w:widowControl w:val="0"/>
        <w:shd w:val="clear" w:color="auto" w:fill="auto"/>
        <w:tabs>
          <w:tab w:pos="478" w:val="left"/>
        </w:tabs>
        <w:bidi w:val="0"/>
        <w:spacing w:before="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55"/>
      <w:bookmarkEnd w:id="1356"/>
      <w:bookmarkEnd w:id="135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1</w:t>
      </w:r>
      <w:bookmarkEnd w:id="136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59"/>
      <w:bookmarkEnd w:id="1360"/>
      <w:bookmarkEnd w:id="1362"/>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权益法下</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确认的投</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 变动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宣告发放</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现金股利</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883"/>
        <w:gridCol w:w="797"/>
        <w:gridCol w:w="797"/>
        <w:gridCol w:w="797"/>
        <w:gridCol w:w="797"/>
        <w:gridCol w:w="802"/>
        <w:gridCol w:w="797"/>
        <w:gridCol w:w="797"/>
        <w:gridCol w:w="797"/>
        <w:gridCol w:w="893"/>
      </w:tblGrid>
      <w:tr>
        <w:trPr>
          <w:trHeight w:val="374" w:hRule="exact"/>
        </w:trPr>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资损益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或利润</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after="79" w:line="1" w:lineRule="exact"/>
      </w:pPr>
    </w:p>
    <w:p>
      <w:pPr>
        <w:pStyle w:val="Style26"/>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430" w:val="left"/>
        </w:tabs>
        <w:bidi w:val="0"/>
        <w:spacing w:before="0" w:after="61" w:line="240" w:lineRule="auto"/>
        <w:ind w:left="0" w:right="0" w:firstLine="0"/>
        <w:jc w:val="left"/>
      </w:pPr>
      <w:bookmarkStart w:id="1363" w:name="bookmark1363"/>
      <w:r>
        <w:rPr>
          <w:color w:val="000000"/>
          <w:spacing w:val="0"/>
          <w:w w:val="100"/>
          <w:position w:val="0"/>
        </w:rPr>
        <w:t>一</w:t>
      </w:r>
      <w:bookmarkEnd w:id="1363"/>
      <w:r>
        <w:rPr>
          <w:color w:val="000000"/>
          <w:spacing w:val="0"/>
          <w:w w:val="100"/>
          <w:position w:val="0"/>
        </w:rPr>
        <w:t>、</w:t>
        <w:tab/>
        <w:t>合营企业</w:t>
      </w:r>
    </w:p>
    <w:p>
      <w:pPr>
        <w:pStyle w:val="Style26"/>
        <w:keepNext w:val="0"/>
        <w:keepLines w:val="0"/>
        <w:widowControl w:val="0"/>
        <w:pBdr>
          <w:top w:val="single" w:sz="0" w:space="0" w:color="D3D3D3"/>
          <w:left w:val="single" w:sz="0" w:space="0" w:color="D3D3D3"/>
          <w:bottom w:val="single" w:sz="0" w:space="7" w:color="D3D3D3"/>
          <w:right w:val="single" w:sz="0" w:space="0" w:color="D3D3D3"/>
        </w:pBdr>
        <w:shd w:val="clear" w:color="auto" w:fill="D3D3D3"/>
        <w:tabs>
          <w:tab w:pos="430" w:val="left"/>
        </w:tabs>
        <w:bidi w:val="0"/>
        <w:spacing w:before="0" w:after="61" w:line="240" w:lineRule="auto"/>
        <w:ind w:left="0" w:right="0" w:firstLine="0"/>
        <w:jc w:val="left"/>
      </w:pPr>
      <w:bookmarkStart w:id="1364" w:name="bookmark1364"/>
      <w:r>
        <w:rPr>
          <w:color w:val="000000"/>
          <w:spacing w:val="0"/>
          <w:w w:val="100"/>
          <w:position w:val="0"/>
        </w:rPr>
        <w:t>二</w:t>
      </w:r>
      <w:bookmarkEnd w:id="1364"/>
      <w:r>
        <w:rPr>
          <w:color w:val="000000"/>
          <w:spacing w:val="0"/>
          <w:w w:val="100"/>
          <w:position w:val="0"/>
        </w:rPr>
        <w:t>、</w:t>
        <w:tab/>
        <w:t>联营企业</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1</w:t>
      </w:r>
      <w:bookmarkEnd w:id="1367"/>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65"/>
      <w:bookmarkEnd w:id="1366"/>
      <w:bookmarkEnd w:id="1368"/>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广州科语机器人有限公司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分项披露本期非交易性权益工具投资</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其他综合收益转 入留存收益的原 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1</w:t>
      </w:r>
      <w:bookmarkEnd w:id="1371"/>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69"/>
      <w:bookmarkEnd w:id="1370"/>
      <w:bookmarkEnd w:id="1372"/>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369,183,027.22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368,186,169.46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369,183,027.22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368,186,169.46</w:t>
            </w:r>
          </w:p>
        </w:tc>
      </w:tr>
    </w:tbl>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月，华盖信诚医疗健康投资成都合伙企业（有限合伙）以减资形式分配向公司分配</w:t>
      </w:r>
      <w:r>
        <w:rPr>
          <w:rFonts w:ascii="Times New Roman" w:eastAsia="Times New Roman" w:hAnsi="Times New Roman" w:cs="Times New Roman"/>
          <w:color w:val="000000"/>
          <w:spacing w:val="0"/>
          <w:w w:val="100"/>
          <w:position w:val="0"/>
          <w:sz w:val="18"/>
          <w:szCs w:val="18"/>
        </w:rPr>
        <w:t>5,108,400.00</w:t>
      </w:r>
      <w:r>
        <w:rPr>
          <w:color w:val="000000"/>
          <w:spacing w:val="0"/>
          <w:w w:val="100"/>
          <w:position w:val="0"/>
        </w:rPr>
        <w:t>元，分配后，出资 比例不变。</w:t>
      </w:r>
    </w:p>
    <w:p>
      <w:pPr>
        <w:pStyle w:val="Style29"/>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bookmarkEnd w:id="1375"/>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73"/>
      <w:bookmarkEnd w:id="1374"/>
      <w:bookmarkEnd w:id="1376"/>
    </w:p>
    <w:p>
      <w:pPr>
        <w:pStyle w:val="Style34"/>
        <w:keepNext/>
        <w:keepLines/>
        <w:widowControl w:val="0"/>
        <w:shd w:val="clear" w:color="auto" w:fill="auto"/>
        <w:bidi w:val="0"/>
        <w:spacing w:before="0" w:after="26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77"/>
      <w:bookmarkEnd w:id="1378"/>
      <w:bookmarkEnd w:id="1380"/>
    </w:p>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322" w:lineRule="exact"/>
        <w:ind w:left="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57,670,133.76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4,111,770.00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61,781,903.76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57,670,133.76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4,111,770.00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61,781,903.76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40,803,209.58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1,398,001.80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42,201,211.38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2,736,964.68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82,235.40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2,819,200.08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2,736,964.68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82,235.40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2,819,200.08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43,540,174.26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1,480,237.20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45,020,411.46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14,129,959.50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2,631,532.80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16,761,492.30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16,866,924.18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2,713,768.20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19,580,692.38</w:t>
            </w:r>
          </w:p>
        </w:tc>
      </w:tr>
    </w:tbl>
    <w:p>
      <w:pPr>
        <w:spacing w:lineRule="exact" w:line="1"/>
        <w:rPr>
          <w:sz w:val="2"/>
          <w:szCs w:val="2"/>
        </w:rPr>
      </w:pPr>
      <w:r>
        <w:br w:type="page"/>
      </w:r>
    </w:p>
    <w:p>
      <w:pPr>
        <w:pStyle w:val="Style34"/>
        <w:keepNext/>
        <w:keepLines/>
        <w:widowControl w:val="0"/>
        <w:shd w:val="clear" w:color="auto" w:fill="auto"/>
        <w:tabs>
          <w:tab w:pos="478" w:val="left"/>
        </w:tabs>
        <w:bidi w:val="0"/>
        <w:spacing w:before="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81"/>
      <w:bookmarkEnd w:id="1382"/>
      <w:bookmarkEnd w:id="1384"/>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8" w:val="left"/>
        </w:tabs>
        <w:bidi w:val="0"/>
        <w:spacing w:before="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85"/>
      <w:bookmarkEnd w:id="1386"/>
      <w:bookmarkEnd w:id="1388"/>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未办妥产权证书原因</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bookmarkEnd w:id="1391"/>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89"/>
      <w:bookmarkEnd w:id="1390"/>
      <w:bookmarkEnd w:id="1392"/>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428,424,720.09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467,197,104.76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428,424,720.09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467,197,104.76</w:t>
            </w:r>
          </w:p>
        </w:tc>
      </w:tr>
    </w:tbl>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93"/>
      <w:bookmarkEnd w:id="1394"/>
      <w:bookmarkEnd w:id="1396"/>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323,059,083.23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652,701,595.90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11,610,978.02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19,818,644.44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1,007,190,301.59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5,335,022.53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3,470,049.38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784,035.32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9,589,107.23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4,562,433.64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3,261,004.16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440,982.59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8,264,420.39</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591,726.84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286,912.63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878,639.47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180,862.05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209,045.22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56,140.10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446,047.37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12,721,101.15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927,168.36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1,199,693.40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14,847,962.91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12,721,101.15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927,168.36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1,199,693.40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14,847,962.91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323,059,083.23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645,315,517.28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14,153,859.04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19,402,986.36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1,001,931,445.91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66,282,842.89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422,082,610.13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8,607,527.55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17,096,391.03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514,069,371.60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9,194,019.72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28,213,467.99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1,320,251.36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753,280.80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39,481,019.87</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9,194,019.72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28,057,725.85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1,209,370.38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731,790.15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39,192,906.10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155,742.14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110,880.98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21,490.65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288,113.77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9,019,415.12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748,134.37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1,101,082.46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10,868,631.95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9,019,415.12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748,134.37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1,101,082.46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10,868,631.95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75,476,862.61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441,276,663.00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9,179,644.54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16,748,589.37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542,681,759.52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25,910,222.86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13,602.37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25,923,825.23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6,733,429.61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6,733,429.61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6,733,429.61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6,733,429.61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1,832,244.29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1,832,288.54</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1,832,244.29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1,832,288.54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30,811,408.18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13,558.12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30,824,966.30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247,582,220.62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173,227,446.10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4,974,214.50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2,640,838.87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428,424,720.09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256,776,240.34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204,708,762.91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3,003,450.47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2,708,651.04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467,197,104.76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w:t>
      </w:r>
      <w:bookmarkEnd w:id="1399"/>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97"/>
      <w:bookmarkEnd w:id="1398"/>
      <w:bookmarkEnd w:id="1400"/>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账面原值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28,309,611.30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8,440,585.27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19,869,026.03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智能卡项目资产</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52,020,524.38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27,636,749.74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22,954,120.43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1,429,654.21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智能卡项目资产</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572,322.27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522,739.40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13,558.12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36,024.75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智能卡项目资产</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01"/>
      <w:bookmarkEnd w:id="1402"/>
      <w:bookmarkEnd w:id="1404"/>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期末账面价值</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05"/>
      <w:bookmarkEnd w:id="1406"/>
      <w:bookmarkEnd w:id="1408"/>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梅岭观海停车位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5,108,748.53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开发商尚未统一办理</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09"/>
      <w:bookmarkEnd w:id="1410"/>
      <w:bookmarkEnd w:id="1412"/>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bookmarkEnd w:id="1415"/>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13"/>
      <w:bookmarkEnd w:id="1414"/>
      <w:bookmarkEnd w:id="1416"/>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251,837.10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392,831.55</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251,837.10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392,831.55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17"/>
      <w:bookmarkEnd w:id="1418"/>
      <w:bookmarkEnd w:id="1420"/>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251,837.10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251,837.10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392,831.55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392,831.55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251,837.10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251,837.10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392,831.55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392,831.55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21"/>
      <w:bookmarkEnd w:id="1422"/>
      <w:bookmarkEnd w:id="1424"/>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工程进 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待安装 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392,831.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737,645.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878,639.</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251,837.</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392,831.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737,645.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878,639.</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251,837.</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25"/>
      <w:bookmarkEnd w:id="1426"/>
      <w:bookmarkEnd w:id="1428"/>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计提原因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29"/>
      <w:bookmarkEnd w:id="1430"/>
      <w:bookmarkEnd w:id="1432"/>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tabs>
          <w:tab w:pos="469" w:val="left"/>
        </w:tabs>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2</w:t>
      </w:r>
      <w:bookmarkEnd w:id="1435"/>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33"/>
      <w:bookmarkEnd w:id="1434"/>
      <w:bookmarkEnd w:id="1436"/>
    </w:p>
    <w:p>
      <w:pPr>
        <w:pStyle w:val="Style34"/>
        <w:keepNext/>
        <w:keepLines/>
        <w:widowControl w:val="0"/>
        <w:shd w:val="clear" w:color="auto" w:fill="auto"/>
        <w:tabs>
          <w:tab w:pos="478" w:val="left"/>
        </w:tabs>
        <w:bidi w:val="0"/>
        <w:spacing w:before="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37"/>
      <w:bookmarkEnd w:id="1438"/>
      <w:bookmarkEnd w:id="144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8" w:val="left"/>
        </w:tabs>
        <w:bidi w:val="0"/>
        <w:spacing w:before="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41"/>
      <w:bookmarkEnd w:id="1442"/>
      <w:bookmarkEnd w:id="1444"/>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69" w:val="left"/>
        </w:tabs>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bookmarkEnd w:id="144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45"/>
      <w:bookmarkEnd w:id="1446"/>
      <w:bookmarkEnd w:id="1448"/>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69" w:val="left"/>
        </w:tabs>
        <w:bidi w:val="0"/>
        <w:spacing w:before="0" w:after="38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bookmarkEnd w:id="1451"/>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49"/>
      <w:bookmarkEnd w:id="1450"/>
      <w:bookmarkEnd w:id="1452"/>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91,189,893.53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91,189,893.53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6,197,953.77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6,197,953.77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6,197,953.77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6,197,953.77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5,499,019.82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5,499,019.82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5,499,019.82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5,499,019.82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91,888,827.48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91,888,827.48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59,049,692.64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59,049,692.64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11,131,488.01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11,131,488.01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11,131,488.01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11,131,488.01</w:t>
            </w: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970,415.28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970,415.28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970,415.28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970,415.28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69,210,765.37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69,210,765.37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22,678,062.11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22,678,062.11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32,140,200.89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32,140,200.89</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720" w:line="240" w:lineRule="auto"/>
        <w:ind w:left="0" w:right="0" w:firstLine="0"/>
        <w:jc w:val="left"/>
      </w:pPr>
      <w:r>
        <w:rPr>
          <w:color w:val="000000"/>
          <w:spacing w:val="0"/>
          <w:w w:val="100"/>
          <w:position w:val="0"/>
        </w:rPr>
        <w:t>本期减少主要系公司深圳租赁房产退租。</w:t>
      </w:r>
    </w:p>
    <w:p>
      <w:pPr>
        <w:pStyle w:val="Style29"/>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bookmarkEnd w:id="145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53"/>
      <w:bookmarkEnd w:id="1454"/>
      <w:bookmarkEnd w:id="1456"/>
    </w:p>
    <w:p>
      <w:pPr>
        <w:pStyle w:val="Style34"/>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57"/>
      <w:bookmarkEnd w:id="1458"/>
      <w:bookmarkEnd w:id="1460"/>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57,290,399.68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14,044,510.28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71,434,909.96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57,290,399.68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14,044,510.28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71,434,909.96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8,786,435.21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9,866,986.43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18,753,421.64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1,146,925.44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1,163,856.36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2,310,781.80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1,146,925.44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1,163,856.36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2,310,781.80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9,933,360.65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11,030,842.79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21,064,203.44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47,357,039.03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3,013,667.49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50,370,706.52</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48,503,964.47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4,177,523.85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52,681,488.32</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34"/>
        <w:keepNext/>
        <w:keepLines/>
        <w:widowControl w:val="0"/>
        <w:shd w:val="clear" w:color="auto" w:fill="auto"/>
        <w:bidi w:val="0"/>
        <w:spacing w:before="0" w:after="40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61"/>
      <w:bookmarkEnd w:id="1462"/>
      <w:bookmarkEnd w:id="1464"/>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未办妥产权证书的原因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bookmarkEnd w:id="1467"/>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65"/>
      <w:bookmarkEnd w:id="1466"/>
      <w:bookmarkEnd w:id="1468"/>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内部开发支 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确认为无形</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69"/>
      <w:bookmarkEnd w:id="1470"/>
      <w:bookmarkEnd w:id="1471"/>
    </w:p>
    <w:p>
      <w:pPr>
        <w:pStyle w:val="Style34"/>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72"/>
      <w:bookmarkEnd w:id="1473"/>
      <w:bookmarkEnd w:id="1474"/>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无锡双龙信息纸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17,790,965.08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17,790,965.08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广州彩创网络技 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1,937,437.40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1,937,437.40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北京科信盛彩投 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30,420,214.40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30,420,214.40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成都标点体育文 化发展有限公司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19,704,006.49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19,704,006.49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50,148,616.88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19,704,006.49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69,852,623.37</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75"/>
      <w:bookmarkEnd w:id="1476"/>
      <w:bookmarkEnd w:id="1478"/>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无锡双龙信息纸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5,329,616.89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2,430,505.82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7,760,122.71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广州彩创网络技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1,937,437.40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1,937,437.40</w:t>
            </w: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北京科信盛彩投 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2,522,319.26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2,522,319.26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成都标点体育文 化发展有限公司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9,789,373.55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2,430,505.82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12,219,879.37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无锡双龙信息纸有限公司商誉所在资产组为无锡双龙信息纸有限公司的固定资产、无形资产、长期待 摊费用及商誉，纳入资产组范围的各类资产的账面价值为</w:t>
      </w:r>
      <w:r>
        <w:rPr>
          <w:color w:val="000000"/>
          <w:spacing w:val="0"/>
          <w:w w:val="100"/>
          <w:position w:val="0"/>
        </w:rPr>
        <w:t xml:space="preserve">7,695. </w:t>
      </w:r>
      <w:r>
        <w:rPr>
          <w:color w:val="000000"/>
          <w:spacing w:val="0"/>
          <w:w w:val="100"/>
          <w:position w:val="0"/>
        </w:rPr>
        <w:t>91</w:t>
      </w:r>
      <w:r>
        <w:rPr>
          <w:color w:val="000000"/>
          <w:spacing w:val="0"/>
          <w:w w:val="100"/>
          <w:position w:val="0"/>
        </w:rPr>
        <w:t>万元。</w:t>
      </w:r>
    </w:p>
    <w:p>
      <w:pPr>
        <w:pStyle w:val="Style1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公司通过收购北京科信盛彩投资有限公司</w:t>
      </w:r>
      <w:r>
        <w:rPr>
          <w:color w:val="000000"/>
          <w:spacing w:val="0"/>
          <w:w w:val="100"/>
          <w:position w:val="0"/>
        </w:rPr>
        <w:t>100%</w:t>
      </w:r>
      <w:r>
        <w:rPr>
          <w:color w:val="000000"/>
          <w:spacing w:val="0"/>
          <w:w w:val="100"/>
          <w:position w:val="0"/>
        </w:rPr>
        <w:t>股权而持有北京中科彩技术有限公司</w:t>
      </w:r>
      <w:r>
        <w:rPr>
          <w:color w:val="000000"/>
          <w:spacing w:val="0"/>
          <w:w w:val="100"/>
          <w:position w:val="0"/>
        </w:rPr>
        <w:t>51%</w:t>
      </w:r>
      <w:r>
        <w:rPr>
          <w:color w:val="000000"/>
          <w:spacing w:val="0"/>
          <w:w w:val="100"/>
          <w:position w:val="0"/>
        </w:rPr>
        <w:t>股权，北京科 信盛彩投资有限公司除投资北京中科彩技术有限公司外，无其他经营业务，故北京科信盛彩投资有限公司 商誉资产组为北京中科彩技术有限公司的长期应收款、固定资产、在建工程、无形资产、长期待摊费用及 分摊的商誉，纳入资产组范围的各类资产的账面价值为</w:t>
      </w:r>
      <w:r>
        <w:rPr>
          <w:color w:val="000000"/>
          <w:spacing w:val="0"/>
          <w:w w:val="100"/>
          <w:position w:val="0"/>
        </w:rPr>
        <w:t>11,162.53</w:t>
      </w:r>
      <w:r>
        <w:rPr>
          <w:color w:val="000000"/>
          <w:spacing w:val="0"/>
          <w:w w:val="100"/>
          <w:position w:val="0"/>
        </w:rPr>
        <w:t>万元。</w:t>
      </w:r>
    </w:p>
    <w:p>
      <w:pPr>
        <w:pStyle w:val="Style10"/>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月，鸿博股份出资</w:t>
      </w:r>
      <w:r>
        <w:rPr>
          <w:color w:val="000000"/>
          <w:spacing w:val="0"/>
          <w:w w:val="100"/>
          <w:position w:val="0"/>
        </w:rPr>
        <w:t>2,295.00</w:t>
      </w:r>
      <w:r>
        <w:rPr>
          <w:color w:val="000000"/>
          <w:spacing w:val="0"/>
          <w:w w:val="100"/>
          <w:position w:val="0"/>
        </w:rPr>
        <w:t>万元人民币收购成都标点体育文化发展有限公司</w:t>
      </w:r>
      <w:r>
        <w:rPr>
          <w:color w:val="000000"/>
          <w:spacing w:val="0"/>
          <w:w w:val="100"/>
          <w:position w:val="0"/>
        </w:rPr>
        <w:t>51%</w:t>
      </w:r>
      <w:r>
        <w:rPr>
          <w:color w:val="000000"/>
          <w:spacing w:val="0"/>
          <w:w w:val="100"/>
          <w:position w:val="0"/>
        </w:rPr>
        <w:t>股权。合 并日成都标点体育文化发展有限公司净资产公允价值为</w:t>
      </w:r>
      <w:r>
        <w:rPr>
          <w:color w:val="000000"/>
          <w:spacing w:val="0"/>
          <w:w w:val="100"/>
          <w:position w:val="0"/>
        </w:rPr>
        <w:t>636.47</w:t>
      </w:r>
      <w:r>
        <w:rPr>
          <w:color w:val="000000"/>
          <w:spacing w:val="0"/>
          <w:w w:val="100"/>
          <w:position w:val="0"/>
        </w:rPr>
        <w:t xml:space="preserve">万元，鸿博股份享有的净资产公允价值为 </w:t>
      </w:r>
      <w:r>
        <w:rPr>
          <w:color w:val="000000"/>
          <w:spacing w:val="0"/>
          <w:w w:val="100"/>
          <w:position w:val="0"/>
        </w:rPr>
        <w:t>324.60</w:t>
      </w:r>
      <w:r>
        <w:rPr>
          <w:color w:val="000000"/>
          <w:spacing w:val="0"/>
          <w:w w:val="100"/>
          <w:position w:val="0"/>
        </w:rPr>
        <w:t>万元，合并成本为</w:t>
      </w:r>
      <w:r>
        <w:rPr>
          <w:color w:val="000000"/>
          <w:spacing w:val="0"/>
          <w:w w:val="100"/>
          <w:position w:val="0"/>
        </w:rPr>
        <w:t>2,295.00</w:t>
      </w:r>
      <w:r>
        <w:rPr>
          <w:color w:val="000000"/>
          <w:spacing w:val="0"/>
          <w:w w:val="100"/>
          <w:position w:val="0"/>
        </w:rPr>
        <w:t>万元，确认商誉</w:t>
      </w:r>
      <w:r>
        <w:rPr>
          <w:color w:val="000000"/>
          <w:spacing w:val="0"/>
          <w:w w:val="100"/>
          <w:position w:val="0"/>
        </w:rPr>
        <w:t xml:space="preserve">1, </w:t>
      </w:r>
      <w:r>
        <w:rPr>
          <w:color w:val="000000"/>
          <w:spacing w:val="0"/>
          <w:w w:val="100"/>
          <w:position w:val="0"/>
        </w:rPr>
        <w:t>970.40</w:t>
      </w:r>
      <w:r>
        <w:rPr>
          <w:color w:val="000000"/>
          <w:spacing w:val="0"/>
          <w:w w:val="100"/>
          <w:position w:val="0"/>
        </w:rPr>
        <w:t>万元。此外，属于少数股东的商誉为</w:t>
      </w:r>
      <w:r>
        <w:rPr>
          <w:color w:val="000000"/>
          <w:spacing w:val="0"/>
          <w:w w:val="100"/>
          <w:position w:val="0"/>
        </w:rPr>
        <w:t xml:space="preserve">1,893.13 </w:t>
      </w:r>
      <w:r>
        <w:rPr>
          <w:color w:val="000000"/>
          <w:spacing w:val="0"/>
          <w:w w:val="100"/>
          <w:position w:val="0"/>
        </w:rPr>
        <w:t>万元。纳入资产组范围的各类资产的账面价值为</w:t>
      </w:r>
      <w:r>
        <w:rPr>
          <w:color w:val="000000"/>
          <w:spacing w:val="0"/>
          <w:w w:val="100"/>
          <w:position w:val="0"/>
        </w:rPr>
        <w:t xml:space="preserve">3, </w:t>
      </w:r>
      <w:r>
        <w:rPr>
          <w:color w:val="000000"/>
          <w:spacing w:val="0"/>
          <w:w w:val="100"/>
          <w:position w:val="0"/>
        </w:rPr>
        <w:t>888.64</w:t>
      </w:r>
      <w:r>
        <w:rPr>
          <w:color w:val="000000"/>
          <w:spacing w:val="0"/>
          <w:w w:val="100"/>
          <w:position w:val="0"/>
        </w:rPr>
        <w:t>万元。</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商誉的可收回金额按照资产预计未来现金流量的现值或者公允价值减去处置费用的净额孰高者确认。 相关资产组的预计未来现金流量现值计算，其预计现金流量根据公司批准的</w:t>
      </w:r>
      <w:r>
        <w:rPr>
          <w:color w:val="000000"/>
          <w:spacing w:val="0"/>
          <w:w w:val="100"/>
          <w:position w:val="0"/>
        </w:rPr>
        <w:t>5</w:t>
      </w:r>
      <w:r>
        <w:rPr>
          <w:color w:val="000000"/>
          <w:spacing w:val="0"/>
          <w:w w:val="100"/>
          <w:position w:val="0"/>
        </w:rPr>
        <w:t>年期现金流量预测为基础， 基于谨慎考虑业务在五年后已趋于稳定其现金流量增长率为零，增长率和同行业总体长期平均增长率相 当。减值测试中采用的其他关键数据包括：收入增长率、毛利率、成本费用率等。公司根据历史经验及对 市场发展的预测确定上述关键数据。公司采用的折现率是反映当前市场货币时间价值和相关资产组特定风 险的税前利率。</w:t>
      </w:r>
    </w:p>
    <w:p>
      <w:pPr>
        <w:pStyle w:val="Style10"/>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本公司对无锡双龙信息纸有限公司商誉的减值测试，系根据北京中锋资产评估有限责任公司出具的 《鸿博股份有限公司拟进行商誉减值测试所涉及的无锡双龙信息纸有限公司资产组可回收金额评估项目 资产评估报告》（中锋评报字</w:t>
      </w:r>
      <w:r>
        <w:rPr>
          <w:color w:val="000000"/>
          <w:spacing w:val="0"/>
          <w:w w:val="100"/>
          <w:position w:val="0"/>
        </w:rPr>
        <w:t>（2022）</w:t>
      </w:r>
      <w:r>
        <w:rPr>
          <w:color w:val="000000"/>
          <w:spacing w:val="0"/>
          <w:w w:val="100"/>
          <w:position w:val="0"/>
        </w:rPr>
        <w:t>第</w:t>
      </w:r>
      <w:r>
        <w:rPr>
          <w:color w:val="000000"/>
          <w:spacing w:val="0"/>
          <w:w w:val="100"/>
          <w:position w:val="0"/>
        </w:rPr>
        <w:t>01006</w:t>
      </w:r>
      <w:r>
        <w:rPr>
          <w:color w:val="000000"/>
          <w:spacing w:val="0"/>
          <w:w w:val="100"/>
          <w:position w:val="0"/>
        </w:rPr>
        <w:t>号）确定的无锡双龙信息纸有限公司截止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日资产组价值的评估结果为基础确定，该资产组公允价值减去处置费用的净额为</w:t>
      </w:r>
      <w:r>
        <w:rPr>
          <w:color w:val="000000"/>
          <w:spacing w:val="0"/>
          <w:w w:val="100"/>
          <w:position w:val="0"/>
        </w:rPr>
        <w:t>7,290.82</w:t>
      </w:r>
      <w:r>
        <w:rPr>
          <w:color w:val="000000"/>
          <w:spacing w:val="0"/>
          <w:w w:val="100"/>
          <w:position w:val="0"/>
        </w:rPr>
        <w:t xml:space="preserve">万元。根据减 值测试的结果，无锡双龙信息纸有限公司的商誉发生减值，本期期末对归属于本公司的商誉计提减值准备 </w:t>
      </w:r>
      <w:r>
        <w:rPr>
          <w:color w:val="000000"/>
          <w:spacing w:val="0"/>
          <w:w w:val="100"/>
          <w:position w:val="0"/>
        </w:rPr>
        <w:t xml:space="preserve">243.05 </w:t>
      </w:r>
      <w:r>
        <w:rPr>
          <w:color w:val="000000"/>
          <w:spacing w:val="0"/>
          <w:w w:val="100"/>
          <w:position w:val="0"/>
        </w:rPr>
        <w:t>万元。</w:t>
      </w:r>
    </w:p>
    <w:p>
      <w:pPr>
        <w:pStyle w:val="Style1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本公司对广州彩创网络技术有限公司的商誉，在</w:t>
      </w:r>
      <w:r>
        <w:rPr>
          <w:color w:val="000000"/>
          <w:spacing w:val="0"/>
          <w:w w:val="100"/>
          <w:position w:val="0"/>
        </w:rPr>
        <w:t>2017</w:t>
      </w:r>
      <w:r>
        <w:rPr>
          <w:color w:val="000000"/>
          <w:spacing w:val="0"/>
          <w:w w:val="100"/>
          <w:position w:val="0"/>
        </w:rPr>
        <w:t>年度已全额计提商誉减值准备，故本期不再测 试。</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本公司对北京科信盛彩投资有限公司商誉的减值测试，系根据北京中锋资产评估有限责任公司出具的 《鸿博股份有限公司拟进行商誉减值测试所涉及的北京中科彩技术有限公司资产组可回收金额评估项目 资产评估报告》（中锋评报字</w:t>
      </w:r>
      <w:r>
        <w:rPr>
          <w:color w:val="000000"/>
          <w:spacing w:val="0"/>
          <w:w w:val="100"/>
          <w:position w:val="0"/>
        </w:rPr>
        <w:t>（2022）</w:t>
      </w:r>
      <w:r>
        <w:rPr>
          <w:color w:val="000000"/>
          <w:spacing w:val="0"/>
          <w:w w:val="100"/>
          <w:position w:val="0"/>
        </w:rPr>
        <w:t>第</w:t>
      </w:r>
      <w:r>
        <w:rPr>
          <w:color w:val="000000"/>
          <w:spacing w:val="0"/>
          <w:w w:val="100"/>
          <w:position w:val="0"/>
        </w:rPr>
        <w:t>01012</w:t>
      </w:r>
      <w:r>
        <w:rPr>
          <w:color w:val="000000"/>
          <w:spacing w:val="0"/>
          <w:w w:val="100"/>
          <w:position w:val="0"/>
        </w:rPr>
        <w:t>号）确定的北京中科彩技术有限公司截止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日资产组价值的评估结果为基础确定，计算未来现金流现值所采用的税后折现率为</w:t>
      </w:r>
      <w:r>
        <w:rPr>
          <w:color w:val="000000"/>
          <w:spacing w:val="0"/>
          <w:w w:val="100"/>
          <w:position w:val="0"/>
        </w:rPr>
        <w:t>9.40%，</w:t>
      </w:r>
      <w:r>
        <w:rPr>
          <w:color w:val="000000"/>
          <w:spacing w:val="0"/>
          <w:w w:val="100"/>
          <w:position w:val="0"/>
        </w:rPr>
        <w:t>截至</w:t>
      </w:r>
      <w:r>
        <w:rPr>
          <w:color w:val="000000"/>
          <w:spacing w:val="0"/>
          <w:w w:val="100"/>
          <w:position w:val="0"/>
        </w:rPr>
        <w:t>2021</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日，该资产组预计未来现金流量的现值为</w:t>
      </w:r>
      <w:r>
        <w:rPr>
          <w:color w:val="000000"/>
          <w:spacing w:val="0"/>
          <w:w w:val="100"/>
          <w:position w:val="0"/>
        </w:rPr>
        <w:t>16,342.40</w:t>
      </w:r>
      <w:r>
        <w:rPr>
          <w:color w:val="000000"/>
          <w:spacing w:val="0"/>
          <w:w w:val="100"/>
          <w:position w:val="0"/>
        </w:rPr>
        <w:t>万元。根据减值测试的结果，北京科信盛彩 投资有限公司的商誉未发生减值，故本期期末未对其计提减值准备。</w:t>
      </w:r>
    </w:p>
    <w:p>
      <w:pPr>
        <w:pStyle w:val="Style10"/>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本公司对成都标点体育文化发展有限公司商誉的减值测试，系根据北京中锋资产评估有限责任公司出 具的《鸿博股份有限公司拟进行商誉减值测试所涉及的成都标点体育文化发展有限公司资产组可回收金额 评估项目资产评估报告》（中锋咨报字</w:t>
      </w:r>
      <w:r>
        <w:rPr>
          <w:color w:val="000000"/>
          <w:spacing w:val="0"/>
          <w:w w:val="100"/>
          <w:position w:val="0"/>
        </w:rPr>
        <w:t>（2022）</w:t>
      </w:r>
      <w:r>
        <w:rPr>
          <w:color w:val="000000"/>
          <w:spacing w:val="0"/>
          <w:w w:val="100"/>
          <w:position w:val="0"/>
        </w:rPr>
        <w:t>第</w:t>
      </w:r>
      <w:r>
        <w:rPr>
          <w:color w:val="000000"/>
          <w:spacing w:val="0"/>
          <w:w w:val="100"/>
          <w:position w:val="0"/>
        </w:rPr>
        <w:t>90002</w:t>
      </w:r>
      <w:r>
        <w:rPr>
          <w:color w:val="000000"/>
          <w:spacing w:val="0"/>
          <w:w w:val="100"/>
          <w:position w:val="0"/>
        </w:rPr>
        <w:t>号）确定的成都标点体育文化发展有限公司截止</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日资产组价值的评估结果为基础确定，计算未来现金流现值所采用的税前折现率为</w:t>
      </w:r>
      <w:r>
        <w:rPr>
          <w:color w:val="000000"/>
          <w:spacing w:val="0"/>
          <w:w w:val="100"/>
          <w:position w:val="0"/>
        </w:rPr>
        <w:t>12.03%</w:t>
      </w:r>
      <w:r>
        <w:rPr>
          <w:color w:val="000000"/>
          <w:spacing w:val="0"/>
          <w:w w:val="100"/>
          <w:position w:val="0"/>
        </w:rPr>
        <w:t>，截 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日，该资产组预计未来现金流量的现值为</w:t>
      </w:r>
      <w:r>
        <w:rPr>
          <w:color w:val="000000"/>
          <w:spacing w:val="0"/>
          <w:w w:val="100"/>
          <w:position w:val="0"/>
        </w:rPr>
        <w:t>4,133.02</w:t>
      </w:r>
      <w:r>
        <w:rPr>
          <w:color w:val="000000"/>
          <w:spacing w:val="0"/>
          <w:w w:val="100"/>
          <w:position w:val="0"/>
        </w:rPr>
        <w:t>万元。根据减值测试的结果，成都 标点体育文化发展有限公司的商誉未发生减值，故本期期末未对其计提减值准备。</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商誉减值测试的影响</w:t>
      </w:r>
    </w:p>
    <w:p>
      <w:pPr>
        <w:pStyle w:val="Style10"/>
        <w:keepNext w:val="0"/>
        <w:keepLines w:val="0"/>
        <w:widowControl w:val="0"/>
        <w:shd w:val="clear" w:color="auto" w:fill="auto"/>
        <w:bidi w:val="0"/>
        <w:spacing w:before="0" w:after="200" w:line="47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月鸿博股份出资</w:t>
      </w:r>
      <w:r>
        <w:rPr>
          <w:color w:val="000000"/>
          <w:spacing w:val="0"/>
          <w:w w:val="100"/>
          <w:position w:val="0"/>
        </w:rPr>
        <w:t xml:space="preserve">2,295. </w:t>
      </w:r>
      <w:r>
        <w:rPr>
          <w:color w:val="000000"/>
          <w:spacing w:val="0"/>
          <w:w w:val="100"/>
          <w:position w:val="0"/>
        </w:rPr>
        <w:t>00</w:t>
      </w:r>
      <w:r>
        <w:rPr>
          <w:color w:val="000000"/>
          <w:spacing w:val="0"/>
          <w:w w:val="100"/>
          <w:position w:val="0"/>
        </w:rPr>
        <w:t>万元人民币收购成都标点</w:t>
      </w:r>
      <w:r>
        <w:rPr>
          <w:color w:val="000000"/>
          <w:spacing w:val="0"/>
          <w:w w:val="100"/>
          <w:position w:val="0"/>
        </w:rPr>
        <w:t>51%</w:t>
      </w:r>
      <w:r>
        <w:rPr>
          <w:color w:val="000000"/>
          <w:spacing w:val="0"/>
          <w:w w:val="100"/>
          <w:position w:val="0"/>
        </w:rPr>
        <w:t>股权；转让方承诺，成都标点在</w:t>
      </w:r>
      <w:r>
        <w:rPr>
          <w:color w:val="000000"/>
          <w:spacing w:val="0"/>
          <w:w w:val="100"/>
          <w:position w:val="0"/>
        </w:rPr>
        <w:t xml:space="preserve">2021 </w:t>
      </w:r>
      <w:r>
        <w:rPr>
          <w:color w:val="000000"/>
          <w:spacing w:val="0"/>
          <w:w w:val="100"/>
          <w:position w:val="0"/>
        </w:rPr>
        <w:t>年、</w:t>
      </w:r>
      <w:r>
        <w:rPr>
          <w:color w:val="000000"/>
          <w:spacing w:val="0"/>
          <w:w w:val="100"/>
          <w:position w:val="0"/>
        </w:rPr>
        <w:t>2022</w:t>
      </w:r>
      <w:r>
        <w:rPr>
          <w:color w:val="000000"/>
          <w:spacing w:val="0"/>
          <w:w w:val="100"/>
          <w:position w:val="0"/>
        </w:rPr>
        <w:t>年、</w:t>
      </w:r>
      <w:r>
        <w:rPr>
          <w:color w:val="000000"/>
          <w:spacing w:val="0"/>
          <w:w w:val="100"/>
          <w:position w:val="0"/>
        </w:rPr>
        <w:t>2023</w:t>
      </w:r>
      <w:r>
        <w:rPr>
          <w:color w:val="000000"/>
          <w:spacing w:val="0"/>
          <w:w w:val="100"/>
          <w:position w:val="0"/>
        </w:rPr>
        <w:t>年内实现的扣非后净利润不低于</w:t>
      </w:r>
      <w:r>
        <w:rPr>
          <w:color w:val="000000"/>
          <w:spacing w:val="0"/>
          <w:w w:val="100"/>
          <w:position w:val="0"/>
        </w:rPr>
        <w:t>400</w:t>
      </w:r>
      <w:r>
        <w:rPr>
          <w:color w:val="000000"/>
          <w:spacing w:val="0"/>
          <w:w w:val="100"/>
          <w:position w:val="0"/>
        </w:rPr>
        <w:t>万、</w:t>
      </w:r>
      <w:r>
        <w:rPr>
          <w:color w:val="000000"/>
          <w:spacing w:val="0"/>
          <w:w w:val="100"/>
          <w:position w:val="0"/>
        </w:rPr>
        <w:t>450</w:t>
      </w:r>
      <w:r>
        <w:rPr>
          <w:color w:val="000000"/>
          <w:spacing w:val="0"/>
          <w:w w:val="100"/>
          <w:position w:val="0"/>
        </w:rPr>
        <w:t>万、</w:t>
      </w:r>
      <w:r>
        <w:rPr>
          <w:color w:val="000000"/>
          <w:spacing w:val="0"/>
          <w:w w:val="100"/>
          <w:position w:val="0"/>
        </w:rPr>
        <w:t>500</w:t>
      </w:r>
      <w:r>
        <w:rPr>
          <w:color w:val="000000"/>
          <w:spacing w:val="0"/>
          <w:w w:val="100"/>
          <w:position w:val="0"/>
        </w:rPr>
        <w:t>万；</w:t>
      </w:r>
      <w:r>
        <w:rPr>
          <w:color w:val="000000"/>
          <w:spacing w:val="0"/>
          <w:w w:val="100"/>
          <w:position w:val="0"/>
        </w:rPr>
        <w:t>2021</w:t>
      </w:r>
      <w:r>
        <w:rPr>
          <w:color w:val="000000"/>
          <w:spacing w:val="0"/>
          <w:w w:val="100"/>
          <w:position w:val="0"/>
        </w:rPr>
        <w:t>年已完成业绩承诺，对 商誉减值测试无影响。</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200" w:line="480" w:lineRule="auto"/>
        <w:ind w:left="0" w:right="0" w:firstLine="0"/>
        <w:jc w:val="both"/>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2</w:t>
      </w:r>
      <w:bookmarkEnd w:id="148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79"/>
      <w:bookmarkEnd w:id="1480"/>
      <w:bookmarkEnd w:id="1482"/>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经营租赁资产改良 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14,716,451.95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5,885,827.14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8,830,624.81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9,259,283.56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311,883.16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3,075,079.31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6,496,087.41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23,975,735.51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311,883.16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8,960,906.45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15,326,712.22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3</w:t>
      </w:r>
      <w:bookmarkEnd w:id="148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83"/>
      <w:bookmarkEnd w:id="1484"/>
      <w:bookmarkEnd w:id="1486"/>
    </w:p>
    <w:p>
      <w:pPr>
        <w:pStyle w:val="Style34"/>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87"/>
      <w:bookmarkEnd w:id="1488"/>
      <w:bookmarkEnd w:id="1489"/>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54,485,595.61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8,564,980.25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46,715,559.73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7,095,095.67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5,327,383.20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799,107.48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5,798,906.49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869,835.97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143,771,083.30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23,365,533.04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102,769,834.59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16,479,767.12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软件补偿款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1,293,415.07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194,012.26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3,517,551.87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527,632.78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16,124,974.53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2,418,746.18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10,442,914.13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1,566,437.12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9,616,300.75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2,203,519.72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10,351,655.69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2,331,765.79</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使用权资产折旧及租赁 负债利息支出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1,354,842.33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203,226.35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231,973,594.79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37,749,125.28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179,596,422.50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28,870,534.45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90"/>
      <w:bookmarkEnd w:id="1491"/>
      <w:bookmarkEnd w:id="1493"/>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固定资产折旧年限差异 产生的递延所得税负债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34,872,721.09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5,230,908.16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37,641,215.00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5,646,182.25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195,476,162.22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29,321,424.33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189,370,904.46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28,405,635.67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6,175,907.73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926,386.16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4,840,492.95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726,073.94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236,524,791.04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35,478,718.65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231,852,612.41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34,777,891.86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94"/>
      <w:bookmarkEnd w:id="1495"/>
      <w:bookmarkEnd w:id="1497"/>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抵销后递延所得税资产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或负债期末余额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抵销后递延所得税资产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或负债期初余额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37,749,125.28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28,870,534.45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35,478,718.65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34,777,891.86</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98"/>
      <w:bookmarkEnd w:id="1499"/>
      <w:bookmarkEnd w:id="1501"/>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25,882,744.46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22,522,115.84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20,295,317.14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34,352,219.18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46,178,061.60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56,874,335.02</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02"/>
      <w:bookmarkEnd w:id="1503"/>
      <w:bookmarkEnd w:id="1505"/>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13,172,019.82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7,557,380.65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7,868,002.94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4,667,507.43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4,787,926.82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3,719,785.86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3,851,991.61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1,702,086.34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4,672,277.99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2,648,556.86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20,295,317.14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34,352,219.18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3</w:t>
      </w:r>
      <w:bookmarkEnd w:id="150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06"/>
      <w:bookmarkEnd w:id="1507"/>
      <w:bookmarkEnd w:id="1509"/>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118,980.00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118,980.00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3</w:t>
      </w:r>
      <w:bookmarkEnd w:id="1512"/>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10"/>
      <w:bookmarkEnd w:id="1511"/>
      <w:bookmarkEnd w:id="1513"/>
    </w:p>
    <w:p>
      <w:pPr>
        <w:pStyle w:val="Style34"/>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14"/>
      <w:bookmarkEnd w:id="1515"/>
      <w:bookmarkEnd w:id="1516"/>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抵质押借款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406,138.89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158,231.94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313,406,138.89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123,158,231.94</w:t>
            </w:r>
          </w:p>
        </w:tc>
      </w:tr>
    </w:tbl>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短期借款分类的说明：</w:t>
      </w:r>
    </w:p>
    <w:p>
      <w:pPr>
        <w:pStyle w:val="Style26"/>
        <w:keepNext w:val="0"/>
        <w:keepLines w:val="0"/>
        <w:widowControl w:val="0"/>
        <w:numPr>
          <w:ilvl w:val="0"/>
          <w:numId w:val="117"/>
        </w:numPr>
        <w:shd w:val="clear" w:color="auto" w:fill="auto"/>
        <w:tabs>
          <w:tab w:pos="373" w:val="left"/>
        </w:tabs>
        <w:bidi w:val="0"/>
        <w:spacing w:before="0" w:after="40" w:line="312" w:lineRule="exact"/>
        <w:ind w:left="0" w:right="0" w:firstLine="0"/>
        <w:jc w:val="left"/>
      </w:pPr>
      <w:bookmarkStart w:id="1517" w:name="bookmark1517"/>
      <w:bookmarkEnd w:id="1517"/>
      <w:r>
        <w:rPr>
          <w:color w:val="000000"/>
          <w:spacing w:val="0"/>
          <w:w w:val="100"/>
          <w:position w:val="0"/>
        </w:rPr>
        <w:t>质押借款为泉州银行的借款，质押物为成都农商行</w:t>
      </w:r>
      <w:r>
        <w:rPr>
          <w:rFonts w:ascii="Times New Roman" w:eastAsia="Times New Roman" w:hAnsi="Times New Roman" w:cs="Times New Roman"/>
          <w:color w:val="000000"/>
          <w:spacing w:val="0"/>
          <w:w w:val="100"/>
          <w:position w:val="0"/>
          <w:sz w:val="18"/>
          <w:szCs w:val="18"/>
        </w:rPr>
        <w:t>1,850.00</w:t>
      </w:r>
      <w:r>
        <w:rPr>
          <w:color w:val="000000"/>
          <w:spacing w:val="0"/>
          <w:w w:val="100"/>
          <w:position w:val="0"/>
        </w:rPr>
        <w:t>万股股权；</w:t>
      </w:r>
    </w:p>
    <w:p>
      <w:pPr>
        <w:pStyle w:val="Style26"/>
        <w:keepNext w:val="0"/>
        <w:keepLines w:val="0"/>
        <w:widowControl w:val="0"/>
        <w:numPr>
          <w:ilvl w:val="0"/>
          <w:numId w:val="117"/>
        </w:numPr>
        <w:shd w:val="clear" w:color="auto" w:fill="auto"/>
        <w:tabs>
          <w:tab w:pos="373" w:val="left"/>
        </w:tabs>
        <w:bidi w:val="0"/>
        <w:spacing w:before="0" w:after="40" w:line="312" w:lineRule="exact"/>
        <w:ind w:left="0" w:right="0" w:firstLine="0"/>
        <w:jc w:val="left"/>
      </w:pPr>
      <w:bookmarkStart w:id="1518" w:name="bookmark1518"/>
      <w:bookmarkEnd w:id="1518"/>
      <w:r>
        <w:rPr>
          <w:color w:val="000000"/>
          <w:spacing w:val="0"/>
          <w:w w:val="100"/>
          <w:position w:val="0"/>
        </w:rPr>
        <w:t>保证借款为华夏银行的借款，担保人为子公司重庆市鸿海印务有限公司；</w:t>
      </w:r>
    </w:p>
    <w:p>
      <w:pPr>
        <w:pStyle w:val="Style26"/>
        <w:keepNext w:val="0"/>
        <w:keepLines w:val="0"/>
        <w:widowControl w:val="0"/>
        <w:numPr>
          <w:ilvl w:val="0"/>
          <w:numId w:val="117"/>
        </w:numPr>
        <w:shd w:val="clear" w:color="auto" w:fill="auto"/>
        <w:tabs>
          <w:tab w:pos="373" w:val="left"/>
        </w:tabs>
        <w:bidi w:val="0"/>
        <w:spacing w:before="0" w:after="380" w:line="312" w:lineRule="exact"/>
        <w:ind w:left="0" w:right="0" w:firstLine="0"/>
        <w:jc w:val="left"/>
      </w:pPr>
      <w:bookmarkStart w:id="1519" w:name="bookmark1519"/>
      <w:bookmarkEnd w:id="1519"/>
      <w:r>
        <w:rPr>
          <w:color w:val="000000"/>
          <w:spacing w:val="0"/>
          <w:w w:val="100"/>
          <w:position w:val="0"/>
        </w:rPr>
        <w:t>抵质押借款为华夏银行的借款，担保人为子公司重庆市鸿海印务有限公司，质押物为成都农商行</w:t>
      </w:r>
      <w:r>
        <w:rPr>
          <w:rFonts w:ascii="Times New Roman" w:eastAsia="Times New Roman" w:hAnsi="Times New Roman" w:cs="Times New Roman"/>
          <w:color w:val="000000"/>
          <w:spacing w:val="0"/>
          <w:w w:val="100"/>
          <w:position w:val="0"/>
          <w:sz w:val="18"/>
          <w:szCs w:val="18"/>
        </w:rPr>
        <w:t>1,150.00</w:t>
      </w:r>
      <w:r>
        <w:rPr>
          <w:color w:val="000000"/>
          <w:spacing w:val="0"/>
          <w:w w:val="100"/>
          <w:position w:val="0"/>
        </w:rPr>
        <w:t>万股股权，抵押 物为母公司房产。</w:t>
      </w:r>
    </w:p>
    <w:p>
      <w:pPr>
        <w:pStyle w:val="Style34"/>
        <w:keepNext/>
        <w:keepLines/>
        <w:widowControl w:val="0"/>
        <w:shd w:val="clear" w:color="auto" w:fill="auto"/>
        <w:bidi w:val="0"/>
        <w:spacing w:before="0" w:after="280" w:line="240" w:lineRule="auto"/>
        <w:ind w:left="0" w:right="0" w:firstLine="0"/>
        <w:jc w:val="left"/>
      </w:pPr>
      <w:bookmarkStart w:id="1520" w:name="bookmark1520"/>
      <w:bookmarkStart w:id="1521" w:name="bookmark1521"/>
      <w:bookmarkStart w:id="1522" w:name="bookmark15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20"/>
      <w:bookmarkEnd w:id="1521"/>
      <w:bookmarkEnd w:id="1522"/>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6"/>
        <w:keepNext w:val="0"/>
        <w:keepLines w:val="0"/>
        <w:widowControl w:val="0"/>
        <w:shd w:val="clear" w:color="auto" w:fill="auto"/>
        <w:bidi w:val="0"/>
        <w:spacing w:before="0" w:after="80" w:line="312" w:lineRule="exact"/>
        <w:ind w:left="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逾期利率</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3</w:t>
      </w:r>
      <w:bookmarkEnd w:id="1525"/>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23"/>
      <w:bookmarkEnd w:id="1524"/>
      <w:bookmarkEnd w:id="1526"/>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3</w:t>
      </w:r>
      <w:bookmarkEnd w:id="1529"/>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27"/>
      <w:bookmarkEnd w:id="1528"/>
      <w:bookmarkEnd w:id="1530"/>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3</w:t>
      </w:r>
      <w:bookmarkEnd w:id="1533"/>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31"/>
      <w:bookmarkEnd w:id="1532"/>
      <w:bookmarkEnd w:id="1534"/>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26,368,629.20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23,100,129.15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26,368,629.20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23,100,129.15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r>
        <w:br w:type="page"/>
      </w:r>
    </w:p>
    <w:p>
      <w:pPr>
        <w:pStyle w:val="Style29"/>
        <w:keepNext/>
        <w:keepLines/>
        <w:widowControl w:val="0"/>
        <w:shd w:val="clear" w:color="auto" w:fill="auto"/>
        <w:bidi w:val="0"/>
        <w:spacing w:before="0" w:after="38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3</w:t>
      </w:r>
      <w:bookmarkEnd w:id="1537"/>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35"/>
      <w:bookmarkEnd w:id="1536"/>
      <w:bookmarkEnd w:id="1538"/>
    </w:p>
    <w:p>
      <w:pPr>
        <w:pStyle w:val="Style34"/>
        <w:keepNext/>
        <w:keepLines/>
        <w:widowControl w:val="0"/>
        <w:shd w:val="clear" w:color="auto" w:fill="auto"/>
        <w:bidi w:val="0"/>
        <w:spacing w:before="0" w:line="240" w:lineRule="auto"/>
        <w:ind w:left="0" w:right="0" w:firstLine="0"/>
        <w:jc w:val="left"/>
      </w:pPr>
      <w:bookmarkStart w:id="1539" w:name="bookmark1539"/>
      <w:bookmarkStart w:id="1540" w:name="bookmark1540"/>
      <w:bookmarkStart w:id="1541" w:name="bookmark15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39"/>
      <w:bookmarkEnd w:id="1540"/>
      <w:bookmarkEnd w:id="1541"/>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75,349,913.61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58,258,217.75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75,349,913.61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58,258,217.75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42"/>
      <w:bookmarkEnd w:id="1543"/>
      <w:bookmarkEnd w:id="1544"/>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2,586,307.68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2,461,784.79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6,048,092.47</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3</w:t>
      </w:r>
      <w:bookmarkEnd w:id="1547"/>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45"/>
      <w:bookmarkEnd w:id="1546"/>
      <w:bookmarkEnd w:id="1548"/>
    </w:p>
    <w:p>
      <w:pPr>
        <w:pStyle w:val="Style34"/>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49"/>
      <w:bookmarkEnd w:id="1550"/>
      <w:bookmarkEnd w:id="1551"/>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9,423.33</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9,423.33</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52" w:name="bookmark1552"/>
      <w:bookmarkStart w:id="1553" w:name="bookmark1553"/>
      <w:bookmarkStart w:id="1554" w:name="bookmark15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52"/>
      <w:bookmarkEnd w:id="1553"/>
      <w:bookmarkEnd w:id="1554"/>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未偿还或结转的原因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3</w:t>
      </w:r>
      <w:bookmarkEnd w:id="1557"/>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55"/>
      <w:bookmarkEnd w:id="1556"/>
      <w:bookmarkEnd w:id="1558"/>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13,896,472.64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27,783,678.61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13,896,472.64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27,783,678.61</w:t>
            </w:r>
          </w:p>
        </w:tc>
      </w:tr>
    </w:tbl>
    <w:p>
      <w:pPr>
        <w:spacing w:lineRule="exact" w:line="1"/>
        <w:rPr>
          <w:sz w:val="2"/>
          <w:szCs w:val="2"/>
        </w:rPr>
      </w:pPr>
      <w:r>
        <w:br w:type="page"/>
      </w:r>
    </w:p>
    <w:p>
      <w:pPr>
        <w:pStyle w:val="Style26"/>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报告期内账面价值发生重大变动的金额和原因 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变动原因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3</w:t>
      </w:r>
      <w:bookmarkEnd w:id="1561"/>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59"/>
      <w:bookmarkEnd w:id="1560"/>
      <w:bookmarkEnd w:id="1562"/>
    </w:p>
    <w:p>
      <w:pPr>
        <w:pStyle w:val="Style34"/>
        <w:keepNext/>
        <w:keepLines/>
        <w:widowControl w:val="0"/>
        <w:shd w:val="clear" w:color="auto" w:fill="auto"/>
        <w:bidi w:val="0"/>
        <w:spacing w:before="0" w:line="240" w:lineRule="auto"/>
        <w:ind w:left="0" w:right="0" w:firstLine="0"/>
        <w:jc w:val="left"/>
      </w:pPr>
      <w:bookmarkStart w:id="1563" w:name="bookmark1563"/>
      <w:bookmarkStart w:id="1564" w:name="bookmark1564"/>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63"/>
      <w:bookmarkEnd w:id="1564"/>
      <w:bookmarkEnd w:id="1565"/>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23,128,359.84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124,050,249.85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126,436,059.68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20,742,550.01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202,123.91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10,573,521.80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10,513,409.17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262,236.54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923,184.75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3,712,604.89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4,497,649.64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138,140.00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24,253,668.50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138,336,376.54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141,447,118.49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21,142,926.55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66" w:name="bookmark1566"/>
      <w:bookmarkStart w:id="1567" w:name="bookmark1567"/>
      <w:bookmarkStart w:id="1568" w:name="bookmark15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66"/>
      <w:bookmarkEnd w:id="1567"/>
      <w:bookmarkEnd w:id="1568"/>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22,636,247.67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108,719,324.20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111,012,600.04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20,342,971.83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3,424,789.28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3,424,789.28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256,817.68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6,659,090.79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6,783,048.45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132,860.02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231,388.77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5,788,009.06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5,898,778.37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120,619.46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716,180.49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725,760.70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12,240.56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3,608.14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154,901.24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158,509.38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29,734.00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4,353,780.00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4,357,674.00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25,840.00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205,560.49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893,265.58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857,947.91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240,878.16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23,128,359.84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124,050,249.85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126,436,059.68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20,742,550.01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69"/>
      <w:bookmarkEnd w:id="1570"/>
      <w:bookmarkEnd w:id="1572"/>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196,922.00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10,206,012.31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10,151,187.75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251,746.56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5,201.91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367,509.49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362,221.42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10,489.98</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202,123.91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10,573,521.80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10,513,409.17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262,236.54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4</w:t>
      </w:r>
      <w:bookmarkEnd w:id="157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73"/>
      <w:bookmarkEnd w:id="1574"/>
      <w:bookmarkEnd w:id="1576"/>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9,263,171.35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7,310,155.86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3,341,812.26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599,477.57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320,900.33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200,556.13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480,856.91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306,766.72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346,342.62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219,084.45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413,377.84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621,991.39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28,416.61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28,295.39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274,206.15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205,140.73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14,469,084.07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9,491,468.24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4</w:t>
      </w:r>
      <w:bookmarkEnd w:id="157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77"/>
      <w:bookmarkEnd w:id="1578"/>
      <w:bookmarkEnd w:id="1580"/>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13,654,020.94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23,275,000.00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15,677,154.05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15,724,183.83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29,331,174.99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38,999,183.83</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81"/>
      <w:bookmarkEnd w:id="1582"/>
      <w:bookmarkEnd w:id="1583"/>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r>
        <w:trPr>
          <w:trHeight w:val="754" w:hRule="exact"/>
        </w:trPr>
        <w:tc>
          <w:tcPr>
            <w:gridSpan w:val="3"/>
            <w:tcBorders>
              <w:top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color w:val="000000"/>
                <w:spacing w:val="0"/>
                <w:w w:val="100"/>
                <w:position w:val="0"/>
              </w:rPr>
              <w:t>重要的已逾期未支付的利息情况： 单位：元</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逾期原因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84"/>
      <w:bookmarkEnd w:id="1585"/>
      <w:bookmarkEnd w:id="158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13,654,020.94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23,275,000.00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13,654,020.94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23,275,000.00</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4"/>
        <w:keepNext/>
        <w:keepLines/>
        <w:widowControl w:val="0"/>
        <w:shd w:val="clear" w:color="auto" w:fill="auto"/>
        <w:bidi w:val="0"/>
        <w:spacing w:before="0" w:after="36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w:t>
      </w:r>
      <w:bookmarkEnd w:id="1589"/>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87"/>
      <w:bookmarkEnd w:id="1588"/>
      <w:bookmarkEnd w:id="1590"/>
    </w:p>
    <w:p>
      <w:pPr>
        <w:pStyle w:val="Style53"/>
        <w:keepNext/>
        <w:keepLines/>
        <w:widowControl w:val="0"/>
        <w:shd w:val="clear" w:color="auto" w:fill="auto"/>
        <w:bidi w:val="0"/>
        <w:spacing w:before="0" w:after="360" w:line="240" w:lineRule="auto"/>
        <w:ind w:left="0" w:right="0" w:firstLine="0"/>
        <w:jc w:val="left"/>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91"/>
      <w:bookmarkEnd w:id="1592"/>
      <w:bookmarkEnd w:id="1593"/>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2,598,060.44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3,600,104.20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6,234,219.08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4,059,972.52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暂收待付款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448,704.42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6,844,874.53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6,280,001.25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1,335,401.44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15,677,154.05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15,724,183.83</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left"/>
      </w:pPr>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94"/>
      <w:bookmarkEnd w:id="1595"/>
      <w:bookmarkEnd w:id="1596"/>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福建悦孚智能科技有限公司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租赁押金未到期</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美彩科技（中国）有限公司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1,021,042.14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尚未到期</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3,021,042.14</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4</w:t>
      </w:r>
      <w:bookmarkEnd w:id="1599"/>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97"/>
      <w:bookmarkEnd w:id="1598"/>
      <w:bookmarkEnd w:id="1600"/>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4</w:t>
      </w:r>
      <w:bookmarkEnd w:id="160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01"/>
      <w:bookmarkEnd w:id="1602"/>
      <w:bookmarkEnd w:id="1604"/>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11,391,405.96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11,391,405.96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4</w:t>
      </w:r>
      <w:bookmarkEnd w:id="160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05"/>
      <w:bookmarkEnd w:id="1606"/>
      <w:bookmarkEnd w:id="1608"/>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2,241,735.80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106,880.78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2,241,735.80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106,880.78</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短期应付债券的增减变动: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本期发行</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按面值计 提利息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溢折价摊 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4</w:t>
      </w:r>
      <w:bookmarkEnd w:id="161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09"/>
      <w:bookmarkEnd w:id="1610"/>
      <w:bookmarkEnd w:id="1612"/>
    </w:p>
    <w:p>
      <w:pPr>
        <w:pStyle w:val="Style34"/>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13"/>
      <w:bookmarkEnd w:id="1614"/>
      <w:bookmarkEnd w:id="1615"/>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应付未逾期利息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65,972.22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50,065,972.22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抵押借款为光大银行的借款，抵押物为母公司位于金达路的房产及土地（已出租，列报在投资性房地产）。</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29"/>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4</w:t>
      </w:r>
      <w:bookmarkEnd w:id="1618"/>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16"/>
      <w:bookmarkEnd w:id="1617"/>
      <w:bookmarkEnd w:id="1619"/>
    </w:p>
    <w:p>
      <w:pPr>
        <w:pStyle w:val="Style34"/>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20"/>
      <w:bookmarkEnd w:id="1621"/>
      <w:bookmarkEnd w:id="1622"/>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23"/>
      <w:bookmarkEnd w:id="1624"/>
      <w:bookmarkEnd w:id="1625"/>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本期发行</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按面值计 提利息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溢折价摊 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numPr>
          <w:ilvl w:val="0"/>
          <w:numId w:val="119"/>
        </w:numPr>
        <w:shd w:val="clear" w:color="auto" w:fill="auto"/>
        <w:tabs>
          <w:tab w:pos="478" w:val="left"/>
        </w:tabs>
        <w:bidi w:val="0"/>
        <w:spacing w:before="0" w:after="360" w:line="240" w:lineRule="auto"/>
        <w:ind w:left="0" w:right="0" w:firstLine="0"/>
        <w:jc w:val="left"/>
      </w:pPr>
      <w:bookmarkStart w:id="1626" w:name="bookmark1626"/>
      <w:bookmarkStart w:id="1627" w:name="bookmark1627"/>
      <w:bookmarkStart w:id="1628" w:name="bookmark1628"/>
      <w:bookmarkStart w:id="1629" w:name="bookmark1629"/>
      <w:bookmarkEnd w:id="1628"/>
      <w:r>
        <w:rPr>
          <w:color w:val="000000"/>
          <w:spacing w:val="0"/>
          <w:w w:val="100"/>
          <w:position w:val="0"/>
        </w:rPr>
        <w:t>可转换公司债券的转股条件、转股时间说明</w:t>
      </w:r>
      <w:bookmarkEnd w:id="1626"/>
      <w:bookmarkEnd w:id="1627"/>
      <w:bookmarkEnd w:id="1629"/>
    </w:p>
    <w:p>
      <w:pPr>
        <w:pStyle w:val="Style34"/>
        <w:keepNext/>
        <w:keepLines/>
        <w:widowControl w:val="0"/>
        <w:numPr>
          <w:ilvl w:val="0"/>
          <w:numId w:val="119"/>
        </w:numPr>
        <w:shd w:val="clear" w:color="auto" w:fill="auto"/>
        <w:tabs>
          <w:tab w:pos="478" w:val="left"/>
        </w:tabs>
        <w:bidi w:val="0"/>
        <w:spacing w:before="0" w:after="240" w:line="240" w:lineRule="auto"/>
        <w:ind w:left="0" w:right="0" w:firstLine="0"/>
        <w:jc w:val="left"/>
      </w:pPr>
      <w:bookmarkStart w:id="1630" w:name="bookmark1630"/>
      <w:bookmarkStart w:id="1631" w:name="bookmark1631"/>
      <w:bookmarkStart w:id="1632" w:name="bookmark1632"/>
      <w:bookmarkStart w:id="1633" w:name="bookmark1633"/>
      <w:bookmarkEnd w:id="1632"/>
      <w:r>
        <w:rPr>
          <w:color w:val="000000"/>
          <w:spacing w:val="0"/>
          <w:w w:val="100"/>
          <w:position w:val="0"/>
        </w:rPr>
        <w:t>划分为金融负债的其他金融工具说明</w:t>
      </w:r>
      <w:bookmarkEnd w:id="1630"/>
      <w:bookmarkEnd w:id="1631"/>
      <w:bookmarkEnd w:id="1633"/>
    </w:p>
    <w:p>
      <w:pPr>
        <w:pStyle w:val="Style26"/>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期末发行在外的优先股、永续债等其他金融工具基本情况 期末发行在外的优先股、永续债等金融工具变动情况表 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发行在外的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4</w:t>
      </w:r>
      <w:bookmarkEnd w:id="1636"/>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34"/>
      <w:bookmarkEnd w:id="1635"/>
      <w:bookmarkEnd w:id="1637"/>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15,025,514.90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37,404,785.93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15,025,514.90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37,404,785.93</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4</w:t>
      </w:r>
      <w:bookmarkEnd w:id="1640"/>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38"/>
      <w:bookmarkEnd w:id="1639"/>
      <w:bookmarkEnd w:id="1641"/>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642" w:name="bookmark1642"/>
      <w:bookmarkStart w:id="1643" w:name="bookmark1643"/>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42"/>
      <w:bookmarkEnd w:id="1643"/>
      <w:bookmarkEnd w:id="1644"/>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645" w:name="bookmark1645"/>
      <w:bookmarkStart w:id="1646" w:name="bookmark1646"/>
      <w:bookmarkStart w:id="1647" w:name="bookmark16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45"/>
      <w:bookmarkEnd w:id="1646"/>
      <w:bookmarkEnd w:id="1647"/>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r>
    </w:tbl>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4</w:t>
      </w:r>
      <w:bookmarkEnd w:id="1650"/>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48"/>
      <w:bookmarkEnd w:id="1649"/>
      <w:bookmarkEnd w:id="1651"/>
    </w:p>
    <w:p>
      <w:pPr>
        <w:pStyle w:val="Style34"/>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52"/>
      <w:bookmarkEnd w:id="1653"/>
      <w:bookmarkEnd w:id="1654"/>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55" w:name="bookmark1655"/>
      <w:bookmarkStart w:id="1656" w:name="bookmark1656"/>
      <w:bookmarkStart w:id="1657" w:name="bookmark16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55"/>
      <w:bookmarkEnd w:id="1656"/>
      <w:bookmarkEnd w:id="1657"/>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color w:val="000000"/>
                <w:spacing w:val="0"/>
                <w:w w:val="100"/>
                <w:position w:val="0"/>
              </w:rPr>
              <w:t>计划资产： 单位：元</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上期发生额</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设定受益计划重大精算假设及敏感性分析结果说明：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5</w:t>
      </w:r>
      <w:bookmarkEnd w:id="166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58"/>
      <w:bookmarkEnd w:id="1659"/>
      <w:bookmarkEnd w:id="1661"/>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16,124,974.51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10,442,914.10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按历史经验预提</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16,124,974.51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10,442,914.10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其他说明，包括重要预计负债的相关重要假设、估计说明：</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预计负债系中科彩公司根据相关协议计提的彩票下市销毁费用。中科彩公司针对截止年末已出售但客户尚未最终对外销售的 非包销与非长线游戏的彩票，根据历史经验数据模型估算下市票销毁概率，按其协议约定计算销毁费用。</w:t>
      </w:r>
    </w:p>
    <w:p>
      <w:pPr>
        <w:pStyle w:val="Style29"/>
        <w:keepNext/>
        <w:keepLines/>
        <w:widowControl w:val="0"/>
        <w:shd w:val="clear" w:color="auto" w:fill="auto"/>
        <w:bidi w:val="0"/>
        <w:spacing w:before="0" w:after="26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5</w:t>
      </w:r>
      <w:bookmarkEnd w:id="166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62"/>
      <w:bookmarkEnd w:id="1663"/>
      <w:bookmarkEnd w:id="1665"/>
    </w:p>
    <w:p>
      <w:pPr>
        <w:pStyle w:val="Style2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10,351,655.69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735,354.91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9,616,300.78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10,351,655.69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735,354.91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9,616,300.78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涉及政府补助的项目:</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本期新增补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助金额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进口设备贴 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931,256.88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372,502.70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558,754.18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北京市大兴 区财政局锅 炉补贴款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89,790.70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78,906.98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环保技改项 目预拨补助 资金（废气 治理设施升 级改造）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375,294.11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31,058.82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344,235.29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环保技改项 目预拨补助 资金（废气 治理设施升 级改造）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188,757.40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15,621.30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173,136.10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废气治理设</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施改造款</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（环保项</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367,109.83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336,728.32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燃气锅炉低</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氮改造项目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70,157.48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61,653.54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尾气处理系</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统开放改造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136,592.32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26,017.58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110,574.74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污水净化处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59,357.14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锡太旅委纪</w:t>
            </w:r>
          </w:p>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号发展扶持 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3,785,933.11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3,698,733.07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锡太旅委纪</w:t>
            </w:r>
          </w:p>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号发展扶持 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2,778,666.89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2,714,666.93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锡滨委发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1,225,574.35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28,228.20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1,197,346.15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p>
    <w:tbl>
      <w:tblPr>
        <w:tblOverlap w:val="never"/>
        <w:jc w:val="center"/>
        <w:tblLayout w:type="fixed"/>
      </w:tblPr>
      <w:tblGrid>
        <w:gridCol w:w="1022"/>
        <w:gridCol w:w="1248"/>
        <w:gridCol w:w="1008"/>
        <w:gridCol w:w="1013"/>
        <w:gridCol w:w="1008"/>
        <w:gridCol w:w="1008"/>
        <w:gridCol w:w="1013"/>
        <w:gridCol w:w="1248"/>
        <w:gridCol w:w="1018"/>
      </w:tblGrid>
      <w:tr>
        <w:trPr>
          <w:trHeight w:val="130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66 </w:t>
            </w:r>
            <w:r>
              <w:rPr>
                <w:color w:val="000000"/>
                <w:spacing w:val="0"/>
                <w:w w:val="100"/>
                <w:position w:val="0"/>
              </w:rPr>
              <w:t>号市政公用 基础设施配 套费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无组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织排放系统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319,422.62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37,214.28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282,208.34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5</w:t>
      </w:r>
      <w:bookmarkEnd w:id="166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66"/>
      <w:bookmarkEnd w:id="1667"/>
      <w:bookmarkEnd w:id="1669"/>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70"/>
      <w:bookmarkEnd w:id="1671"/>
      <w:bookmarkEnd w:id="1672"/>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498,344,263.00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498,344,263.00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5</w:t>
      </w:r>
      <w:bookmarkEnd w:id="1675"/>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73"/>
      <w:bookmarkEnd w:id="1674"/>
      <w:bookmarkEnd w:id="1676"/>
    </w:p>
    <w:p>
      <w:pPr>
        <w:pStyle w:val="Style34"/>
        <w:keepNext/>
        <w:keepLines/>
        <w:widowControl w:val="0"/>
        <w:shd w:val="clear" w:color="auto" w:fill="auto"/>
        <w:tabs>
          <w:tab w:pos="478" w:val="left"/>
        </w:tabs>
        <w:bidi w:val="0"/>
        <w:spacing w:before="0" w:line="240" w:lineRule="auto"/>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rPr>
        <w:t>（</w:t>
      </w:r>
      <w:bookmarkEnd w:id="1679"/>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77"/>
      <w:bookmarkEnd w:id="1678"/>
      <w:bookmarkEnd w:id="1680"/>
    </w:p>
    <w:p>
      <w:pPr>
        <w:pStyle w:val="Style34"/>
        <w:keepNext/>
        <w:keepLines/>
        <w:widowControl w:val="0"/>
        <w:shd w:val="clear" w:color="auto" w:fill="auto"/>
        <w:tabs>
          <w:tab w:pos="478" w:val="left"/>
        </w:tabs>
        <w:bidi w:val="0"/>
        <w:spacing w:before="0" w:line="240" w:lineRule="auto"/>
        <w:ind w:left="0" w:right="0" w:firstLine="0"/>
        <w:jc w:val="left"/>
      </w:pPr>
      <w:bookmarkStart w:id="1681" w:name="bookmark1681"/>
      <w:bookmarkStart w:id="1682" w:name="bookmark1682"/>
      <w:bookmarkStart w:id="1683" w:name="bookmark1683"/>
      <w:bookmarkStart w:id="1684" w:name="bookmark1684"/>
      <w:r>
        <w:rPr>
          <w:color w:val="000000"/>
          <w:spacing w:val="0"/>
          <w:w w:val="100"/>
          <w:position w:val="0"/>
        </w:rPr>
        <w:t>（</w:t>
      </w:r>
      <w:bookmarkEnd w:id="1683"/>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81"/>
      <w:bookmarkEnd w:id="1682"/>
      <w:bookmarkEnd w:id="1684"/>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发行在外的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5</w:t>
      </w:r>
      <w:bookmarkEnd w:id="1687"/>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85"/>
      <w:bookmarkEnd w:id="1686"/>
      <w:bookmarkEnd w:id="1688"/>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873,410,757.05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873,410,757.05</w:t>
            </w:r>
          </w:p>
        </w:tc>
      </w:tr>
    </w:tbl>
    <w:p>
      <w:pPr>
        <w:widowControl w:val="0"/>
        <w:spacing w:line="1" w:lineRule="exact"/>
      </w:pP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2,166,912.00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2,166,912.00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875,577,669.05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875,577,669.05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5</w:t>
      </w:r>
      <w:bookmarkEnd w:id="169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89"/>
      <w:bookmarkEnd w:id="1690"/>
      <w:bookmarkEnd w:id="1692"/>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减少注册资本回购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40,518,032.85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40,518,032.85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40,518,032.85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40,518,032.85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5</w:t>
      </w:r>
      <w:bookmarkEnd w:id="169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93"/>
      <w:bookmarkEnd w:id="1694"/>
      <w:bookmarkEnd w:id="1696"/>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期末余 额</w:t>
            </w:r>
          </w:p>
        </w:tc>
      </w:tr>
      <w:tr>
        <w:trPr>
          <w:trHeight w:val="166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本期所得</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税前发生</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 益当期转入 损益</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减：所得</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税后归属 于少数股 东</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5</w:t>
      </w:r>
      <w:bookmarkEnd w:id="1699"/>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97"/>
      <w:bookmarkEnd w:id="1698"/>
      <w:bookmarkEnd w:id="1700"/>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5</w:t>
      </w:r>
      <w:bookmarkEnd w:id="170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01"/>
      <w:bookmarkEnd w:id="1702"/>
      <w:bookmarkEnd w:id="1704"/>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65,354,147.44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65,354,147.44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65,354,147.44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65,354,147.44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6</w:t>
      </w:r>
      <w:bookmarkEnd w:id="170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05"/>
      <w:bookmarkEnd w:id="1706"/>
      <w:bookmarkEnd w:id="170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单位:元</w:t>
      </w: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281,083,267.13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260,990,639.94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-1,807,712.30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279,275,554.83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260,990,639.94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9,139,042.08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25,458,258.23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5,365,631.04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288,414,596.91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281,083,267.13</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line="240" w:lineRule="auto"/>
        <w:ind w:left="0" w:right="0" w:firstLine="0"/>
        <w:jc w:val="left"/>
      </w:pPr>
      <w:bookmarkStart w:id="1709" w:name="bookmark1709"/>
      <w:r>
        <w:rPr>
          <w:rFonts w:ascii="Times New Roman" w:eastAsia="Times New Roman" w:hAnsi="Times New Roman" w:cs="Times New Roman"/>
          <w:color w:val="000000"/>
          <w:spacing w:val="0"/>
          <w:w w:val="100"/>
          <w:position w:val="0"/>
          <w:sz w:val="18"/>
          <w:szCs w:val="18"/>
        </w:rPr>
        <w:t>1</w:t>
      </w:r>
      <w:bookmarkEnd w:id="17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6"/>
        <w:keepNext w:val="0"/>
        <w:keepLines w:val="0"/>
        <w:widowControl w:val="0"/>
        <w:shd w:val="clear" w:color="auto" w:fill="auto"/>
        <w:tabs>
          <w:tab w:pos="349" w:val="left"/>
        </w:tabs>
        <w:bidi w:val="0"/>
        <w:spacing w:before="0" w:line="240" w:lineRule="auto"/>
        <w:ind w:left="0" w:right="0" w:firstLine="0"/>
        <w:jc w:val="left"/>
      </w:pPr>
      <w:bookmarkStart w:id="1710" w:name="bookmark1710"/>
      <w:r>
        <w:rPr>
          <w:rFonts w:ascii="Times New Roman" w:eastAsia="Times New Roman" w:hAnsi="Times New Roman" w:cs="Times New Roman"/>
          <w:color w:val="000000"/>
          <w:spacing w:val="0"/>
          <w:w w:val="100"/>
          <w:position w:val="0"/>
          <w:sz w:val="18"/>
          <w:szCs w:val="18"/>
        </w:rPr>
        <w:t>2</w:t>
      </w:r>
      <w:bookmarkEnd w:id="17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-1,807,712.30</w:t>
      </w:r>
      <w:r>
        <w:rPr>
          <w:color w:val="000000"/>
          <w:spacing w:val="0"/>
          <w:w w:val="100"/>
          <w:position w:val="0"/>
        </w:rPr>
        <w:t>元。</w:t>
      </w:r>
    </w:p>
    <w:p>
      <w:pPr>
        <w:pStyle w:val="Style26"/>
        <w:keepNext w:val="0"/>
        <w:keepLines w:val="0"/>
        <w:widowControl w:val="0"/>
        <w:shd w:val="clear" w:color="auto" w:fill="auto"/>
        <w:tabs>
          <w:tab w:pos="349" w:val="left"/>
        </w:tabs>
        <w:bidi w:val="0"/>
        <w:spacing w:before="0" w:line="240" w:lineRule="auto"/>
        <w:ind w:left="0" w:right="0" w:firstLine="0"/>
        <w:jc w:val="left"/>
      </w:pPr>
      <w:bookmarkStart w:id="1711" w:name="bookmark1711"/>
      <w:r>
        <w:rPr>
          <w:rFonts w:ascii="Times New Roman" w:eastAsia="Times New Roman" w:hAnsi="Times New Roman" w:cs="Times New Roman"/>
          <w:color w:val="000000"/>
          <w:spacing w:val="0"/>
          <w:w w:val="100"/>
          <w:position w:val="0"/>
          <w:sz w:val="18"/>
          <w:szCs w:val="18"/>
        </w:rPr>
        <w:t>3</w:t>
      </w:r>
      <w:bookmarkEnd w:id="17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6"/>
        <w:keepNext w:val="0"/>
        <w:keepLines w:val="0"/>
        <w:widowControl w:val="0"/>
        <w:shd w:val="clear" w:color="auto" w:fill="auto"/>
        <w:tabs>
          <w:tab w:pos="349" w:val="left"/>
        </w:tabs>
        <w:bidi w:val="0"/>
        <w:spacing w:before="0" w:line="240" w:lineRule="auto"/>
        <w:ind w:left="0" w:right="0" w:firstLine="0"/>
        <w:jc w:val="left"/>
      </w:pPr>
      <w:bookmarkStart w:id="1712" w:name="bookmark1712"/>
      <w:r>
        <w:rPr>
          <w:rFonts w:ascii="Times New Roman" w:eastAsia="Times New Roman" w:hAnsi="Times New Roman" w:cs="Times New Roman"/>
          <w:color w:val="000000"/>
          <w:spacing w:val="0"/>
          <w:w w:val="100"/>
          <w:position w:val="0"/>
          <w:sz w:val="18"/>
          <w:szCs w:val="18"/>
        </w:rPr>
        <w:t>4</w:t>
      </w:r>
      <w:bookmarkEnd w:id="17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6"/>
        <w:keepNext w:val="0"/>
        <w:keepLines w:val="0"/>
        <w:widowControl w:val="0"/>
        <w:shd w:val="clear" w:color="auto" w:fill="auto"/>
        <w:tabs>
          <w:tab w:pos="349" w:val="left"/>
        </w:tabs>
        <w:bidi w:val="0"/>
        <w:spacing w:before="0" w:after="380" w:line="240" w:lineRule="auto"/>
        <w:ind w:left="0" w:right="0" w:firstLine="0"/>
        <w:jc w:val="left"/>
      </w:pPr>
      <w:bookmarkStart w:id="1713" w:name="bookmark1713"/>
      <w:r>
        <w:rPr>
          <w:rFonts w:ascii="Times New Roman" w:eastAsia="Times New Roman" w:hAnsi="Times New Roman" w:cs="Times New Roman"/>
          <w:color w:val="000000"/>
          <w:spacing w:val="0"/>
          <w:w w:val="100"/>
          <w:position w:val="0"/>
          <w:sz w:val="18"/>
          <w:szCs w:val="18"/>
        </w:rPr>
        <w:t>5</w:t>
      </w:r>
      <w:bookmarkEnd w:id="17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9"/>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6</w:t>
      </w:r>
      <w:bookmarkEnd w:id="171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14"/>
      <w:bookmarkEnd w:id="1715"/>
      <w:bookmarkEnd w:id="1717"/>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561,743,831.88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425,701,556.07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461,877,181.20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355,695,996.92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12,685,616.93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3,250,942.73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11,942,478.34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3,597,815.31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574,429,448.81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428,952,498.80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473,819,659.54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359,293,812.23</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728"/>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具体扣除情况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具体扣除情况</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574,429,448.81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473,819,659.54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营业收入扣除项目合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16,307,328.66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租金、废料收入等正常经 营之外的其他业务收入， 以及本年度新增的纸浆 贸易收入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11,942,478.34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租金、废料收入等正 常经营之外的其他业 务收入</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营业收入扣除项目合 计金额占营业收入的 比重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一、与主营业务无关 的业务收入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正常经营之外的其 他业务收入。如出租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12,685,616.93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租金、废料收入等正常经 营之外的其他业务收入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28"/>
        <w:gridCol w:w="2078"/>
        <w:gridCol w:w="2030"/>
        <w:gridCol w:w="2030"/>
        <w:gridCol w:w="1718"/>
      </w:tblGrid>
      <w:tr>
        <w:trPr>
          <w:trHeight w:val="286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本会计年度以及上 一会计年度新增贸易 业务所产生的收入。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3,621,711.73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本年度新增的纸浆贸易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与主营业务无关的业 务收入小计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16,307,328.66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租金、废料收入等正常经 营之外的其他业务收入， 以及本年度新增的纸浆 贸易收入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11,942,478.34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租金、废料收入等正 常经营之外的其他业 务收入</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二、不具备商业实质 的收入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不具备商业实质的收 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558,122,120.15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扣除后营业收入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461,877,181.20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扣除后营业收入</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389,764,033.15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160,132,946.26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24,532,469.40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574,429,448.81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389,764,033.15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389,764,033.15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包装办公用纸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160,132,946.26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160,132,946.26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24,532,469.40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24,532,469.40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389,764,033.15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160,132,946.26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24,532,469.40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574,429,448.81</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28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6</w:t>
      </w:r>
      <w:bookmarkEnd w:id="172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18"/>
      <w:bookmarkEnd w:id="1719"/>
      <w:bookmarkEnd w:id="1721"/>
    </w:p>
    <w:p>
      <w:pPr>
        <w:pStyle w:val="Style26"/>
        <w:keepNext w:val="0"/>
        <w:keepLines w:val="0"/>
        <w:widowControl w:val="0"/>
        <w:shd w:val="clear" w:color="auto" w:fill="auto"/>
        <w:bidi w:val="0"/>
        <w:spacing w:before="0" w:after="80" w:line="317" w:lineRule="exact"/>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2,571,537.11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2,040,046.92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1,852,130.06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1,455,202.88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3,896,139.62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3,402,656.55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656,513.99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602,782.54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22,076.72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622,978.16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310,723.35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51,667.36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19,294.39</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9,650,966.30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7,852,783.35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6</w:t>
      </w:r>
      <w:bookmarkEnd w:id="172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22"/>
      <w:bookmarkEnd w:id="1723"/>
      <w:bookmarkEnd w:id="1725"/>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9,401,526.18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10,038,046.13</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5,877,860.88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5,706,370.79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1,475,284.04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663,024.34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1,099,931.68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97,108.96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721,441.79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765,400.19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85,255.37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581,977.77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17,512.93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9,205.47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运输装卸费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9,984.07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254,771.80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1,401,137.52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4,107,223.23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20,089,934.46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22,223,128.68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6</w:t>
      </w:r>
      <w:bookmarkEnd w:id="172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26"/>
      <w:bookmarkEnd w:id="1727"/>
      <w:bookmarkEnd w:id="1729"/>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29,119,391.80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32,398,793.99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10,134,658.92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10,091,145.43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9,631,667.85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8,760,559.99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修理检测费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4,924,678.02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6,317,436.18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7,586,553.52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4,592,596.63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4,685,510.52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2,762,279.40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3,533,495.59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2,059,406.12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水电暖管理费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1,808,558.79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1,741,941.45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安保费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1,110,198.16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1,450,598.98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802,490.66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1,254,543.51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1,363,287.77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1,065,189.61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405,956.49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616,022.12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376,192.10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588,052.26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265,460.63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253,589.24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210,402.87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57,862.88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4,309,626.69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5,266,714.70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80,268,130.38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79,276,732.49</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6</w:t>
      </w:r>
      <w:bookmarkEnd w:id="173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30"/>
      <w:bookmarkEnd w:id="1731"/>
      <w:bookmarkEnd w:id="173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10,833,030.71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7,258,874.11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2,513,413.59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4,432,239.69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7,387,418.15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9,324,117.08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其他相关费用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2,252,103.05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144,623.57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22,985,965.50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21,159,854.45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6</w:t>
      </w:r>
      <w:bookmarkEnd w:id="173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34"/>
      <w:bookmarkEnd w:id="1735"/>
      <w:bookmarkEnd w:id="1737"/>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10,287,447.63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5,149,815.26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其中：租赁负债的利息费用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1,146,037.99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7,135,654.34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6,043,794.60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-105,550.18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246,648.97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267,194.89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3,389,101.26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-732,334.63</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6</w:t>
      </w:r>
      <w:bookmarkEnd w:id="174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38"/>
      <w:bookmarkEnd w:id="1739"/>
      <w:bookmarkEnd w:id="1741"/>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进口设备贴息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372,502.70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372,502.70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北京市大兴区财政局锅炉补贴款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10,883.72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10,883.72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环保技改项目预拨补助资金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废气治理设</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施升级改造</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31,058.82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31,058.83</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环保技改项目预拨补助资金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废气治理设</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施升级改造</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15,621.30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15,621.30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收到废气治理设施改造款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环保项目</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30,381.51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30,381.50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燃气锅炉低氮改造项目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8,503.94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8,503.94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柴油叉车淘汰项目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尾气处理系统开放改造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26,017.58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26,017.58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污水净化处理项目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23,742.86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23,742.86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物联网应用示范项目配套扶持资金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179,428.20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179,428.20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无组织排放系统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37,214.28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20,577.38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残疾人退税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2,655,688.65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3,029,625.18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67,589.99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2,346,045.35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泸州市纳溪区丰乐镇人民政府企业扶持 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601,400.00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贯标补助款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税收减免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215,884.99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129,576.79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绿色印刷补偿款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52,928.41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108,238.06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泸州市纳溪区建立现代企业制度奖励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80,194.47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72,471.36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线上培训补贴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以工代训培训补贴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428,750.00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年企业建档立卡补贴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40,020.00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泸州市生态环境局补助资金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30,440.00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产业提升引导资金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27,490.77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25,110.75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滞留湖北员工补助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党建教育活动补助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无锡市高技能人才公共实训服务中心社</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高温慰问金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年党费返还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吸纳贫困人口跨省务工奖励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1,486.11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岗前培训补贴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年度开拓市场市级奖励资金榕工信 运行【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人社局两节培训补贴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泸州市纳溪区商务局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年度飞地园区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企业研发分段补助</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年度清算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245,220.00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泸州市纳溪区就业服务管理局工业企业 奖补资金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144,215.00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141,346.00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北京节能环保中心清洁生产补助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432,331.20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75,624.91</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7,568,913.01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7,778,001.52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6</w:t>
      </w:r>
      <w:bookmarkEnd w:id="174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42"/>
      <w:bookmarkEnd w:id="1743"/>
      <w:bookmarkEnd w:id="1745"/>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8,789,166.08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7,392,396.28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6,215,923.96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11,690,824.97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15,005,090.04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19,083,221.25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6</w:t>
      </w:r>
      <w:bookmarkEnd w:id="1748"/>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46"/>
      <w:bookmarkEnd w:id="1747"/>
      <w:bookmarkEnd w:id="1749"/>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上期发生额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7</w:t>
      </w:r>
      <w:bookmarkEnd w:id="1752"/>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50"/>
      <w:bookmarkEnd w:id="1751"/>
      <w:bookmarkEnd w:id="1753"/>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7,913,675.31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77,213,065.52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7,913,675.31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77,213,065.52</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7</w:t>
      </w:r>
      <w:bookmarkEnd w:id="175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54"/>
      <w:bookmarkEnd w:id="1755"/>
      <w:bookmarkEnd w:id="1757"/>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-2,195,838.48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-598,691.23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-3,868,581.81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-90,810.93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-6,064,420.29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-689,502.16</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7</w:t>
      </w:r>
      <w:bookmarkEnd w:id="176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58"/>
      <w:bookmarkEnd w:id="1759"/>
      <w:bookmarkEnd w:id="1761"/>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-3,227,598.43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-8,416,381.09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-6,733,429.61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-25,923,825.23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-2,430,505.82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-2,200,850.38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-12,391,533.86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-36,541,056.70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7</w:t>
      </w:r>
      <w:bookmarkEnd w:id="176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62"/>
      <w:bookmarkEnd w:id="1763"/>
      <w:bookmarkEnd w:id="1765"/>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1,548,610.84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-447,200.42</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1,548,610.84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-447,200.42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7</w:t>
      </w:r>
      <w:bookmarkEnd w:id="176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66"/>
      <w:bookmarkEnd w:id="1767"/>
      <w:bookmarkEnd w:id="1769"/>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67,945.30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503,038.89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67,945.30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57,217.52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642,156.46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57,217.52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125,162.82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1,175,195.35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计入当期损益的政府补助:</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7</w:t>
      </w:r>
      <w:bookmarkEnd w:id="177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70"/>
      <w:bookmarkEnd w:id="1771"/>
      <w:bookmarkEnd w:id="1773"/>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163,521.62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590,998.22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163,521.62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888,161.00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119,509.05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34,294.86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119,509.05</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283,030.67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1,515,479.08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7</w:t>
      </w:r>
      <w:bookmarkEnd w:id="177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74"/>
      <w:bookmarkEnd w:id="1775"/>
      <w:bookmarkEnd w:id="1777"/>
    </w:p>
    <w:p>
      <w:pPr>
        <w:pStyle w:val="Style34"/>
        <w:keepNext/>
        <w:keepLines/>
        <w:widowControl w:val="0"/>
        <w:shd w:val="clear" w:color="auto" w:fill="auto"/>
        <w:bidi w:val="0"/>
        <w:spacing w:before="0" w:line="240" w:lineRule="auto"/>
        <w:ind w:left="0" w:right="0" w:firstLine="0"/>
        <w:jc w:val="left"/>
      </w:pPr>
      <w:bookmarkStart w:id="1778" w:name="bookmark1778"/>
      <w:bookmarkStart w:id="1779" w:name="bookmark1779"/>
      <w:bookmarkStart w:id="1780" w:name="bookmark17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78"/>
      <w:bookmarkEnd w:id="1779"/>
      <w:bookmarkEnd w:id="1780"/>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9,670,584.01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5,710,994.69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-8,177,764.04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6,076,098.52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1,492,819.97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11,787,093.21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781" w:name="bookmark1781"/>
      <w:bookmarkStart w:id="1782" w:name="bookmark1782"/>
      <w:bookmarkStart w:id="1783" w:name="bookmark17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81"/>
      <w:bookmarkEnd w:id="1782"/>
      <w:bookmarkEnd w:id="1783"/>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22,515,319.31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3,377,297.89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-706,466.81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-478,205.43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2,807,697.08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-319,040.68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1,010,040.35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残疾人加计扣除、研发加计扣除的影响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-3,118,502.43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1,492,819.97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64" w:val="left"/>
        </w:tabs>
        <w:bidi w:val="0"/>
        <w:spacing w:before="0" w:after="38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7</w:t>
      </w:r>
      <w:bookmarkEnd w:id="1786"/>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84"/>
      <w:bookmarkEnd w:id="1785"/>
      <w:bookmarkEnd w:id="178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9"/>
        <w:keepNext/>
        <w:keepLines/>
        <w:widowControl w:val="0"/>
        <w:shd w:val="clear" w:color="auto" w:fill="auto"/>
        <w:tabs>
          <w:tab w:pos="464" w:val="left"/>
        </w:tabs>
        <w:bidi w:val="0"/>
        <w:spacing w:before="0" w:after="38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7</w:t>
      </w:r>
      <w:bookmarkEnd w:id="1790"/>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88"/>
      <w:bookmarkEnd w:id="1789"/>
      <w:bookmarkEnd w:id="1791"/>
    </w:p>
    <w:p>
      <w:pPr>
        <w:pStyle w:val="Style34"/>
        <w:keepNext/>
        <w:keepLines/>
        <w:widowControl w:val="0"/>
        <w:shd w:val="clear" w:color="auto" w:fill="auto"/>
        <w:bidi w:val="0"/>
        <w:spacing w:before="0" w:line="240" w:lineRule="auto"/>
        <w:ind w:left="0" w:right="0" w:firstLine="0"/>
        <w:jc w:val="left"/>
      </w:pPr>
      <w:bookmarkStart w:id="1792" w:name="bookmark1792"/>
      <w:bookmarkStart w:id="1793" w:name="bookmark1793"/>
      <w:bookmarkStart w:id="1794" w:name="bookmark17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92"/>
      <w:bookmarkEnd w:id="1793"/>
      <w:bookmarkEnd w:id="179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7,135,654.34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6,184,197.53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220,698.40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19,777,738.61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71,303,269.63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收回保证金及备用金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18,403,218.37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10,413,089.39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4,177,869.45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13,777,014.34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2,765.90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49,494,480.77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101,901,035.19</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收到的其他与经营活动有关的现金说明：</w:t>
      </w:r>
    </w:p>
    <w:p>
      <w:pPr>
        <w:pStyle w:val="Style34"/>
        <w:keepNext/>
        <w:keepLines/>
        <w:widowControl w:val="0"/>
        <w:shd w:val="clear" w:color="auto" w:fill="auto"/>
        <w:bidi w:val="0"/>
        <w:spacing w:before="0" w:line="240" w:lineRule="auto"/>
        <w:ind w:left="0" w:right="0" w:firstLine="0"/>
        <w:jc w:val="both"/>
      </w:pPr>
      <w:bookmarkStart w:id="1795" w:name="bookmark1795"/>
      <w:bookmarkStart w:id="1796" w:name="bookmark1796"/>
      <w:bookmarkStart w:id="1797" w:name="bookmark17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95"/>
      <w:bookmarkEnd w:id="1796"/>
      <w:bookmarkEnd w:id="1797"/>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58,191,184.73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36,009,881.74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22,303,416.60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40,244,360.69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支付保证金及备用金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19,964,808.43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10,231,960.62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捐赠赞助、罚款等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908,686.00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542,621.34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100,459,409.76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87,937,510.39</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支付的其他与经营活动有关的现金说明：</w:t>
      </w:r>
    </w:p>
    <w:p>
      <w:pPr>
        <w:pStyle w:val="Style34"/>
        <w:keepNext/>
        <w:keepLines/>
        <w:widowControl w:val="0"/>
        <w:shd w:val="clear" w:color="auto" w:fill="auto"/>
        <w:bidi w:val="0"/>
        <w:spacing w:before="0" w:line="240" w:lineRule="auto"/>
        <w:ind w:left="0" w:right="0" w:firstLine="0"/>
        <w:jc w:val="both"/>
      </w:pPr>
      <w:bookmarkStart w:id="1798" w:name="bookmark1798"/>
      <w:bookmarkStart w:id="1799" w:name="bookmark1799"/>
      <w:bookmarkStart w:id="1800" w:name="bookmark1800"/>
      <w:bookmarkStart w:id="1801" w:name="bookmark1801"/>
      <w:r>
        <w:rPr>
          <w:color w:val="000000"/>
          <w:spacing w:val="0"/>
          <w:w w:val="100"/>
          <w:position w:val="0"/>
        </w:rPr>
        <w:t>（</w:t>
      </w:r>
      <w:bookmarkEnd w:id="180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98"/>
      <w:bookmarkEnd w:id="1799"/>
      <w:bookmarkEnd w:id="1801"/>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上期发生额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收到的其他与投资活动有关的现金说明：</w:t>
      </w:r>
    </w:p>
    <w:p>
      <w:pPr>
        <w:pStyle w:val="Style34"/>
        <w:keepNext/>
        <w:keepLines/>
        <w:widowControl w:val="0"/>
        <w:shd w:val="clear" w:color="auto" w:fill="auto"/>
        <w:bidi w:val="0"/>
        <w:spacing w:before="0" w:line="240" w:lineRule="auto"/>
        <w:ind w:left="0" w:right="0" w:firstLine="0"/>
        <w:jc w:val="both"/>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02"/>
      <w:bookmarkEnd w:id="1803"/>
      <w:bookmarkEnd w:id="1805"/>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上期发生额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支付的其他与投资活动有关的现金说明：</w:t>
      </w:r>
    </w:p>
    <w:p>
      <w:pPr>
        <w:pStyle w:val="Style34"/>
        <w:keepNext/>
        <w:keepLines/>
        <w:widowControl w:val="0"/>
        <w:shd w:val="clear" w:color="auto" w:fill="auto"/>
        <w:bidi w:val="0"/>
        <w:spacing w:before="0" w:line="240" w:lineRule="auto"/>
        <w:ind w:left="0" w:right="0" w:firstLine="0"/>
        <w:jc w:val="both"/>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06"/>
      <w:bookmarkEnd w:id="1807"/>
      <w:bookmarkEnd w:id="1809"/>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上期发生额</w:t>
            </w:r>
          </w:p>
        </w:tc>
      </w:tr>
    </w:tbl>
    <w:p>
      <w:pPr>
        <w:spacing w:lineRule="exact" w:line="1"/>
        <w:rPr>
          <w:sz w:val="2"/>
          <w:szCs w:val="2"/>
        </w:rPr>
      </w:pP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4"/>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10"/>
      <w:bookmarkEnd w:id="1811"/>
      <w:bookmarkEnd w:id="1813"/>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33,371,113.80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13,896,801.67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13,896,801.67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33,371,113.80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after="38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7</w:t>
      </w:r>
      <w:bookmarkEnd w:id="181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14"/>
      <w:bookmarkEnd w:id="1815"/>
      <w:bookmarkEnd w:id="1817"/>
    </w:p>
    <w:p>
      <w:pPr>
        <w:pStyle w:val="Style34"/>
        <w:keepNext/>
        <w:keepLines/>
        <w:widowControl w:val="0"/>
        <w:shd w:val="clear" w:color="auto" w:fill="auto"/>
        <w:bidi w:val="0"/>
        <w:spacing w:before="0" w:line="240" w:lineRule="auto"/>
        <w:ind w:left="0" w:right="0" w:firstLine="0"/>
        <w:jc w:val="left"/>
      </w:pPr>
      <w:bookmarkStart w:id="1818" w:name="bookmark1818"/>
      <w:bookmarkStart w:id="1819" w:name="bookmark1819"/>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18"/>
      <w:bookmarkEnd w:id="1819"/>
      <w:bookmarkEnd w:id="1820"/>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21,022,499.34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39,014,835.04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18,455,954.15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37,230,558.86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42,012,106.18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49,163,947.28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11,131,488.01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2,310,781.80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2,038,438.12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8,960,906.45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8,888,406.27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-1,548,610.84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447,200.42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163,521.62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590,998.22</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-7,913,675.31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-77,213,065.52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10,287,447.63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5,152,818.88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-15,005,090.04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-19,083,221.25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-8,878,590.83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-6,642,300.00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700,826.79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12,718,398.52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30,023,989.87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2,351,575.10</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-108,099,484.25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73,171,618.46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4,769,435.57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-32,913,455.99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8,393,506.14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94,916,752.41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1,016,489,182.85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904,973,363.58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904,973,363.58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819,563,450.85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111,515,819.27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85,409,912.73</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821" w:name="bookmark1821"/>
      <w:bookmarkStart w:id="1822" w:name="bookmark1822"/>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21"/>
      <w:bookmarkEnd w:id="1822"/>
      <w:bookmarkEnd w:id="1823"/>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22,950,000.00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成都标点体育文化发展有限公司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22,950,000.00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4,871,468.99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成都标点体育文化发展有限公司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4,871,468.99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18,078,531.01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24"/>
      <w:bookmarkEnd w:id="1825"/>
      <w:bookmarkEnd w:id="1827"/>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numPr>
          <w:ilvl w:val="0"/>
          <w:numId w:val="121"/>
        </w:numPr>
        <w:shd w:val="clear" w:color="auto" w:fill="auto"/>
        <w:bidi w:val="0"/>
        <w:spacing w:before="0" w:line="240" w:lineRule="auto"/>
        <w:ind w:left="0" w:right="0" w:firstLine="0"/>
        <w:jc w:val="left"/>
      </w:pPr>
      <w:bookmarkStart w:id="1828" w:name="bookmark1828"/>
      <w:bookmarkStart w:id="1829" w:name="bookmark1829"/>
      <w:bookmarkStart w:id="1830" w:name="bookmark1830"/>
      <w:bookmarkStart w:id="1831" w:name="bookmark1831"/>
      <w:bookmarkEnd w:id="1830"/>
      <w:r>
        <w:rPr>
          <w:color w:val="000000"/>
          <w:spacing w:val="0"/>
          <w:w w:val="100"/>
          <w:position w:val="0"/>
        </w:rPr>
        <w:t>现金和现金等价物的构成</w:t>
      </w:r>
      <w:bookmarkEnd w:id="1828"/>
      <w:bookmarkEnd w:id="1829"/>
      <w:bookmarkEnd w:id="1831"/>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1,016,489,182.85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904,973,363.58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33,884.47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8,912.98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1,013,418,236.62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904,330,253.53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3,037,061.76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634,197.07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1,016,489,182.85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904,973,363.58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69" w:val="left"/>
        </w:tabs>
        <w:bidi w:val="0"/>
        <w:spacing w:before="0" w:after="38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8</w:t>
      </w:r>
      <w:bookmarkEnd w:id="1834"/>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32"/>
      <w:bookmarkEnd w:id="1833"/>
      <w:bookmarkEnd w:id="183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9"/>
        <w:keepNext/>
        <w:keepLines/>
        <w:widowControl w:val="0"/>
        <w:shd w:val="clear" w:color="auto" w:fill="auto"/>
        <w:tabs>
          <w:tab w:pos="469" w:val="left"/>
        </w:tabs>
        <w:bidi w:val="0"/>
        <w:spacing w:before="0" w:after="38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8</w:t>
      </w:r>
      <w:bookmarkEnd w:id="1838"/>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36"/>
      <w:bookmarkEnd w:id="1837"/>
      <w:bookmarkEnd w:id="1839"/>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24,465,764.51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票据保证金、贷款保证金等</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25,241,312.99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14,206,212.92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114,308,360.66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178,221,651.08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8</w:t>
      </w:r>
      <w:bookmarkEnd w:id="1842"/>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40"/>
      <w:bookmarkEnd w:id="1841"/>
      <w:bookmarkEnd w:id="1843"/>
    </w:p>
    <w:p>
      <w:pPr>
        <w:pStyle w:val="Style34"/>
        <w:keepNext/>
        <w:keepLines/>
        <w:widowControl w:val="0"/>
        <w:shd w:val="clear" w:color="auto" w:fill="auto"/>
        <w:bidi w:val="0"/>
        <w:spacing w:before="0" w:line="240" w:lineRule="auto"/>
        <w:ind w:left="0" w:right="0" w:firstLine="0"/>
        <w:jc w:val="left"/>
      </w:pPr>
      <w:bookmarkStart w:id="1844" w:name="bookmark1844"/>
      <w:bookmarkStart w:id="1845" w:name="bookmark1845"/>
      <w:bookmarkStart w:id="1846" w:name="bookmark18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44"/>
      <w:bookmarkEnd w:id="1845"/>
      <w:bookmarkEnd w:id="1846"/>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期末外币余额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10,274.39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65,551.13</w:t>
            </w: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45,738.84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291,617.12</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英镑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7,039.52</w:t>
            </w:r>
          </w:p>
        </w:tc>
      </w:tr>
    </w:tbl>
    <w:p>
      <w:pPr>
        <w:widowControl w:val="0"/>
        <w:spacing w:after="79" w:line="1" w:lineRule="exact"/>
      </w:pP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322" w:lineRule="exact"/>
        <w:ind w:left="0" w:right="0" w:firstLine="0"/>
        <w:jc w:val="left"/>
      </w:pPr>
      <w:bookmarkStart w:id="1847" w:name="bookmark1847"/>
      <w:bookmarkStart w:id="1848" w:name="bookmark1848"/>
      <w:bookmarkStart w:id="1849" w:name="bookmark18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）境外经营实体说明，包括对于重要的境外经营实体，应披露其境外主要经营地、记账本位币及选择依据， 记账本位币发生变化的还应披露原因。</w:t>
      </w:r>
      <w:bookmarkEnd w:id="1847"/>
      <w:bookmarkEnd w:id="1848"/>
      <w:bookmarkEnd w:id="1849"/>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00" w:line="336" w:lineRule="auto"/>
        <w:ind w:left="0" w:right="0" w:firstLine="0"/>
        <w:jc w:val="left"/>
      </w:pPr>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83</w:t>
      </w:r>
      <w:r>
        <w:rPr>
          <w:color w:val="000000"/>
          <w:spacing w:val="0"/>
          <w:w w:val="100"/>
          <w:position w:val="0"/>
        </w:rPr>
        <w:t>、套期</w:t>
      </w:r>
      <w:bookmarkEnd w:id="1850"/>
      <w:bookmarkEnd w:id="1851"/>
      <w:bookmarkEnd w:id="185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bidi w:val="0"/>
        <w:spacing w:before="0" w:after="380" w:line="240" w:lineRule="auto"/>
        <w:ind w:left="0" w:right="0" w:firstLine="0"/>
        <w:jc w:val="left"/>
      </w:pPr>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84</w:t>
      </w:r>
      <w:r>
        <w:rPr>
          <w:color w:val="000000"/>
          <w:spacing w:val="0"/>
          <w:w w:val="100"/>
          <w:position w:val="0"/>
        </w:rPr>
        <w:t>、政府补助</w:t>
      </w:r>
      <w:bookmarkEnd w:id="1853"/>
      <w:bookmarkEnd w:id="1854"/>
      <w:bookmarkEnd w:id="1855"/>
    </w:p>
    <w:p>
      <w:pPr>
        <w:pStyle w:val="Style34"/>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56"/>
      <w:bookmarkEnd w:id="1857"/>
      <w:bookmarkEnd w:id="1858"/>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735,354.91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详见第十节、七、</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735,354.91</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6,833,558.10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详见第十节、七、</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6,833,558.10</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1859" w:name="bookmark1859"/>
      <w:bookmarkStart w:id="1860" w:name="bookmark1860"/>
      <w:bookmarkStart w:id="1861" w:name="bookmark18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59"/>
      <w:bookmarkEnd w:id="1860"/>
      <w:bookmarkEnd w:id="1861"/>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62"/>
      <w:bookmarkEnd w:id="1863"/>
      <w:bookmarkEnd w:id="1864"/>
    </w:p>
    <w:p>
      <w:pPr>
        <w:pStyle w:val="Style21"/>
        <w:keepNext/>
        <w:keepLines/>
        <w:widowControl w:val="0"/>
        <w:shd w:val="clear" w:color="auto" w:fill="auto"/>
        <w:bidi w:val="0"/>
        <w:spacing w:before="0" w:after="380" w:line="240" w:lineRule="auto"/>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八</w:t>
      </w:r>
      <w:bookmarkEnd w:id="1867"/>
      <w:r>
        <w:rPr>
          <w:color w:val="000000"/>
          <w:spacing w:val="0"/>
          <w:w w:val="100"/>
          <w:position w:val="0"/>
        </w:rPr>
        <w:t>、合并范围的变更</w:t>
      </w:r>
      <w:bookmarkEnd w:id="1865"/>
      <w:bookmarkEnd w:id="1866"/>
      <w:bookmarkEnd w:id="1868"/>
    </w:p>
    <w:p>
      <w:pPr>
        <w:pStyle w:val="Style29"/>
        <w:keepNext/>
        <w:keepLines/>
        <w:widowControl w:val="0"/>
        <w:shd w:val="clear" w:color="auto" w:fill="auto"/>
        <w:bidi w:val="0"/>
        <w:spacing w:before="0" w:after="380" w:line="240" w:lineRule="auto"/>
        <w:ind w:left="0" w:right="0" w:firstLine="0"/>
        <w:jc w:val="left"/>
      </w:pPr>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69"/>
      <w:bookmarkEnd w:id="1870"/>
      <w:bookmarkEnd w:id="1871"/>
    </w:p>
    <w:p>
      <w:pPr>
        <w:pStyle w:val="Style34"/>
        <w:keepNext/>
        <w:keepLines/>
        <w:widowControl w:val="0"/>
        <w:shd w:val="clear" w:color="auto" w:fill="auto"/>
        <w:bidi w:val="0"/>
        <w:spacing w:before="0" w:line="240" w:lineRule="auto"/>
        <w:ind w:left="0" w:right="0" w:firstLine="0"/>
        <w:jc w:val="left"/>
      </w:pPr>
      <w:bookmarkStart w:id="1872" w:name="bookmark1872"/>
      <w:bookmarkStart w:id="1873" w:name="bookmark1873"/>
      <w:bookmarkStart w:id="1874" w:name="bookmark18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72"/>
      <w:bookmarkEnd w:id="1873"/>
      <w:bookmarkEnd w:id="1874"/>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被购买方名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股权取得时 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股权取得成 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股权取得比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股权取得方 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购买日至期 末被购买方 的收入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购买日至期 末被购买方 的净利润</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成都标点体 育文化发展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22,950,000.0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工商变更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9,101,490.40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2,974,836.13</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875" w:name="bookmark1875"/>
      <w:bookmarkStart w:id="1876" w:name="bookmark1876"/>
      <w:bookmarkStart w:id="1877" w:name="bookmark18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75"/>
      <w:bookmarkEnd w:id="1876"/>
      <w:bookmarkEnd w:id="1877"/>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22,950,000.00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22,950,000.00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3,245,993.51</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19,704,006.49</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78"/>
      <w:bookmarkEnd w:id="1879"/>
      <w:bookmarkEnd w:id="188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4,871,468.99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4,871,468.99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3,565,305.26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3,565,305.26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157,933.60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157,933.60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516,035.43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516,035.43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2,168,494.94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2,168,494.94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126,494.07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126,494.07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451,061.11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451,061.11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6,364,693.16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6,364,693.16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3,118,699.65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3,118,699.65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3,245,993.51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3,245,993.51</w:t>
            </w:r>
          </w:p>
        </w:tc>
      </w:tr>
    </w:tbl>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可辨认资产、负债公允价值的确定方法：</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企业合并中承担的被购买方的或有负债：</w:t>
      </w:r>
    </w:p>
    <w:p>
      <w:pPr>
        <w:pStyle w:val="Style2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34"/>
        <w:keepNext/>
        <w:keepLines/>
        <w:widowControl w:val="0"/>
        <w:shd w:val="clear" w:color="auto" w:fill="auto"/>
        <w:tabs>
          <w:tab w:pos="478" w:val="left"/>
        </w:tabs>
        <w:bidi w:val="0"/>
        <w:spacing w:before="0" w:after="26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82"/>
      <w:bookmarkEnd w:id="1883"/>
      <w:bookmarkEnd w:id="1885"/>
    </w:p>
    <w:p>
      <w:pPr>
        <w:pStyle w:val="Style26"/>
        <w:keepNext w:val="0"/>
        <w:keepLines w:val="0"/>
        <w:widowControl w:val="0"/>
        <w:shd w:val="clear" w:color="auto" w:fill="auto"/>
        <w:bidi w:val="0"/>
        <w:spacing w:before="0" w:line="322" w:lineRule="exact"/>
        <w:ind w:left="0" w:right="0" w:firstLine="0"/>
        <w:jc w:val="left"/>
      </w:pPr>
      <w:r>
        <w:rPr>
          <w:color w:val="000000"/>
          <w:spacing w:val="0"/>
          <w:w w:val="100"/>
          <w:position w:val="0"/>
        </w:rPr>
        <w:t>是否存在通过多次交易分步实现企业合并且在报告期内取得控制权的交易</w:t>
      </w:r>
    </w:p>
    <w:p>
      <w:pPr>
        <w:pStyle w:val="Style26"/>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478" w:val="left"/>
        </w:tabs>
        <w:bidi w:val="0"/>
        <w:spacing w:before="0" w:after="260" w:line="240" w:lineRule="auto"/>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w:t>
      </w:r>
      <w:bookmarkEnd w:id="1888"/>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886"/>
      <w:bookmarkEnd w:id="1887"/>
      <w:bookmarkEnd w:id="1889"/>
    </w:p>
    <w:p>
      <w:pPr>
        <w:pStyle w:val="Style2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成都标点体育文化发展有限公司购买日持有</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项软件著作权，系赛事运营相关系统软件。经与评估相关人员和企业人员了 解，系前面年度购买，账面已费用化，日常经营中使用极少，价值极小且变动较小，无法确定公允价值。</w:t>
      </w:r>
    </w:p>
    <w:p>
      <w:pPr>
        <w:pStyle w:val="Style34"/>
        <w:keepNext/>
        <w:keepLines/>
        <w:widowControl w:val="0"/>
        <w:shd w:val="clear" w:color="auto" w:fill="auto"/>
        <w:tabs>
          <w:tab w:pos="478" w:val="left"/>
        </w:tabs>
        <w:bidi w:val="0"/>
        <w:spacing w:before="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w:t>
      </w:r>
      <w:bookmarkEnd w:id="1892"/>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90"/>
      <w:bookmarkEnd w:id="1891"/>
      <w:bookmarkEnd w:id="1893"/>
    </w:p>
    <w:p>
      <w:pPr>
        <w:pStyle w:val="Style29"/>
        <w:keepNext/>
        <w:keepLines/>
        <w:widowControl w:val="0"/>
        <w:shd w:val="clear" w:color="auto" w:fill="auto"/>
        <w:bidi w:val="0"/>
        <w:spacing w:before="0" w:after="380" w:line="240" w:lineRule="auto"/>
        <w:ind w:left="0" w:right="0" w:firstLine="0"/>
        <w:jc w:val="left"/>
      </w:pPr>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894"/>
      <w:bookmarkEnd w:id="1895"/>
      <w:bookmarkEnd w:id="1896"/>
    </w:p>
    <w:p>
      <w:pPr>
        <w:pStyle w:val="Style34"/>
        <w:keepNext/>
        <w:keepLines/>
        <w:widowControl w:val="0"/>
        <w:shd w:val="clear" w:color="auto" w:fill="auto"/>
        <w:bidi w:val="0"/>
        <w:spacing w:before="0" w:line="240" w:lineRule="auto"/>
        <w:ind w:left="0" w:right="0" w:firstLine="0"/>
        <w:jc w:val="left"/>
      </w:pPr>
      <w:bookmarkStart w:id="1897" w:name="bookmark1897"/>
      <w:bookmarkStart w:id="1898" w:name="bookmark1898"/>
      <w:bookmarkStart w:id="1899" w:name="bookmark18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97"/>
      <w:bookmarkEnd w:id="1898"/>
      <w:bookmarkEnd w:id="1899"/>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单位：元</w:t>
      </w:r>
      <w:r>
        <w:br w:type="page"/>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利润</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400" w:line="240" w:lineRule="auto"/>
        <w:ind w:left="0" w:right="0" w:firstLine="0"/>
        <w:jc w:val="left"/>
      </w:pPr>
      <w:bookmarkStart w:id="1900" w:name="bookmark1900"/>
      <w:bookmarkStart w:id="1901" w:name="bookmark1901"/>
      <w:bookmarkStart w:id="1902" w:name="bookmark19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00"/>
      <w:bookmarkEnd w:id="1901"/>
      <w:bookmarkEnd w:id="1902"/>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4"/>
        <w:keepNext/>
        <w:keepLines/>
        <w:widowControl w:val="0"/>
        <w:numPr>
          <w:ilvl w:val="0"/>
          <w:numId w:val="123"/>
        </w:numPr>
        <w:shd w:val="clear" w:color="auto" w:fill="auto"/>
        <w:bidi w:val="0"/>
        <w:spacing w:before="0" w:after="400" w:line="240" w:lineRule="auto"/>
        <w:ind w:left="0" w:right="0" w:firstLine="0"/>
        <w:jc w:val="left"/>
      </w:pPr>
      <w:bookmarkStart w:id="1903" w:name="bookmark1903"/>
      <w:bookmarkStart w:id="1904" w:name="bookmark1904"/>
      <w:bookmarkStart w:id="1905" w:name="bookmark1905"/>
      <w:bookmarkStart w:id="1906" w:name="bookmark1906"/>
      <w:bookmarkEnd w:id="1905"/>
      <w:r>
        <w:rPr>
          <w:color w:val="000000"/>
          <w:spacing w:val="0"/>
          <w:w w:val="100"/>
          <w:position w:val="0"/>
        </w:rPr>
        <w:t>合并日被合并方资产、负债的账面价值</w:t>
      </w:r>
      <w:bookmarkEnd w:id="1903"/>
      <w:bookmarkEnd w:id="1904"/>
      <w:bookmarkEnd w:id="1906"/>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企业合并中承担的被合并方的或有负债：</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68" w:val="left"/>
        </w:tabs>
        <w:bidi w:val="0"/>
        <w:spacing w:before="0" w:after="28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3</w:t>
      </w:r>
      <w:bookmarkEnd w:id="1909"/>
      <w:r>
        <w:rPr>
          <w:color w:val="000000"/>
          <w:spacing w:val="0"/>
          <w:w w:val="100"/>
          <w:position w:val="0"/>
        </w:rPr>
        <w:t>、</w:t>
        <w:tab/>
        <w:t>反向购买</w:t>
      </w:r>
      <w:bookmarkEnd w:id="1907"/>
      <w:bookmarkEnd w:id="1908"/>
      <w:bookmarkEnd w:id="1910"/>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9"/>
        <w:keepNext/>
        <w:keepLines/>
        <w:widowControl w:val="0"/>
        <w:shd w:val="clear" w:color="auto" w:fill="auto"/>
        <w:tabs>
          <w:tab w:pos="368" w:val="left"/>
        </w:tabs>
        <w:bidi w:val="0"/>
        <w:spacing w:before="0" w:after="28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4</w:t>
      </w:r>
      <w:bookmarkEnd w:id="1913"/>
      <w:r>
        <w:rPr>
          <w:color w:val="000000"/>
          <w:spacing w:val="0"/>
          <w:w w:val="100"/>
          <w:position w:val="0"/>
        </w:rPr>
        <w:t>、</w:t>
        <w:tab/>
        <w:t>处置子公司</w:t>
      </w:r>
      <w:bookmarkEnd w:id="1911"/>
      <w:bookmarkEnd w:id="1912"/>
      <w:bookmarkEnd w:id="1914"/>
    </w:p>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6"/>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368" w:val="left"/>
        </w:tabs>
        <w:bidi w:val="0"/>
        <w:spacing w:before="0" w:after="280" w:line="240" w:lineRule="auto"/>
        <w:ind w:left="0" w:right="0" w:firstLine="0"/>
        <w:jc w:val="left"/>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5</w:t>
      </w:r>
      <w:bookmarkEnd w:id="1917"/>
      <w:r>
        <w:rPr>
          <w:color w:val="000000"/>
          <w:spacing w:val="0"/>
          <w:w w:val="100"/>
          <w:position w:val="0"/>
        </w:rPr>
        <w:t>、</w:t>
        <w:tab/>
        <w:t>其他原因的合并范围变动</w:t>
      </w:r>
      <w:bookmarkEnd w:id="1915"/>
      <w:bookmarkEnd w:id="1916"/>
      <w:bookmarkEnd w:id="1918"/>
    </w:p>
    <w:p>
      <w:pPr>
        <w:pStyle w:val="Style26"/>
        <w:keepNext w:val="0"/>
        <w:keepLines w:val="0"/>
        <w:widowControl w:val="0"/>
        <w:shd w:val="clear" w:color="auto" w:fill="auto"/>
        <w:bidi w:val="0"/>
        <w:spacing w:before="0" w:after="22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1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本年度新设珠海寰博科技有限公司，鸿博股份有限公司持股</w:t>
      </w:r>
      <w:r>
        <w:rPr>
          <w:color w:val="000000"/>
          <w:spacing w:val="0"/>
          <w:w w:val="100"/>
          <w:position w:val="0"/>
        </w:rPr>
        <w:t>51%，</w:t>
      </w:r>
      <w:r>
        <w:rPr>
          <w:color w:val="000000"/>
          <w:spacing w:val="0"/>
          <w:w w:val="100"/>
          <w:position w:val="0"/>
        </w:rPr>
        <w:t>注册资本</w:t>
      </w:r>
      <w:r>
        <w:rPr>
          <w:color w:val="000000"/>
          <w:spacing w:val="0"/>
          <w:w w:val="100"/>
          <w:position w:val="0"/>
        </w:rPr>
        <w:t>1000</w:t>
      </w:r>
      <w:r>
        <w:rPr>
          <w:color w:val="000000"/>
          <w:spacing w:val="0"/>
          <w:w w:val="100"/>
          <w:position w:val="0"/>
        </w:rPr>
        <w:t>万元，统一信用代码</w:t>
      </w:r>
    </w:p>
    <w:p>
      <w:pPr>
        <w:pStyle w:val="Style10"/>
        <w:keepNext w:val="0"/>
        <w:keepLines w:val="0"/>
        <w:widowControl w:val="0"/>
        <w:shd w:val="clear" w:color="auto" w:fill="auto"/>
        <w:bidi w:val="0"/>
        <w:spacing w:before="0" w:after="280" w:line="240" w:lineRule="auto"/>
        <w:ind w:left="0" w:right="0" w:firstLine="0"/>
        <w:jc w:val="both"/>
      </w:pPr>
      <w:r>
        <w:rPr>
          <w:color w:val="000000"/>
          <w:spacing w:val="0"/>
          <w:w w:val="100"/>
          <w:position w:val="0"/>
        </w:rPr>
        <w:t>91440400MA55UCTE6Y</w:t>
      </w:r>
      <w:r>
        <w:rPr>
          <w:color w:val="000000"/>
          <w:spacing w:val="0"/>
          <w:w w:val="100"/>
          <w:position w:val="0"/>
        </w:rPr>
        <w:t>，经营范围：软件销售、软件开发等。</w:t>
      </w:r>
    </w:p>
    <w:p>
      <w:pPr>
        <w:pStyle w:val="Style1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本年度新设上海弘博信息技术有限公司，鸿博股份有限公司持股</w:t>
      </w:r>
      <w:r>
        <w:rPr>
          <w:color w:val="000000"/>
          <w:spacing w:val="0"/>
          <w:w w:val="100"/>
          <w:position w:val="0"/>
        </w:rPr>
        <w:t>100%，</w:t>
      </w:r>
      <w:r>
        <w:rPr>
          <w:color w:val="000000"/>
          <w:spacing w:val="0"/>
          <w:w w:val="100"/>
          <w:position w:val="0"/>
        </w:rPr>
        <w:t>注册资本</w:t>
      </w:r>
      <w:r>
        <w:rPr>
          <w:color w:val="000000"/>
          <w:spacing w:val="0"/>
          <w:w w:val="100"/>
          <w:position w:val="0"/>
        </w:rPr>
        <w:t>500</w:t>
      </w:r>
      <w:r>
        <w:rPr>
          <w:color w:val="000000"/>
          <w:spacing w:val="0"/>
          <w:w w:val="100"/>
          <w:position w:val="0"/>
        </w:rPr>
        <w:t>万元，统一信用</w:t>
      </w:r>
    </w:p>
    <w:p>
      <w:pPr>
        <w:pStyle w:val="Style10"/>
        <w:keepNext w:val="0"/>
        <w:keepLines w:val="0"/>
        <w:widowControl w:val="0"/>
        <w:shd w:val="clear" w:color="auto" w:fill="auto"/>
        <w:bidi w:val="0"/>
        <w:spacing w:before="0" w:after="280" w:line="240" w:lineRule="auto"/>
        <w:ind w:left="0" w:right="0" w:firstLine="0"/>
        <w:jc w:val="left"/>
      </w:pPr>
      <w:r>
        <w:rPr>
          <w:color w:val="000000"/>
          <w:spacing w:val="0"/>
          <w:w w:val="100"/>
          <w:position w:val="0"/>
        </w:rPr>
        <w:t>代码</w:t>
      </w:r>
      <w:r>
        <w:rPr>
          <w:color w:val="000000"/>
          <w:spacing w:val="0"/>
          <w:w w:val="100"/>
          <w:position w:val="0"/>
        </w:rPr>
        <w:t>91310115MA7AD26F68</w:t>
      </w:r>
      <w:r>
        <w:rPr>
          <w:color w:val="000000"/>
          <w:spacing w:val="0"/>
          <w:w w:val="100"/>
          <w:position w:val="0"/>
        </w:rPr>
        <w:t>，经营范围：技术开发、技术服务、技术咨询、技术转让等。</w:t>
      </w:r>
    </w:p>
    <w:p>
      <w:pPr>
        <w:pStyle w:val="Style1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本年度新设香港鸿博集团有限公司，鸿博股份有限公司持股</w:t>
      </w:r>
      <w:r>
        <w:rPr>
          <w:color w:val="000000"/>
          <w:spacing w:val="0"/>
          <w:w w:val="100"/>
          <w:position w:val="0"/>
        </w:rPr>
        <w:t>100%</w:t>
      </w:r>
      <w:r>
        <w:rPr>
          <w:color w:val="000000"/>
          <w:spacing w:val="0"/>
          <w:w w:val="100"/>
          <w:position w:val="0"/>
        </w:rPr>
        <w:t>，注册资本</w:t>
      </w:r>
      <w:r>
        <w:rPr>
          <w:color w:val="000000"/>
          <w:spacing w:val="0"/>
          <w:w w:val="100"/>
          <w:position w:val="0"/>
        </w:rPr>
        <w:t>100</w:t>
      </w:r>
      <w:r>
        <w:rPr>
          <w:color w:val="000000"/>
          <w:spacing w:val="0"/>
          <w:w w:val="100"/>
          <w:position w:val="0"/>
        </w:rPr>
        <w:t>万港元，经营范围：</w:t>
      </w:r>
    </w:p>
    <w:p>
      <w:pPr>
        <w:pStyle w:val="Style10"/>
        <w:keepNext w:val="0"/>
        <w:keepLines w:val="0"/>
        <w:widowControl w:val="0"/>
        <w:shd w:val="clear" w:color="auto" w:fill="auto"/>
        <w:bidi w:val="0"/>
        <w:spacing w:before="0" w:after="280" w:line="240" w:lineRule="auto"/>
        <w:ind w:left="0" w:right="0" w:firstLine="0"/>
        <w:jc w:val="both"/>
      </w:pPr>
      <w:r>
        <w:rPr>
          <w:color w:val="000000"/>
          <w:spacing w:val="0"/>
          <w:w w:val="100"/>
          <w:position w:val="0"/>
        </w:rPr>
        <w:t>纸类产品、日用百货、投资咨询、国际贸易等。</w:t>
      </w:r>
    </w:p>
    <w:p>
      <w:pPr>
        <w:pStyle w:val="Style1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本年度新设亿科集团有限公司，鸿博股份有限公司持股</w:t>
      </w:r>
      <w:r>
        <w:rPr>
          <w:color w:val="000000"/>
          <w:spacing w:val="0"/>
          <w:w w:val="100"/>
          <w:position w:val="0"/>
        </w:rPr>
        <w:t>100%，</w:t>
      </w:r>
      <w:r>
        <w:rPr>
          <w:color w:val="000000"/>
          <w:spacing w:val="0"/>
          <w:w w:val="100"/>
          <w:position w:val="0"/>
        </w:rPr>
        <w:t>注册资本</w:t>
      </w:r>
      <w:r>
        <w:rPr>
          <w:color w:val="000000"/>
          <w:spacing w:val="0"/>
          <w:w w:val="100"/>
          <w:position w:val="0"/>
        </w:rPr>
        <w:t>5</w:t>
      </w:r>
      <w:r>
        <w:rPr>
          <w:color w:val="000000"/>
          <w:spacing w:val="0"/>
          <w:w w:val="100"/>
          <w:position w:val="0"/>
        </w:rPr>
        <w:t>万新加坡元，经营范围：纸</w:t>
      </w:r>
    </w:p>
    <w:p>
      <w:pPr>
        <w:pStyle w:val="Style10"/>
        <w:keepNext w:val="0"/>
        <w:keepLines w:val="0"/>
        <w:widowControl w:val="0"/>
        <w:shd w:val="clear" w:color="auto" w:fill="auto"/>
        <w:bidi w:val="0"/>
        <w:spacing w:before="0" w:after="460" w:line="240" w:lineRule="auto"/>
        <w:ind w:left="0" w:right="0" w:firstLine="0"/>
        <w:jc w:val="both"/>
      </w:pPr>
      <w:r>
        <w:rPr>
          <w:color w:val="000000"/>
          <w:spacing w:val="0"/>
          <w:w w:val="100"/>
          <w:position w:val="0"/>
        </w:rPr>
        <w:t>类产品、日用百货、投资咨询、国际贸易等。</w:t>
      </w:r>
    </w:p>
    <w:p>
      <w:pPr>
        <w:pStyle w:val="Style29"/>
        <w:keepNext/>
        <w:keepLines/>
        <w:widowControl w:val="0"/>
        <w:shd w:val="clear" w:color="auto" w:fill="auto"/>
        <w:tabs>
          <w:tab w:pos="368" w:val="left"/>
        </w:tabs>
        <w:bidi w:val="0"/>
        <w:spacing w:before="0" w:line="240" w:lineRule="auto"/>
        <w:ind w:left="0" w:right="0" w:firstLine="0"/>
        <w:jc w:val="both"/>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6</w:t>
      </w:r>
      <w:bookmarkEnd w:id="1921"/>
      <w:r>
        <w:rPr>
          <w:color w:val="000000"/>
          <w:spacing w:val="0"/>
          <w:w w:val="100"/>
          <w:position w:val="0"/>
        </w:rPr>
        <w:t>、</w:t>
        <w:tab/>
        <w:t>其他</w:t>
      </w:r>
      <w:bookmarkEnd w:id="1919"/>
      <w:bookmarkEnd w:id="1920"/>
      <w:bookmarkEnd w:id="1922"/>
    </w:p>
    <w:p>
      <w:pPr>
        <w:pStyle w:val="Style21"/>
        <w:keepNext/>
        <w:keepLines/>
        <w:widowControl w:val="0"/>
        <w:shd w:val="clear" w:color="auto" w:fill="auto"/>
        <w:bidi w:val="0"/>
        <w:spacing w:before="0" w:after="360" w:line="240" w:lineRule="auto"/>
        <w:ind w:left="0" w:right="0" w:firstLine="0"/>
        <w:jc w:val="both"/>
      </w:pPr>
      <w:bookmarkStart w:id="1923" w:name="bookmark1923"/>
      <w:bookmarkStart w:id="1924" w:name="bookmark1924"/>
      <w:bookmarkStart w:id="1925" w:name="bookmark1925"/>
      <w:bookmarkStart w:id="1926" w:name="bookmark1926"/>
      <w:r>
        <w:rPr>
          <w:color w:val="000000"/>
          <w:spacing w:val="0"/>
          <w:w w:val="100"/>
          <w:position w:val="0"/>
        </w:rPr>
        <w:t>九</w:t>
      </w:r>
      <w:bookmarkEnd w:id="1925"/>
      <w:r>
        <w:rPr>
          <w:color w:val="000000"/>
          <w:spacing w:val="0"/>
          <w:w w:val="100"/>
          <w:position w:val="0"/>
        </w:rPr>
        <w:t>、在其他主体中的权益</w:t>
      </w:r>
      <w:bookmarkEnd w:id="1923"/>
      <w:bookmarkEnd w:id="1924"/>
      <w:bookmarkEnd w:id="1926"/>
    </w:p>
    <w:p>
      <w:pPr>
        <w:pStyle w:val="Style29"/>
        <w:keepNext/>
        <w:keepLines/>
        <w:widowControl w:val="0"/>
        <w:shd w:val="clear" w:color="auto" w:fill="auto"/>
        <w:bidi w:val="0"/>
        <w:spacing w:before="0" w:line="240" w:lineRule="auto"/>
        <w:ind w:left="0" w:right="0" w:firstLine="0"/>
        <w:jc w:val="both"/>
      </w:pPr>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27"/>
      <w:bookmarkEnd w:id="1928"/>
      <w:bookmarkEnd w:id="1929"/>
    </w:p>
    <w:p>
      <w:pPr>
        <w:pStyle w:val="Style34"/>
        <w:keepNext/>
        <w:keepLines/>
        <w:widowControl w:val="0"/>
        <w:shd w:val="clear" w:color="auto" w:fill="auto"/>
        <w:bidi w:val="0"/>
        <w:spacing w:before="0" w:after="360" w:line="240" w:lineRule="auto"/>
        <w:ind w:left="0" w:right="0" w:firstLine="0"/>
        <w:jc w:val="both"/>
      </w:pPr>
      <w:bookmarkStart w:id="1930" w:name="bookmark1930"/>
      <w:bookmarkStart w:id="1931" w:name="bookmark1931"/>
      <w:bookmarkStart w:id="1932" w:name="bookmark19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30"/>
      <w:bookmarkEnd w:id="1931"/>
      <w:bookmarkEnd w:id="193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福州港龙贸易有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鸿博（福建）数 据网络科技股份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福建鸿博致远信 息科技有限公司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广州彩创网络技 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乐特瑞（海南）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鸿博昊天科技有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北京昊天国彩印 刷有限公司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北京科信盛彩投 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北京中科彩技术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钻研（北京）国 际文化传媒有限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重庆市鸿海印务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四川鸿海印务有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四川玉屏池酒业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无锡双龙信息纸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开封鸿博股权投 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珠海寰博科技有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上海弘博信息技 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成都标点体育文</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香港鸿博集团有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亿科集团有限公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933" w:name="bookmark1933"/>
      <w:bookmarkStart w:id="1934" w:name="bookmark1934"/>
      <w:bookmarkStart w:id="1935" w:name="bookmark19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33"/>
      <w:bookmarkEnd w:id="1934"/>
      <w:bookmarkEnd w:id="1935"/>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本期向少数股东宣告分</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期末少数股东权益余额</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成都标点体育文化发展</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11,883,457.26</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12,740,000.00</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96,578,167.87</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四川玉屏池酒业有限公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珠海寰博科技有限公司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北京中科彩技术有限公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36"/>
      <w:bookmarkEnd w:id="1937"/>
      <w:bookmarkEnd w:id="1939"/>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非流动</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负债合 计</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tabs>
          <w:tab w:pos="478" w:val="left"/>
        </w:tabs>
        <w:bidi w:val="0"/>
        <w:spacing w:before="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w:t>
      </w:r>
      <w:bookmarkEnd w:id="194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40"/>
      <w:bookmarkEnd w:id="1941"/>
      <w:bookmarkEnd w:id="1943"/>
    </w:p>
    <w:p>
      <w:pPr>
        <w:pStyle w:val="Style34"/>
        <w:keepNext/>
        <w:keepLines/>
        <w:widowControl w:val="0"/>
        <w:shd w:val="clear" w:color="auto" w:fill="auto"/>
        <w:tabs>
          <w:tab w:pos="478" w:val="left"/>
        </w:tabs>
        <w:bidi w:val="0"/>
        <w:spacing w:before="0" w:line="240" w:lineRule="auto"/>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44"/>
      <w:bookmarkEnd w:id="1945"/>
      <w:bookmarkEnd w:id="1947"/>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948"/>
      <w:bookmarkEnd w:id="1949"/>
      <w:bookmarkEnd w:id="1950"/>
    </w:p>
    <w:p>
      <w:pPr>
        <w:pStyle w:val="Style34"/>
        <w:keepNext/>
        <w:keepLines/>
        <w:widowControl w:val="0"/>
        <w:shd w:val="clear" w:color="auto" w:fill="auto"/>
        <w:tabs>
          <w:tab w:pos="478" w:val="left"/>
        </w:tabs>
        <w:bidi w:val="0"/>
        <w:spacing w:before="0" w:after="360" w:line="240" w:lineRule="auto"/>
        <w:ind w:left="0" w:right="0" w:firstLine="0"/>
        <w:jc w:val="left"/>
      </w:pPr>
      <w:bookmarkStart w:id="1951" w:name="bookmark1951"/>
      <w:bookmarkStart w:id="1952" w:name="bookmark1952"/>
      <w:bookmarkStart w:id="1953" w:name="bookmark1953"/>
      <w:bookmarkStart w:id="1954" w:name="bookmark1954"/>
      <w:r>
        <w:rPr>
          <w:color w:val="000000"/>
          <w:spacing w:val="0"/>
          <w:w w:val="100"/>
          <w:position w:val="0"/>
        </w:rPr>
        <w:t>（</w:t>
      </w:r>
      <w:bookmarkEnd w:id="195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51"/>
      <w:bookmarkEnd w:id="1952"/>
      <w:bookmarkEnd w:id="1954"/>
    </w:p>
    <w:p>
      <w:pPr>
        <w:pStyle w:val="Style34"/>
        <w:keepNext/>
        <w:keepLines/>
        <w:widowControl w:val="0"/>
        <w:shd w:val="clear" w:color="auto" w:fill="auto"/>
        <w:tabs>
          <w:tab w:pos="478" w:val="left"/>
        </w:tabs>
        <w:bidi w:val="0"/>
        <w:spacing w:before="0" w:after="36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55"/>
      <w:bookmarkEnd w:id="1956"/>
      <w:bookmarkEnd w:id="1958"/>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3</w:t>
      </w:r>
      <w:bookmarkEnd w:id="1961"/>
      <w:r>
        <w:rPr>
          <w:color w:val="000000"/>
          <w:spacing w:val="0"/>
          <w:w w:val="100"/>
          <w:position w:val="0"/>
        </w:rPr>
        <w:t>、在合营安排或联营企业中的权益</w:t>
      </w:r>
      <w:bookmarkEnd w:id="1959"/>
      <w:bookmarkEnd w:id="1960"/>
      <w:bookmarkEnd w:id="1962"/>
    </w:p>
    <w:p>
      <w:pPr>
        <w:pStyle w:val="Style34"/>
        <w:keepNext/>
        <w:keepLines/>
        <w:widowControl w:val="0"/>
        <w:shd w:val="clear" w:color="auto" w:fill="auto"/>
        <w:bidi w:val="0"/>
        <w:spacing w:before="0" w:after="360" w:line="240" w:lineRule="auto"/>
        <w:ind w:left="0" w:right="0" w:firstLine="0"/>
        <w:jc w:val="left"/>
      </w:pPr>
      <w:bookmarkStart w:id="1963" w:name="bookmark1963"/>
      <w:bookmarkStart w:id="1964" w:name="bookmark1964"/>
      <w:bookmarkStart w:id="1965" w:name="bookmark19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63"/>
      <w:bookmarkEnd w:id="1964"/>
      <w:bookmarkEnd w:id="196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4"/>
        <w:keepNext/>
        <w:keepLines/>
        <w:widowControl w:val="0"/>
        <w:shd w:val="clear" w:color="auto" w:fill="auto"/>
        <w:bidi w:val="0"/>
        <w:spacing w:before="0" w:after="360" w:line="240" w:lineRule="auto"/>
        <w:ind w:left="0" w:right="0" w:firstLine="0"/>
        <w:jc w:val="left"/>
      </w:pPr>
      <w:bookmarkStart w:id="1966" w:name="bookmark1966"/>
      <w:bookmarkStart w:id="1967" w:name="bookmark1967"/>
      <w:bookmarkStart w:id="1968" w:name="bookmark19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66"/>
      <w:bookmarkEnd w:id="1967"/>
      <w:bookmarkEnd w:id="1968"/>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numPr>
          <w:ilvl w:val="0"/>
          <w:numId w:val="125"/>
        </w:numPr>
        <w:shd w:val="clear" w:color="auto" w:fill="auto"/>
        <w:bidi w:val="0"/>
        <w:spacing w:before="0" w:after="420" w:line="240" w:lineRule="auto"/>
        <w:ind w:left="0" w:right="0" w:firstLine="0"/>
        <w:jc w:val="left"/>
      </w:pPr>
      <w:bookmarkStart w:id="1969" w:name="bookmark1969"/>
      <w:bookmarkStart w:id="1970" w:name="bookmark1970"/>
      <w:bookmarkStart w:id="1971" w:name="bookmark1971"/>
      <w:bookmarkStart w:id="1972" w:name="bookmark1972"/>
      <w:bookmarkEnd w:id="1971"/>
      <w:r>
        <w:rPr>
          <w:color w:val="000000"/>
          <w:spacing w:val="0"/>
          <w:w w:val="100"/>
          <w:position w:val="0"/>
        </w:rPr>
        <w:t>重要联营企业的主要财务信息</w:t>
      </w:r>
      <w:bookmarkEnd w:id="1969"/>
      <w:bookmarkEnd w:id="1970"/>
      <w:bookmarkEnd w:id="1972"/>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973" w:name="bookmark1973"/>
      <w:bookmarkStart w:id="1974" w:name="bookmark1974"/>
      <w:bookmarkStart w:id="1975" w:name="bookmark1975"/>
      <w:bookmarkStart w:id="1976" w:name="bookmark1976"/>
      <w:r>
        <w:rPr>
          <w:color w:val="000000"/>
          <w:spacing w:val="0"/>
          <w:w w:val="100"/>
          <w:position w:val="0"/>
        </w:rPr>
        <w:t>（</w:t>
      </w:r>
      <w:bookmarkEnd w:id="1975"/>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73"/>
      <w:bookmarkEnd w:id="1974"/>
      <w:bookmarkEnd w:id="1976"/>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78" w:val="left"/>
        </w:tabs>
        <w:bidi w:val="0"/>
        <w:spacing w:before="0" w:line="240" w:lineRule="auto"/>
        <w:ind w:left="0" w:right="0" w:firstLine="0"/>
        <w:jc w:val="left"/>
      </w:pPr>
      <w:bookmarkStart w:id="1977" w:name="bookmark1977"/>
      <w:bookmarkStart w:id="1978" w:name="bookmark1978"/>
      <w:bookmarkStart w:id="1979" w:name="bookmark1979"/>
      <w:bookmarkStart w:id="1980" w:name="bookmark1980"/>
      <w:r>
        <w:rPr>
          <w:color w:val="000000"/>
          <w:spacing w:val="0"/>
          <w:w w:val="100"/>
          <w:position w:val="0"/>
        </w:rPr>
        <w:t>（</w:t>
      </w:r>
      <w:bookmarkEnd w:id="197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77"/>
      <w:bookmarkEnd w:id="1978"/>
      <w:bookmarkEnd w:id="1980"/>
    </w:p>
    <w:p>
      <w:pPr>
        <w:pStyle w:val="Style34"/>
        <w:keepNext/>
        <w:keepLines/>
        <w:widowControl w:val="0"/>
        <w:shd w:val="clear" w:color="auto" w:fill="auto"/>
        <w:tabs>
          <w:tab w:pos="478" w:val="left"/>
        </w:tabs>
        <w:bidi w:val="0"/>
        <w:spacing w:before="0" w:line="240" w:lineRule="auto"/>
        <w:ind w:left="0" w:right="0" w:firstLine="0"/>
        <w:jc w:val="left"/>
      </w:pPr>
      <w:bookmarkStart w:id="1981" w:name="bookmark1981"/>
      <w:bookmarkStart w:id="1982" w:name="bookmark1982"/>
      <w:bookmarkStart w:id="1983" w:name="bookmark1983"/>
      <w:bookmarkStart w:id="1984" w:name="bookmark1984"/>
      <w:r>
        <w:rPr>
          <w:color w:val="000000"/>
          <w:spacing w:val="0"/>
          <w:w w:val="100"/>
          <w:position w:val="0"/>
        </w:rPr>
        <w:t>（</w:t>
      </w:r>
      <w:bookmarkEnd w:id="198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81"/>
      <w:bookmarkEnd w:id="1982"/>
      <w:bookmarkEnd w:id="1984"/>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本期末累积未确认的损失</w:t>
            </w:r>
          </w:p>
        </w:tc>
      </w:tr>
    </w:tbl>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numPr>
          <w:ilvl w:val="0"/>
          <w:numId w:val="127"/>
        </w:numPr>
        <w:shd w:val="clear" w:color="auto" w:fill="auto"/>
        <w:tabs>
          <w:tab w:pos="478" w:val="left"/>
        </w:tabs>
        <w:bidi w:val="0"/>
        <w:spacing w:before="0" w:line="240" w:lineRule="auto"/>
        <w:ind w:left="0" w:right="0" w:firstLine="0"/>
        <w:jc w:val="left"/>
      </w:pPr>
      <w:bookmarkStart w:id="1985" w:name="bookmark1985"/>
      <w:bookmarkStart w:id="1986" w:name="bookmark1986"/>
      <w:bookmarkStart w:id="1987" w:name="bookmark1987"/>
      <w:bookmarkStart w:id="1988" w:name="bookmark1988"/>
      <w:bookmarkEnd w:id="1987"/>
      <w:r>
        <w:rPr>
          <w:color w:val="000000"/>
          <w:spacing w:val="0"/>
          <w:w w:val="100"/>
          <w:position w:val="0"/>
        </w:rPr>
        <w:t>与合营企业投资相关的未确认承诺</w:t>
      </w:r>
      <w:bookmarkEnd w:id="1985"/>
      <w:bookmarkEnd w:id="1986"/>
      <w:bookmarkEnd w:id="1988"/>
    </w:p>
    <w:p>
      <w:pPr>
        <w:pStyle w:val="Style34"/>
        <w:keepNext/>
        <w:keepLines/>
        <w:widowControl w:val="0"/>
        <w:numPr>
          <w:ilvl w:val="0"/>
          <w:numId w:val="127"/>
        </w:numPr>
        <w:shd w:val="clear" w:color="auto" w:fill="auto"/>
        <w:tabs>
          <w:tab w:pos="478" w:val="left"/>
        </w:tabs>
        <w:bidi w:val="0"/>
        <w:spacing w:before="0" w:line="240" w:lineRule="auto"/>
        <w:ind w:left="0" w:right="0" w:firstLine="0"/>
        <w:jc w:val="left"/>
      </w:pPr>
      <w:bookmarkStart w:id="1989" w:name="bookmark1989"/>
      <w:bookmarkStart w:id="1990" w:name="bookmark1990"/>
      <w:bookmarkStart w:id="1991" w:name="bookmark1991"/>
      <w:bookmarkStart w:id="1992" w:name="bookmark1992"/>
      <w:bookmarkEnd w:id="1991"/>
      <w:r>
        <w:rPr>
          <w:color w:val="000000"/>
          <w:spacing w:val="0"/>
          <w:w w:val="100"/>
          <w:position w:val="0"/>
        </w:rPr>
        <w:t>与合营企业或联营企业投资相关的或有负债</w:t>
      </w:r>
      <w:bookmarkEnd w:id="1989"/>
      <w:bookmarkEnd w:id="1990"/>
      <w:bookmarkEnd w:id="1992"/>
    </w:p>
    <w:p>
      <w:pPr>
        <w:pStyle w:val="Style29"/>
        <w:keepNext/>
        <w:keepLines/>
        <w:widowControl w:val="0"/>
        <w:shd w:val="clear" w:color="auto" w:fill="auto"/>
        <w:bidi w:val="0"/>
        <w:spacing w:before="0" w:after="380" w:line="240" w:lineRule="auto"/>
        <w:ind w:left="0" w:right="0" w:firstLine="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4</w:t>
      </w:r>
      <w:bookmarkEnd w:id="1995"/>
      <w:r>
        <w:rPr>
          <w:color w:val="000000"/>
          <w:spacing w:val="0"/>
          <w:w w:val="100"/>
          <w:position w:val="0"/>
        </w:rPr>
        <w:t>、重要的共同经营</w:t>
      </w:r>
      <w:bookmarkEnd w:id="1993"/>
      <w:bookmarkEnd w:id="1994"/>
      <w:bookmarkEnd w:id="1996"/>
    </w:p>
    <w:tbl>
      <w:tblPr>
        <w:tblOverlap w:val="never"/>
        <w:jc w:val="center"/>
        <w:tblLayout w:type="fixed"/>
      </w:tblPr>
      <w:tblGrid>
        <w:gridCol w:w="1603"/>
        <w:gridCol w:w="1598"/>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w:t>
            </w:r>
          </w:p>
        </w:tc>
      </w:tr>
    </w:tbl>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tabs>
          <w:tab w:pos="368" w:val="left"/>
        </w:tabs>
        <w:bidi w:val="0"/>
        <w:spacing w:before="0" w:after="140" w:line="492" w:lineRule="auto"/>
        <w:ind w:left="0" w:right="0" w:firstLine="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5</w:t>
      </w:r>
      <w:bookmarkEnd w:id="1999"/>
      <w:r>
        <w:rPr>
          <w:color w:val="000000"/>
          <w:spacing w:val="0"/>
          <w:w w:val="100"/>
          <w:position w:val="0"/>
        </w:rPr>
        <w:t>、</w:t>
        <w:tab/>
        <w:t>在未纳入合并财务报表范围的结构化主体中的权益</w:t>
      </w:r>
      <w:bookmarkEnd w:id="1997"/>
      <w:bookmarkEnd w:id="1998"/>
      <w:bookmarkEnd w:id="200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tabs>
          <w:tab w:pos="368" w:val="left"/>
        </w:tabs>
        <w:bidi w:val="0"/>
        <w:spacing w:before="0" w:after="140" w:line="492" w:lineRule="auto"/>
        <w:ind w:left="0" w:right="0" w:firstLine="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6</w:t>
      </w:r>
      <w:bookmarkEnd w:id="2003"/>
      <w:r>
        <w:rPr>
          <w:color w:val="000000"/>
          <w:spacing w:val="0"/>
          <w:w w:val="100"/>
          <w:position w:val="0"/>
        </w:rPr>
        <w:t>、</w:t>
        <w:tab/>
        <w:t>其他</w:t>
      </w:r>
      <w:bookmarkEnd w:id="2001"/>
      <w:bookmarkEnd w:id="2002"/>
      <w:bookmarkEnd w:id="2004"/>
    </w:p>
    <w:p>
      <w:pPr>
        <w:pStyle w:val="Style21"/>
        <w:keepNext/>
        <w:keepLines/>
        <w:widowControl w:val="0"/>
        <w:shd w:val="clear" w:color="auto" w:fill="auto"/>
        <w:bidi w:val="0"/>
        <w:spacing w:before="0" w:after="180" w:line="240" w:lineRule="auto"/>
        <w:ind w:left="0" w:right="0" w:firstLine="0"/>
        <w:jc w:val="left"/>
      </w:pPr>
      <w:bookmarkStart w:id="2005" w:name="bookmark2005"/>
      <w:bookmarkStart w:id="2006" w:name="bookmark2006"/>
      <w:bookmarkStart w:id="2007" w:name="bookmark2007"/>
      <w:r>
        <w:rPr>
          <w:color w:val="000000"/>
          <w:spacing w:val="0"/>
          <w:w w:val="100"/>
          <w:position w:val="0"/>
        </w:rPr>
        <w:t>十、与金融工具相关的风险</w:t>
      </w:r>
      <w:bookmarkEnd w:id="2005"/>
      <w:bookmarkEnd w:id="2006"/>
      <w:bookmarkEnd w:id="2007"/>
    </w:p>
    <w:p>
      <w:pPr>
        <w:pStyle w:val="Style10"/>
        <w:keepNext w:val="0"/>
        <w:keepLines w:val="0"/>
        <w:widowControl w:val="0"/>
        <w:shd w:val="clear" w:color="auto" w:fill="auto"/>
        <w:bidi w:val="0"/>
        <w:spacing w:before="0" w:line="470" w:lineRule="exact"/>
        <w:ind w:left="0" w:right="0" w:firstLine="440"/>
        <w:jc w:val="both"/>
      </w:pPr>
      <w:r>
        <w:rPr>
          <w:color w:val="000000"/>
          <w:spacing w:val="0"/>
          <w:w w:val="100"/>
          <w:position w:val="0"/>
        </w:rPr>
        <w:t>公司在经营过程中面临各种金融风险：信用风险、市场风险和流动性风险。公司董事会全面负责风险 管理目标和政策的确定，并对风险管理目标和政策承担最终责任，但是董事会已授权公司相关部门设计和 实施能确保风险管理目标和政策得以有效执行的程序。公司的内部审计也会审计风险管理的政策和程序， 并且将有关发现汇报给审计委员会。</w:t>
      </w:r>
    </w:p>
    <w:p>
      <w:pPr>
        <w:pStyle w:val="Style10"/>
        <w:keepNext w:val="0"/>
        <w:keepLines w:val="0"/>
        <w:widowControl w:val="0"/>
        <w:shd w:val="clear" w:color="auto" w:fill="auto"/>
        <w:bidi w:val="0"/>
        <w:spacing w:before="0" w:line="466" w:lineRule="exact"/>
        <w:ind w:left="0" w:right="0" w:firstLine="440"/>
        <w:jc w:val="both"/>
      </w:pPr>
      <w:r>
        <w:rPr>
          <w:color w:val="000000"/>
          <w:spacing w:val="0"/>
          <w:w w:val="100"/>
          <w:position w:val="0"/>
        </w:rPr>
        <w:t>公司风险管理的总体目标是在不过度影响公司竞争力和应变力的情况下，制定尽可能降低风险的风险 管理政策。</w:t>
      </w:r>
    </w:p>
    <w:p>
      <w:pPr>
        <w:pStyle w:val="Style10"/>
        <w:keepNext w:val="0"/>
        <w:keepLines w:val="0"/>
        <w:widowControl w:val="0"/>
        <w:shd w:val="clear" w:color="auto" w:fill="auto"/>
        <w:bidi w:val="0"/>
        <w:spacing w:before="0" w:line="470" w:lineRule="exact"/>
        <w:ind w:left="0" w:right="0" w:firstLine="440"/>
        <w:jc w:val="both"/>
      </w:pPr>
      <w:r>
        <w:rPr>
          <w:color w:val="000000"/>
          <w:spacing w:val="0"/>
          <w:w w:val="100"/>
          <w:position w:val="0"/>
        </w:rPr>
        <w:t>1</w:t>
      </w:r>
      <w:r>
        <w:rPr>
          <w:color w:val="000000"/>
          <w:spacing w:val="0"/>
          <w:w w:val="100"/>
          <w:position w:val="0"/>
        </w:rPr>
        <w:t>、信用风险</w:t>
      </w:r>
    </w:p>
    <w:p>
      <w:pPr>
        <w:pStyle w:val="Style10"/>
        <w:keepNext w:val="0"/>
        <w:keepLines w:val="0"/>
        <w:widowControl w:val="0"/>
        <w:shd w:val="clear" w:color="auto" w:fill="auto"/>
        <w:bidi w:val="0"/>
        <w:spacing w:before="0" w:line="470" w:lineRule="exact"/>
        <w:ind w:left="0" w:right="0" w:firstLine="440"/>
        <w:jc w:val="both"/>
      </w:pPr>
      <w:r>
        <w:rPr>
          <w:color w:val="000000"/>
          <w:spacing w:val="0"/>
          <w:w w:val="100"/>
          <w:position w:val="0"/>
        </w:rPr>
        <w:t>信用风险是指金融工具的一方不履行义务，造成另一方发生财务损失的风险。公司主要面临赊销导致 的客户信用风险及流动资金信用风险。</w:t>
      </w:r>
    </w:p>
    <w:p>
      <w:pPr>
        <w:pStyle w:val="Style10"/>
        <w:keepNext w:val="0"/>
        <w:keepLines w:val="0"/>
        <w:widowControl w:val="0"/>
        <w:shd w:val="clear" w:color="auto" w:fill="auto"/>
        <w:bidi w:val="0"/>
        <w:spacing w:before="0" w:line="466" w:lineRule="exact"/>
        <w:ind w:left="0" w:right="0" w:firstLine="440"/>
        <w:jc w:val="both"/>
      </w:pPr>
      <w:r>
        <w:rPr>
          <w:color w:val="000000"/>
          <w:spacing w:val="0"/>
          <w:w w:val="100"/>
          <w:position w:val="0"/>
        </w:rPr>
        <w:t>公司在接受新客户之前，充分了解和考虑客户的信誉、财务状况等有关情况，报信用管理小组审核并 评定信用等级，通报公司销售业务部门，并报总经理审批。公司通过对应收账款账龄分析的审核及定期与 客户对账措施来确保公司的整体信用风险在可控的范围内。</w:t>
      </w:r>
    </w:p>
    <w:p>
      <w:pPr>
        <w:pStyle w:val="Style10"/>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公司流动资金存放于信用评级较高的银行，不存在因对方单位违约而导致的流动资金损失，故相关流 动资金信用风险较低。</w:t>
      </w:r>
    </w:p>
    <w:p>
      <w:pPr>
        <w:pStyle w:val="Style10"/>
        <w:keepNext w:val="0"/>
        <w:keepLines w:val="0"/>
        <w:widowControl w:val="0"/>
        <w:shd w:val="clear" w:color="auto" w:fill="auto"/>
        <w:bidi w:val="0"/>
        <w:spacing w:before="0" w:line="467" w:lineRule="exact"/>
        <w:ind w:left="0" w:right="0" w:firstLine="440"/>
        <w:jc w:val="both"/>
      </w:pPr>
      <w:r>
        <w:rPr>
          <w:color w:val="000000"/>
          <w:spacing w:val="0"/>
          <w:w w:val="100"/>
          <w:position w:val="0"/>
        </w:rPr>
        <w:t>2</w:t>
      </w:r>
      <w:r>
        <w:rPr>
          <w:color w:val="000000"/>
          <w:spacing w:val="0"/>
          <w:w w:val="100"/>
          <w:position w:val="0"/>
        </w:rPr>
        <w:t>、市场风险</w:t>
      </w:r>
    </w:p>
    <w:p>
      <w:pPr>
        <w:pStyle w:val="Style10"/>
        <w:keepNext w:val="0"/>
        <w:keepLines w:val="0"/>
        <w:widowControl w:val="0"/>
        <w:shd w:val="clear" w:color="auto" w:fill="auto"/>
        <w:bidi w:val="0"/>
        <w:spacing w:before="0" w:line="461" w:lineRule="exact"/>
        <w:ind w:left="0" w:right="0" w:firstLine="44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10"/>
        <w:keepNext w:val="0"/>
        <w:keepLines w:val="0"/>
        <w:widowControl w:val="0"/>
        <w:numPr>
          <w:ilvl w:val="0"/>
          <w:numId w:val="129"/>
        </w:numPr>
        <w:shd w:val="clear" w:color="auto" w:fill="auto"/>
        <w:tabs>
          <w:tab w:pos="870" w:val="left"/>
        </w:tabs>
        <w:bidi w:val="0"/>
        <w:spacing w:before="0" w:line="467" w:lineRule="exact"/>
        <w:ind w:left="0" w:right="0" w:firstLine="440"/>
        <w:jc w:val="both"/>
      </w:pPr>
      <w:bookmarkStart w:id="2008" w:name="bookmark2008"/>
      <w:bookmarkEnd w:id="2008"/>
      <w:r>
        <w:rPr>
          <w:color w:val="000000"/>
          <w:spacing w:val="0"/>
          <w:w w:val="100"/>
          <w:position w:val="0"/>
        </w:rPr>
        <w:t>利率风险</w:t>
      </w:r>
    </w:p>
    <w:p>
      <w:pPr>
        <w:pStyle w:val="Style10"/>
        <w:keepNext w:val="0"/>
        <w:keepLines w:val="0"/>
        <w:widowControl w:val="0"/>
        <w:shd w:val="clear" w:color="auto" w:fill="auto"/>
        <w:bidi w:val="0"/>
        <w:spacing w:before="0" w:line="466" w:lineRule="exact"/>
        <w:ind w:left="0" w:right="0" w:firstLine="440"/>
        <w:jc w:val="both"/>
      </w:pPr>
      <w:r>
        <w:rPr>
          <w:color w:val="000000"/>
          <w:spacing w:val="0"/>
          <w:w w:val="100"/>
          <w:position w:val="0"/>
        </w:rPr>
        <w:t>利率风险，是指金融工具的公允价值或未来现金流量因市场利率变动而发生波动的风险。公司的利率 风险主要产生于银行借款，浮动利率的金融负债使公司面临现金流量利率风险，固定利率的金融负债使公 司面临公允价值利率风险。公司会根据市场环境来决定固定利率及浮动利率合同的相对比例。</w:t>
      </w:r>
    </w:p>
    <w:p>
      <w:pPr>
        <w:pStyle w:val="Style10"/>
        <w:keepNext w:val="0"/>
        <w:keepLines w:val="0"/>
        <w:widowControl w:val="0"/>
        <w:shd w:val="clear" w:color="auto" w:fill="auto"/>
        <w:bidi w:val="0"/>
        <w:spacing w:before="0" w:line="468" w:lineRule="exact"/>
        <w:ind w:left="0" w:right="0" w:firstLine="440"/>
        <w:jc w:val="both"/>
      </w:pPr>
      <w:r>
        <w:rPr>
          <w:color w:val="000000"/>
          <w:spacing w:val="0"/>
          <w:w w:val="100"/>
          <w:position w:val="0"/>
        </w:rPr>
        <w:t>公司财务部门持续监控公司利率水平。利率上升会增加新增带息债务的成本以及公司尚未付清的以浮 动利率计息的带息债务的利息支出，并对本公司的财务业绩产生重大的不利影响，公司会依据最新的市场 状况及时做出调整。</w:t>
      </w:r>
    </w:p>
    <w:p>
      <w:pPr>
        <w:pStyle w:val="Style10"/>
        <w:keepNext w:val="0"/>
        <w:keepLines w:val="0"/>
        <w:widowControl w:val="0"/>
        <w:numPr>
          <w:ilvl w:val="0"/>
          <w:numId w:val="129"/>
        </w:numPr>
        <w:shd w:val="clear" w:color="auto" w:fill="auto"/>
        <w:tabs>
          <w:tab w:pos="870" w:val="left"/>
        </w:tabs>
        <w:bidi w:val="0"/>
        <w:spacing w:before="0" w:line="467" w:lineRule="exact"/>
        <w:ind w:left="0" w:right="0" w:firstLine="440"/>
        <w:jc w:val="both"/>
      </w:pPr>
      <w:bookmarkStart w:id="2009" w:name="bookmark2009"/>
      <w:bookmarkEnd w:id="2009"/>
      <w:r>
        <w:rPr>
          <w:color w:val="000000"/>
          <w:spacing w:val="0"/>
          <w:w w:val="100"/>
          <w:position w:val="0"/>
        </w:rPr>
        <w:t>汇率风险</w:t>
      </w:r>
    </w:p>
    <w:p>
      <w:pPr>
        <w:pStyle w:val="Style10"/>
        <w:keepNext w:val="0"/>
        <w:keepLines w:val="0"/>
        <w:widowControl w:val="0"/>
        <w:shd w:val="clear" w:color="auto" w:fill="auto"/>
        <w:bidi w:val="0"/>
        <w:spacing w:before="0" w:line="470" w:lineRule="exact"/>
        <w:ind w:left="0" w:right="0" w:firstLine="440"/>
        <w:jc w:val="both"/>
      </w:pPr>
      <w:r>
        <w:rPr>
          <w:color w:val="000000"/>
          <w:spacing w:val="0"/>
          <w:w w:val="100"/>
          <w:position w:val="0"/>
        </w:rPr>
        <w:t>汇率风险，是指金融工具的公允价值或未来现金流量因外汇汇率变动而发生波动的风险。目前公司业 务以人民币计价结算，因此汇率风险对公司的影响较小。</w:t>
      </w:r>
    </w:p>
    <w:p>
      <w:pPr>
        <w:pStyle w:val="Style10"/>
        <w:keepNext w:val="0"/>
        <w:keepLines w:val="0"/>
        <w:widowControl w:val="0"/>
        <w:numPr>
          <w:ilvl w:val="0"/>
          <w:numId w:val="129"/>
        </w:numPr>
        <w:shd w:val="clear" w:color="auto" w:fill="auto"/>
        <w:tabs>
          <w:tab w:pos="870" w:val="left"/>
        </w:tabs>
        <w:bidi w:val="0"/>
        <w:spacing w:before="0" w:line="467" w:lineRule="exact"/>
        <w:ind w:left="0" w:right="0" w:firstLine="440"/>
        <w:jc w:val="both"/>
      </w:pPr>
      <w:bookmarkStart w:id="2010" w:name="bookmark2010"/>
      <w:bookmarkEnd w:id="2010"/>
      <w:r>
        <w:rPr>
          <w:color w:val="000000"/>
          <w:spacing w:val="0"/>
          <w:w w:val="100"/>
          <w:position w:val="0"/>
        </w:rPr>
        <w:t>其他价格风险</w:t>
      </w:r>
    </w:p>
    <w:p>
      <w:pPr>
        <w:pStyle w:val="Style10"/>
        <w:keepNext w:val="0"/>
        <w:keepLines w:val="0"/>
        <w:widowControl w:val="0"/>
        <w:shd w:val="clear" w:color="auto" w:fill="auto"/>
        <w:bidi w:val="0"/>
        <w:spacing w:before="0" w:line="467" w:lineRule="exact"/>
        <w:ind w:left="0" w:right="0" w:firstLine="440"/>
        <w:jc w:val="both"/>
      </w:pPr>
      <w:r>
        <w:rPr>
          <w:color w:val="000000"/>
          <w:spacing w:val="0"/>
          <w:w w:val="100"/>
          <w:position w:val="0"/>
        </w:rPr>
        <w:t>公司持有的其他金融资产投资，管理层认为这些投资活动面临的市场价格风险是可以接受的。</w:t>
      </w:r>
    </w:p>
    <w:p>
      <w:pPr>
        <w:pStyle w:val="Style10"/>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公司持有的其他金融资产投资列示如下：</w:t>
      </w:r>
    </w:p>
    <w:tbl>
      <w:tblPr>
        <w:tblOverlap w:val="never"/>
        <w:jc w:val="center"/>
        <w:tblLayout w:type="fixed"/>
      </w:tblPr>
      <w:tblGrid>
        <w:gridCol w:w="4406"/>
        <w:gridCol w:w="2861"/>
        <w:gridCol w:w="2410"/>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369,183,027.22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368,186,169.46</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459,183,027.22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368,186,169.46</w:t>
            </w:r>
          </w:p>
        </w:tc>
      </w:tr>
    </w:tbl>
    <w:p>
      <w:pPr>
        <w:pStyle w:val="Style23"/>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3</w:t>
      </w:r>
      <w:r>
        <w:rPr>
          <w:color w:val="000000"/>
          <w:spacing w:val="0"/>
          <w:w w:val="100"/>
          <w:position w:val="0"/>
          <w:sz w:val="20"/>
          <w:szCs w:val="20"/>
        </w:rPr>
        <w:t>、流动性风险</w:t>
      </w:r>
    </w:p>
    <w:p>
      <w:pPr>
        <w:widowControl w:val="0"/>
        <w:spacing w:after="39" w:line="1" w:lineRule="exact"/>
      </w:pPr>
    </w:p>
    <w:p>
      <w:pPr>
        <w:pStyle w:val="Style10"/>
        <w:keepNext w:val="0"/>
        <w:keepLines w:val="0"/>
        <w:widowControl w:val="0"/>
        <w:shd w:val="clear" w:color="auto" w:fill="auto"/>
        <w:bidi w:val="0"/>
        <w:spacing w:before="0" w:line="470" w:lineRule="exact"/>
        <w:ind w:left="0" w:right="0" w:firstLine="440"/>
        <w:jc w:val="both"/>
      </w:pPr>
      <w:r>
        <w:rPr>
          <w:color w:val="000000"/>
          <w:spacing w:val="0"/>
          <w:w w:val="100"/>
          <w:position w:val="0"/>
        </w:rPr>
        <w:t>流动风险，是指企业在履行以交付现金或其他金融资产的方式结算的义务时发生资金短缺的风险。本 公司的政策是确保拥有充足的现金以偿还到期债务，本公司的管理层认为公司拥有充分的现金及现金等价 物，并对其进行监控，以保持并维护信用。本公司与银行保持良好的合作关系，以满足本公司经营需求， 确保公司在所有合理可预测的情况下拥有充足的资金偿还债务。</w:t>
      </w:r>
      <w:r>
        <w:br w:type="page"/>
      </w:r>
    </w:p>
    <w:p>
      <w:pPr>
        <w:pStyle w:val="Style21"/>
        <w:keepNext/>
        <w:keepLines/>
        <w:widowControl w:val="0"/>
        <w:shd w:val="clear" w:color="auto" w:fill="auto"/>
        <w:bidi w:val="0"/>
        <w:spacing w:before="0" w:line="240" w:lineRule="auto"/>
        <w:ind w:left="0" w:right="0" w:firstLine="0"/>
        <w:jc w:val="left"/>
      </w:pPr>
      <w:bookmarkStart w:id="2011" w:name="bookmark2011"/>
      <w:bookmarkStart w:id="2012" w:name="bookmark2012"/>
      <w:bookmarkStart w:id="2013" w:name="bookmark2013"/>
      <w:r>
        <w:rPr>
          <w:color w:val="000000"/>
          <w:spacing w:val="0"/>
          <w:w w:val="100"/>
          <w:position w:val="0"/>
        </w:rPr>
        <w:t>十^一、公允价值的披露</w:t>
      </w:r>
      <w:bookmarkEnd w:id="2011"/>
      <w:bookmarkEnd w:id="2012"/>
      <w:bookmarkEnd w:id="2013"/>
    </w:p>
    <w:p>
      <w:pPr>
        <w:pStyle w:val="Style29"/>
        <w:keepNext/>
        <w:keepLines/>
        <w:widowControl w:val="0"/>
        <w:shd w:val="clear" w:color="auto" w:fill="auto"/>
        <w:bidi w:val="0"/>
        <w:spacing w:before="0" w:after="380" w:line="240" w:lineRule="auto"/>
        <w:ind w:left="0" w:right="0" w:firstLine="0"/>
        <w:jc w:val="left"/>
      </w:pPr>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14"/>
      <w:bookmarkEnd w:id="2015"/>
      <w:bookmarkEnd w:id="2016"/>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（九）其他非流动金融资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369,183,027.22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369,183,027.22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409,183,027.22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459,183,027.22</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9"/>
        <w:keepNext/>
        <w:keepLines/>
        <w:widowControl w:val="0"/>
        <w:shd w:val="clear" w:color="auto" w:fill="auto"/>
        <w:tabs>
          <w:tab w:pos="368" w:val="left"/>
        </w:tabs>
        <w:bidi w:val="0"/>
        <w:spacing w:before="0" w:after="380" w:line="240" w:lineRule="auto"/>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2</w:t>
      </w:r>
      <w:bookmarkEnd w:id="2019"/>
      <w:r>
        <w:rPr>
          <w:color w:val="000000"/>
          <w:spacing w:val="0"/>
          <w:w w:val="100"/>
          <w:position w:val="0"/>
        </w:rPr>
        <w:t>、</w:t>
        <w:tab/>
        <w:t>持续和非持续第一层次公允价值计量项目市价的确定依据</w:t>
      </w:r>
      <w:bookmarkEnd w:id="2017"/>
      <w:bookmarkEnd w:id="2018"/>
      <w:bookmarkEnd w:id="202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交易性金融资产及其他权益工具投资期末公允价值是基于上海证券交易所和深圳证券交易所收盘价进行计量。</w:t>
      </w:r>
    </w:p>
    <w:p>
      <w:pPr>
        <w:pStyle w:val="Style29"/>
        <w:keepNext/>
        <w:keepLines/>
        <w:widowControl w:val="0"/>
        <w:shd w:val="clear" w:color="auto" w:fill="auto"/>
        <w:tabs>
          <w:tab w:pos="368" w:val="left"/>
        </w:tabs>
        <w:bidi w:val="0"/>
        <w:spacing w:before="0" w:after="34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3</w:t>
      </w:r>
      <w:bookmarkEnd w:id="2023"/>
      <w:r>
        <w:rPr>
          <w:color w:val="000000"/>
          <w:spacing w:val="0"/>
          <w:w w:val="100"/>
          <w:position w:val="0"/>
        </w:rPr>
        <w:t>、</w:t>
        <w:tab/>
        <w:t>持续和非持续第二层次公允价值计量项目，采用的估值技术和重要参数的定性及定量信息</w:t>
      </w:r>
      <w:bookmarkEnd w:id="2021"/>
      <w:bookmarkEnd w:id="2022"/>
      <w:bookmarkEnd w:id="2024"/>
    </w:p>
    <w:tbl>
      <w:tblPr>
        <w:tblOverlap w:val="never"/>
        <w:jc w:val="center"/>
        <w:tblLayout w:type="fixed"/>
      </w:tblPr>
      <w:tblGrid>
        <w:gridCol w:w="4406"/>
        <w:gridCol w:w="2861"/>
        <w:gridCol w:w="2410"/>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估值技术</w:t>
            </w:r>
          </w:p>
        </w:tc>
      </w:tr>
      <w:tr>
        <w:trPr>
          <w:trHeight w:val="4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按照产品的相关报价</w:t>
            </w:r>
          </w:p>
        </w:tc>
      </w:tr>
    </w:tbl>
    <w:p>
      <w:pPr>
        <w:widowControl w:val="0"/>
        <w:spacing w:after="339" w:line="1" w:lineRule="exact"/>
      </w:pPr>
    </w:p>
    <w:p>
      <w:pPr>
        <w:pStyle w:val="Style29"/>
        <w:keepNext/>
        <w:keepLines/>
        <w:widowControl w:val="0"/>
        <w:shd w:val="clear" w:color="auto" w:fill="auto"/>
        <w:bidi w:val="0"/>
        <w:spacing w:before="0" w:after="24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4</w:t>
      </w:r>
      <w:bookmarkEnd w:id="2027"/>
      <w:r>
        <w:rPr>
          <w:color w:val="000000"/>
          <w:spacing w:val="0"/>
          <w:w w:val="100"/>
          <w:position w:val="0"/>
        </w:rPr>
        <w:t>、持续和非持续第三层次公允价值计量项目，采用的估值技术和重要参数的定性及定量信息</w:t>
      </w:r>
      <w:bookmarkEnd w:id="2025"/>
      <w:bookmarkEnd w:id="2026"/>
      <w:bookmarkEnd w:id="2028"/>
    </w:p>
    <w:p>
      <w:pPr>
        <w:pStyle w:val="Style10"/>
        <w:keepNext w:val="0"/>
        <w:keepLines w:val="0"/>
        <w:widowControl w:val="0"/>
        <w:shd w:val="clear" w:color="auto" w:fill="auto"/>
        <w:bidi w:val="0"/>
        <w:spacing w:before="0" w:after="60" w:line="437" w:lineRule="exact"/>
        <w:ind w:left="0" w:right="0" w:firstLine="440"/>
        <w:jc w:val="both"/>
      </w:pPr>
      <w:r>
        <w:rPr>
          <w:color w:val="000000"/>
          <w:spacing w:val="0"/>
          <w:w w:val="100"/>
          <w:position w:val="0"/>
        </w:rPr>
        <w:t>本公司本期投资的广州科语机器人有限公司的经营环境和经营情况未发生重大变化，所以公司按投资 成本作为公允价值的合理估计进行计量。</w:t>
      </w:r>
    </w:p>
    <w:p>
      <w:pPr>
        <w:pStyle w:val="Style1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本公司持有的中证信用增进股份有限公司股权及成都农村商业银行股份有限公司股权，均采用市场法 估值，中证信用增进股份有限公司股权参考类似上市公司的股票价格确认公允价值；成都农村商业银行股 份有限公司股权参考当年度自身公开股权交易价格确认公允价值。相关输入值包括市净率、股权交易价格、 流动性折价、少数股权折价率等；由于流动性折价、少数股权折价率为不可观察输入值，公司使用流动性 </w:t>
      </w:r>
      <w:r>
        <w:rPr>
          <w:color w:val="000000"/>
          <w:spacing w:val="0"/>
          <w:w w:val="100"/>
          <w:position w:val="0"/>
        </w:rPr>
        <w:t>折价或少数股权折价率对可观察的输入值进行调整，该调整对金融资产的公允价值计量具有重大影响，故 公允价值计量结果划入第三层次的公允价值计量。</w:t>
      </w:r>
    </w:p>
    <w:p>
      <w:pPr>
        <w:pStyle w:val="Style10"/>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本公司持有的基金投资公司股权，因基金投资公司财务报表已按公允价值计量其持有的对外投资，基 金投资公司财务报表己公允反映其公允价值，所以本公司根据以基金投资公司财务报表归属于合伙人的净 资产为基数计算的普通合伙人可分配金额确认公允价值。</w:t>
      </w:r>
    </w:p>
    <w:p>
      <w:pPr>
        <w:pStyle w:val="Style29"/>
        <w:keepNext/>
        <w:keepLines/>
        <w:widowControl w:val="0"/>
        <w:shd w:val="clear" w:color="auto" w:fill="auto"/>
        <w:tabs>
          <w:tab w:pos="368" w:val="left"/>
        </w:tabs>
        <w:bidi w:val="0"/>
        <w:spacing w:before="0" w:after="120" w:line="480" w:lineRule="auto"/>
        <w:ind w:left="0" w:right="0" w:firstLine="0"/>
        <w:jc w:val="left"/>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5</w:t>
      </w:r>
      <w:bookmarkEnd w:id="2031"/>
      <w:r>
        <w:rPr>
          <w:color w:val="000000"/>
          <w:spacing w:val="0"/>
          <w:w w:val="100"/>
          <w:position w:val="0"/>
        </w:rPr>
        <w:t>、</w:t>
        <w:tab/>
        <w:t>持续的第三层次公允价值计量项目，期初与期末账面价值间的调节信息及不可观察参数敏感性分析</w:t>
      </w:r>
      <w:bookmarkEnd w:id="2029"/>
      <w:bookmarkEnd w:id="2030"/>
      <w:bookmarkEnd w:id="2032"/>
    </w:p>
    <w:p>
      <w:pPr>
        <w:pStyle w:val="Style29"/>
        <w:keepNext/>
        <w:keepLines/>
        <w:widowControl w:val="0"/>
        <w:shd w:val="clear" w:color="auto" w:fill="auto"/>
        <w:tabs>
          <w:tab w:pos="368" w:val="left"/>
        </w:tabs>
        <w:bidi w:val="0"/>
        <w:spacing w:before="0" w:after="120" w:line="480" w:lineRule="auto"/>
        <w:ind w:left="0" w:right="0" w:firstLine="0"/>
        <w:jc w:val="left"/>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6</w:t>
      </w:r>
      <w:bookmarkEnd w:id="2035"/>
      <w:r>
        <w:rPr>
          <w:color w:val="000000"/>
          <w:spacing w:val="0"/>
          <w:w w:val="100"/>
          <w:position w:val="0"/>
        </w:rPr>
        <w:t>、</w:t>
        <w:tab/>
        <w:t>持续的公允价值计量项目，本期内发生各层级之间转换的，转换的原因及确定转换时点的政策</w:t>
      </w:r>
      <w:bookmarkEnd w:id="2033"/>
      <w:bookmarkEnd w:id="2034"/>
      <w:bookmarkEnd w:id="2036"/>
    </w:p>
    <w:p>
      <w:pPr>
        <w:pStyle w:val="Style29"/>
        <w:keepNext/>
        <w:keepLines/>
        <w:widowControl w:val="0"/>
        <w:shd w:val="clear" w:color="auto" w:fill="auto"/>
        <w:tabs>
          <w:tab w:pos="368" w:val="left"/>
        </w:tabs>
        <w:bidi w:val="0"/>
        <w:spacing w:before="0" w:after="120" w:line="480" w:lineRule="auto"/>
        <w:ind w:left="0" w:right="0" w:firstLine="0"/>
        <w:jc w:val="left"/>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7</w:t>
      </w:r>
      <w:bookmarkEnd w:id="2039"/>
      <w:r>
        <w:rPr>
          <w:color w:val="000000"/>
          <w:spacing w:val="0"/>
          <w:w w:val="100"/>
          <w:position w:val="0"/>
        </w:rPr>
        <w:t>、</w:t>
        <w:tab/>
        <w:t>本期内发生的估值技术变更及变更原因</w:t>
      </w:r>
      <w:bookmarkEnd w:id="2037"/>
      <w:bookmarkEnd w:id="2038"/>
      <w:bookmarkEnd w:id="2040"/>
    </w:p>
    <w:p>
      <w:pPr>
        <w:pStyle w:val="Style29"/>
        <w:keepNext/>
        <w:keepLines/>
        <w:widowControl w:val="0"/>
        <w:shd w:val="clear" w:color="auto" w:fill="auto"/>
        <w:tabs>
          <w:tab w:pos="368" w:val="left"/>
        </w:tabs>
        <w:bidi w:val="0"/>
        <w:spacing w:before="0" w:after="120" w:line="480" w:lineRule="auto"/>
        <w:ind w:left="0" w:right="0" w:firstLine="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8</w:t>
      </w:r>
      <w:bookmarkEnd w:id="2043"/>
      <w:r>
        <w:rPr>
          <w:color w:val="000000"/>
          <w:spacing w:val="0"/>
          <w:w w:val="100"/>
          <w:position w:val="0"/>
        </w:rPr>
        <w:t>、</w:t>
        <w:tab/>
        <w:t>不以公允价值计量的金融资产和金融负债的公允价值情况</w:t>
      </w:r>
      <w:bookmarkEnd w:id="2041"/>
      <w:bookmarkEnd w:id="2042"/>
      <w:bookmarkEnd w:id="2044"/>
    </w:p>
    <w:p>
      <w:pPr>
        <w:pStyle w:val="Style29"/>
        <w:keepNext/>
        <w:keepLines/>
        <w:widowControl w:val="0"/>
        <w:shd w:val="clear" w:color="auto" w:fill="auto"/>
        <w:tabs>
          <w:tab w:pos="368" w:val="left"/>
        </w:tabs>
        <w:bidi w:val="0"/>
        <w:spacing w:before="0" w:after="120" w:line="480" w:lineRule="auto"/>
        <w:ind w:left="0" w:right="0" w:firstLine="0"/>
        <w:jc w:val="left"/>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9</w:t>
      </w:r>
      <w:bookmarkEnd w:id="2047"/>
      <w:r>
        <w:rPr>
          <w:color w:val="000000"/>
          <w:spacing w:val="0"/>
          <w:w w:val="100"/>
          <w:position w:val="0"/>
        </w:rPr>
        <w:t>、</w:t>
        <w:tab/>
        <w:t>其他</w:t>
      </w:r>
      <w:bookmarkEnd w:id="2045"/>
      <w:bookmarkEnd w:id="2046"/>
      <w:bookmarkEnd w:id="2048"/>
    </w:p>
    <w:p>
      <w:pPr>
        <w:pStyle w:val="Style21"/>
        <w:keepNext/>
        <w:keepLines/>
        <w:widowControl w:val="0"/>
        <w:shd w:val="clear" w:color="auto" w:fill="auto"/>
        <w:bidi w:val="0"/>
        <w:spacing w:before="0" w:after="400" w:line="240" w:lineRule="auto"/>
        <w:ind w:left="0" w:right="0" w:firstLine="0"/>
        <w:jc w:val="left"/>
      </w:pPr>
      <w:bookmarkStart w:id="2049" w:name="bookmark2049"/>
      <w:bookmarkStart w:id="2050" w:name="bookmark2050"/>
      <w:bookmarkStart w:id="2051" w:name="bookmark2051"/>
      <w:r>
        <w:rPr>
          <w:color w:val="000000"/>
          <w:spacing w:val="0"/>
          <w:w w:val="100"/>
          <w:position w:val="0"/>
        </w:rPr>
        <w:t>十二、关联方及关联交易</w:t>
      </w:r>
      <w:bookmarkEnd w:id="2049"/>
      <w:bookmarkEnd w:id="2050"/>
      <w:bookmarkEnd w:id="2051"/>
    </w:p>
    <w:p>
      <w:pPr>
        <w:pStyle w:val="Style29"/>
        <w:keepNext/>
        <w:keepLines/>
        <w:widowControl w:val="0"/>
        <w:shd w:val="clear" w:color="auto" w:fill="auto"/>
        <w:bidi w:val="0"/>
        <w:spacing w:before="0" w:after="120" w:line="480" w:lineRule="auto"/>
        <w:ind w:left="0" w:right="0" w:firstLine="0"/>
        <w:jc w:val="left"/>
      </w:pPr>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52"/>
      <w:bookmarkEnd w:id="2053"/>
      <w:bookmarkEnd w:id="2054"/>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50" w:lineRule="exact"/>
              <w:ind w:left="0" w:right="0" w:firstLine="0"/>
              <w:jc w:val="left"/>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母公司对本企业的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表决权比例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河南寓泰控股有限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控股公司服务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78,000</w:t>
            </w: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河南辉熠贸易有限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w:t>
            </w:r>
          </w:p>
        </w:tc>
      </w:tr>
    </w:tbl>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河南辉熠贸易有限公司持有河南寓泰控股有限公司股份</w:t>
      </w:r>
      <w:r>
        <w:rPr>
          <w:rFonts w:ascii="Times New Roman" w:eastAsia="Times New Roman" w:hAnsi="Times New Roman" w:cs="Times New Roman"/>
          <w:color w:val="000000"/>
          <w:spacing w:val="0"/>
          <w:w w:val="100"/>
          <w:position w:val="0"/>
          <w:sz w:val="18"/>
          <w:szCs w:val="18"/>
        </w:rPr>
        <w:t>94.2308%</w:t>
      </w:r>
      <w:r>
        <w:rPr>
          <w:color w:val="000000"/>
          <w:spacing w:val="0"/>
          <w:w w:val="100"/>
          <w:position w:val="0"/>
        </w:rPr>
        <w:t>，两家公司形成对鸿博最终受益股份</w:t>
      </w:r>
      <w:r>
        <w:rPr>
          <w:rFonts w:ascii="Times New Roman" w:eastAsia="Times New Roman" w:hAnsi="Times New Roman" w:cs="Times New Roman"/>
          <w:color w:val="000000"/>
          <w:spacing w:val="0"/>
          <w:w w:val="100"/>
          <w:position w:val="0"/>
          <w:sz w:val="18"/>
          <w:szCs w:val="18"/>
        </w:rPr>
        <w:t>21.505%</w:t>
      </w:r>
      <w:r>
        <w:rPr>
          <w:color w:val="000000"/>
          <w:spacing w:val="0"/>
          <w:w w:val="100"/>
          <w:position w:val="0"/>
        </w:rPr>
        <w:t>。</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本企业最终控制方是毛伟。</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399" w:line="1" w:lineRule="exact"/>
      </w:pPr>
    </w:p>
    <w:p>
      <w:pPr>
        <w:pStyle w:val="Style29"/>
        <w:keepNext/>
        <w:keepLines/>
        <w:widowControl w:val="0"/>
        <w:shd w:val="clear" w:color="auto" w:fill="auto"/>
        <w:tabs>
          <w:tab w:pos="368" w:val="left"/>
        </w:tabs>
        <w:bidi w:val="0"/>
        <w:spacing w:before="0" w:after="400" w:line="240" w:lineRule="auto"/>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2</w:t>
      </w:r>
      <w:bookmarkEnd w:id="2057"/>
      <w:r>
        <w:rPr>
          <w:color w:val="000000"/>
          <w:spacing w:val="0"/>
          <w:w w:val="100"/>
          <w:position w:val="0"/>
        </w:rPr>
        <w:t>、</w:t>
        <w:tab/>
        <w:t>本企业的子公司情况</w:t>
      </w:r>
      <w:bookmarkEnd w:id="2055"/>
      <w:bookmarkEnd w:id="2056"/>
      <w:bookmarkEnd w:id="2058"/>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本企业子公司的情况详见附注九、在其他主体中的权益。</w:t>
      </w:r>
    </w:p>
    <w:p>
      <w:pPr>
        <w:pStyle w:val="Style29"/>
        <w:keepNext/>
        <w:keepLines/>
        <w:widowControl w:val="0"/>
        <w:shd w:val="clear" w:color="auto" w:fill="auto"/>
        <w:tabs>
          <w:tab w:pos="368" w:val="left"/>
        </w:tabs>
        <w:bidi w:val="0"/>
        <w:spacing w:before="0" w:after="400" w:line="240"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3</w:t>
      </w:r>
      <w:bookmarkEnd w:id="2061"/>
      <w:r>
        <w:rPr>
          <w:color w:val="000000"/>
          <w:spacing w:val="0"/>
          <w:w w:val="100"/>
          <w:position w:val="0"/>
        </w:rPr>
        <w:t>、</w:t>
        <w:tab/>
        <w:t>本企业合营和联营企业情况</w:t>
      </w:r>
      <w:bookmarkEnd w:id="2059"/>
      <w:bookmarkEnd w:id="2060"/>
      <w:bookmarkEnd w:id="2062"/>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与本企业关系</w:t>
            </w:r>
          </w:p>
        </w:tc>
      </w:tr>
    </w:tbl>
    <w:p>
      <w:pPr>
        <w:spacing w:lineRule="exact" w:line="1"/>
        <w:rPr>
          <w:sz w:val="2"/>
          <w:szCs w:val="2"/>
        </w:rPr>
      </w:pP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2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4</w:t>
      </w:r>
      <w:bookmarkEnd w:id="2065"/>
      <w:r>
        <w:rPr>
          <w:color w:val="000000"/>
          <w:spacing w:val="0"/>
          <w:w w:val="100"/>
          <w:position w:val="0"/>
        </w:rPr>
        <w:t>、其他关联方情况</w:t>
      </w:r>
      <w:bookmarkEnd w:id="2063"/>
      <w:bookmarkEnd w:id="2064"/>
      <w:bookmarkEnd w:id="206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河南寓泰兴业智能安防集团有限公司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福州市鸿博国贸物业管理有限公司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其他关联企业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福建鸿博光电科技有限公司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其他关联企业</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科彩全球有限公司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其他关联企业</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5</w:t>
      </w:r>
      <w:bookmarkEnd w:id="2069"/>
      <w:r>
        <w:rPr>
          <w:color w:val="000000"/>
          <w:spacing w:val="0"/>
          <w:w w:val="100"/>
          <w:position w:val="0"/>
        </w:rPr>
        <w:t>、关联交易情况</w:t>
      </w:r>
      <w:bookmarkEnd w:id="2067"/>
      <w:bookmarkEnd w:id="2068"/>
      <w:bookmarkEnd w:id="2070"/>
    </w:p>
    <w:p>
      <w:pPr>
        <w:pStyle w:val="Style34"/>
        <w:keepNext/>
        <w:keepLines/>
        <w:widowControl w:val="0"/>
        <w:shd w:val="clear" w:color="auto" w:fill="auto"/>
        <w:bidi w:val="0"/>
        <w:spacing w:before="0" w:line="240" w:lineRule="auto"/>
        <w:ind w:left="0" w:right="0" w:firstLine="0"/>
        <w:jc w:val="left"/>
      </w:pPr>
      <w:bookmarkStart w:id="2071" w:name="bookmark2071"/>
      <w:bookmarkStart w:id="2072" w:name="bookmark2072"/>
      <w:bookmarkStart w:id="2073" w:name="bookmark20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71"/>
      <w:bookmarkEnd w:id="2072"/>
      <w:bookmarkEnd w:id="207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河南寓泰兴业智能 安防集团有限公司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182,700.00</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福州市鸿博国贸物 业管理有限公司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220,999.89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219,690.72</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上期发生额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4"/>
        <w:keepNext/>
        <w:keepLines/>
        <w:widowControl w:val="0"/>
        <w:shd w:val="clear" w:color="auto" w:fill="auto"/>
        <w:bidi w:val="0"/>
        <w:spacing w:before="0" w:after="280" w:line="240" w:lineRule="auto"/>
        <w:ind w:left="0" w:right="0" w:firstLine="0"/>
        <w:jc w:val="left"/>
      </w:pPr>
      <w:bookmarkStart w:id="2074" w:name="bookmark2074"/>
      <w:bookmarkStart w:id="2075" w:name="bookmark2075"/>
      <w:bookmarkStart w:id="2076" w:name="bookmark20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74"/>
      <w:bookmarkEnd w:id="2075"/>
      <w:bookmarkEnd w:id="2076"/>
    </w:p>
    <w:p>
      <w:pPr>
        <w:pStyle w:val="Style26"/>
        <w:keepNext w:val="0"/>
        <w:keepLines w:val="0"/>
        <w:widowControl w:val="0"/>
        <w:shd w:val="clear" w:color="auto" w:fill="auto"/>
        <w:bidi w:val="0"/>
        <w:spacing w:before="0" w:after="80" w:line="336" w:lineRule="exact"/>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 单位：元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本期确认的托管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18"/>
              <w:keepNext w:val="0"/>
              <w:keepLines w:val="0"/>
              <w:widowControl w:val="0"/>
              <w:shd w:val="clear" w:color="auto" w:fill="auto"/>
              <w:bidi w:val="0"/>
              <w:spacing w:before="0" w:after="0" w:line="336" w:lineRule="exact"/>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 单位：元</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4"/>
        <w:keepNext/>
        <w:keepLines/>
        <w:widowControl w:val="0"/>
        <w:shd w:val="clear" w:color="auto" w:fill="auto"/>
        <w:bidi w:val="0"/>
        <w:spacing w:before="0" w:line="240" w:lineRule="auto"/>
        <w:ind w:left="0" w:right="0" w:firstLine="0"/>
        <w:jc w:val="left"/>
      </w:pPr>
      <w:bookmarkStart w:id="2077" w:name="bookmark2077"/>
      <w:bookmarkStart w:id="2078" w:name="bookmark2078"/>
      <w:bookmarkStart w:id="2079" w:name="bookmark2079"/>
      <w:bookmarkStart w:id="2080" w:name="bookmark2080"/>
      <w:r>
        <w:rPr>
          <w:color w:val="000000"/>
          <w:spacing w:val="0"/>
          <w:w w:val="100"/>
          <w:position w:val="0"/>
        </w:rPr>
        <w:t>（</w:t>
      </w:r>
      <w:bookmarkEnd w:id="2079"/>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77"/>
      <w:bookmarkEnd w:id="2078"/>
      <w:bookmarkEnd w:id="2080"/>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上期确认的租赁收入</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本公司作为承租方:</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福建鸿博光电科技有限公司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1,896,789.50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2,609,512.93</w:t>
            </w:r>
          </w:p>
        </w:tc>
      </w:tr>
    </w:tbl>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关联租赁情况说明</w:t>
      </w:r>
    </w:p>
    <w:p>
      <w:pPr>
        <w:pStyle w:val="Style34"/>
        <w:keepNext/>
        <w:keepLines/>
        <w:widowControl w:val="0"/>
        <w:shd w:val="clear" w:color="auto" w:fill="auto"/>
        <w:bidi w:val="0"/>
        <w:spacing w:before="0" w:after="260" w:line="240" w:lineRule="auto"/>
        <w:ind w:left="0" w:right="0" w:firstLine="0"/>
        <w:jc w:val="left"/>
      </w:pPr>
      <w:bookmarkStart w:id="2081" w:name="bookmark2081"/>
      <w:bookmarkStart w:id="2082" w:name="bookmark2082"/>
      <w:bookmarkStart w:id="2083" w:name="bookmark2083"/>
      <w:bookmarkStart w:id="2084" w:name="bookmark2084"/>
      <w:r>
        <w:rPr>
          <w:color w:val="000000"/>
          <w:spacing w:val="0"/>
          <w:w w:val="100"/>
          <w:position w:val="0"/>
        </w:rPr>
        <w:t>（</w:t>
      </w:r>
      <w:bookmarkEnd w:id="2083"/>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81"/>
      <w:bookmarkEnd w:id="2082"/>
      <w:bookmarkEnd w:id="2084"/>
    </w:p>
    <w:p>
      <w:pPr>
        <w:pStyle w:val="Style26"/>
        <w:keepNext w:val="0"/>
        <w:keepLines w:val="0"/>
        <w:widowControl w:val="0"/>
        <w:shd w:val="clear" w:color="auto" w:fill="auto"/>
        <w:bidi w:val="0"/>
        <w:spacing w:before="0" w:after="80" w:line="346" w:lineRule="exact"/>
        <w:ind w:left="0" w:right="0" w:firstLine="0"/>
        <w:jc w:val="left"/>
      </w:pPr>
      <w:r>
        <w:rPr>
          <w:color w:val="000000"/>
          <w:spacing w:val="0"/>
          <w:w w:val="100"/>
          <w:position w:val="0"/>
        </w:rPr>
        <w:t>本公司作为担保方 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gridSpan w:val="5"/>
            <w:tcBorders>
              <w:top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color w:val="000000"/>
                <w:spacing w:val="0"/>
                <w:w w:val="100"/>
                <w:position w:val="0"/>
              </w:rPr>
              <w:t>本公司作为被担保方 单位：元</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4"/>
        <w:keepNext/>
        <w:keepLines/>
        <w:widowControl w:val="0"/>
        <w:shd w:val="clear" w:color="auto" w:fill="auto"/>
        <w:bidi w:val="0"/>
        <w:spacing w:before="0" w:line="240" w:lineRule="auto"/>
        <w:ind w:left="0" w:right="0" w:firstLine="0"/>
        <w:jc w:val="left"/>
      </w:pPr>
      <w:bookmarkStart w:id="2085" w:name="bookmark2085"/>
      <w:bookmarkStart w:id="2086" w:name="bookmark2086"/>
      <w:bookmarkStart w:id="2087" w:name="bookmark2087"/>
      <w:bookmarkStart w:id="2088" w:name="bookmark2088"/>
      <w:r>
        <w:rPr>
          <w:color w:val="000000"/>
          <w:spacing w:val="0"/>
          <w:w w:val="100"/>
          <w:position w:val="0"/>
        </w:rPr>
        <w:t>（</w:t>
      </w:r>
      <w:bookmarkEnd w:id="208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85"/>
      <w:bookmarkEnd w:id="2086"/>
      <w:bookmarkEnd w:id="2088"/>
    </w:p>
    <w:p>
      <w:pPr>
        <w:widowControl w:val="0"/>
        <w:jc w:val="center"/>
        <w:rPr>
          <w:sz w:val="2"/>
          <w:szCs w:val="2"/>
        </w:rPr>
      </w:pPr>
      <w:r>
        <w:drawing>
          <wp:inline>
            <wp:extent cx="6089650" cy="95694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pic:blipFill>
                  <pic:spPr>
                    <a:xfrm>
                      <a:ext cx="6089650" cy="956945"/>
                    </a:xfrm>
                    <a:prstGeom prst="rect"/>
                  </pic:spPr>
                </pic:pic>
              </a:graphicData>
            </a:graphic>
          </wp:inline>
        </w:drawing>
      </w:r>
    </w:p>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089" w:name="bookmark2089"/>
      <w:bookmarkStart w:id="2090" w:name="bookmark2090"/>
      <w:bookmarkStart w:id="2091" w:name="bookmark2091"/>
      <w:bookmarkStart w:id="2092" w:name="bookmark2092"/>
      <w:r>
        <w:rPr>
          <w:color w:val="000000"/>
          <w:spacing w:val="0"/>
          <w:w w:val="100"/>
          <w:position w:val="0"/>
        </w:rPr>
        <w:t>（</w:t>
      </w:r>
      <w:bookmarkEnd w:id="209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89"/>
      <w:bookmarkEnd w:id="2090"/>
      <w:bookmarkEnd w:id="2092"/>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093" w:name="bookmark2093"/>
      <w:bookmarkStart w:id="2094" w:name="bookmark2094"/>
      <w:bookmarkStart w:id="2095" w:name="bookmark2095"/>
      <w:bookmarkStart w:id="2096" w:name="bookmark2096"/>
      <w:r>
        <w:rPr>
          <w:color w:val="000000"/>
          <w:spacing w:val="0"/>
          <w:w w:val="100"/>
          <w:position w:val="0"/>
        </w:rPr>
        <w:t>（</w:t>
      </w:r>
      <w:bookmarkEnd w:id="2095"/>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93"/>
      <w:bookmarkEnd w:id="2094"/>
      <w:bookmarkEnd w:id="2096"/>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4,425,594.25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7,020,492.00</w:t>
            </w:r>
          </w:p>
        </w:tc>
      </w:tr>
    </w:tbl>
    <w:p>
      <w:pPr>
        <w:pStyle w:val="Style34"/>
        <w:keepNext/>
        <w:keepLines/>
        <w:widowControl w:val="0"/>
        <w:shd w:val="clear" w:color="auto" w:fill="auto"/>
        <w:bidi w:val="0"/>
        <w:spacing w:before="0" w:after="360" w:line="240" w:lineRule="auto"/>
        <w:ind w:left="0" w:right="0" w:firstLine="0"/>
        <w:jc w:val="left"/>
      </w:pPr>
      <w:bookmarkStart w:id="2097" w:name="bookmark2097"/>
      <w:bookmarkStart w:id="2098" w:name="bookmark2098"/>
      <w:bookmarkStart w:id="2099" w:name="bookmark2099"/>
      <w:bookmarkStart w:id="2100" w:name="bookmark2100"/>
      <w:r>
        <w:rPr>
          <w:color w:val="000000"/>
          <w:spacing w:val="0"/>
          <w:w w:val="100"/>
          <w:position w:val="0"/>
        </w:rPr>
        <w:t>（</w:t>
      </w:r>
      <w:bookmarkEnd w:id="209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97"/>
      <w:bookmarkEnd w:id="2098"/>
      <w:bookmarkEnd w:id="2100"/>
    </w:p>
    <w:p>
      <w:pPr>
        <w:pStyle w:val="Style29"/>
        <w:keepNext/>
        <w:keepLines/>
        <w:widowControl w:val="0"/>
        <w:shd w:val="clear" w:color="auto" w:fill="auto"/>
        <w:bidi w:val="0"/>
        <w:spacing w:before="0" w:line="240" w:lineRule="auto"/>
        <w:ind w:left="0" w:right="0" w:firstLine="0"/>
        <w:jc w:val="left"/>
      </w:pPr>
      <w:bookmarkStart w:id="2101" w:name="bookmark2101"/>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6</w:t>
      </w:r>
      <w:bookmarkEnd w:id="2103"/>
      <w:r>
        <w:rPr>
          <w:color w:val="000000"/>
          <w:spacing w:val="0"/>
          <w:w w:val="100"/>
          <w:position w:val="0"/>
        </w:rPr>
        <w:t>、关联方应收应付款项</w:t>
      </w:r>
      <w:bookmarkEnd w:id="2101"/>
      <w:bookmarkEnd w:id="2102"/>
      <w:bookmarkEnd w:id="2104"/>
    </w:p>
    <w:p>
      <w:pPr>
        <w:pStyle w:val="Style34"/>
        <w:keepNext/>
        <w:keepLines/>
        <w:widowControl w:val="0"/>
        <w:shd w:val="clear" w:color="auto" w:fill="auto"/>
        <w:bidi w:val="0"/>
        <w:spacing w:before="0" w:after="360" w:line="240" w:lineRule="auto"/>
        <w:ind w:left="0" w:right="0" w:firstLine="0"/>
        <w:jc w:val="left"/>
      </w:pPr>
      <w:bookmarkStart w:id="2105" w:name="bookmark2105"/>
      <w:bookmarkStart w:id="2106" w:name="bookmark2106"/>
      <w:bookmarkStart w:id="2107" w:name="bookmark21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05"/>
      <w:bookmarkEnd w:id="2106"/>
      <w:bookmarkEnd w:id="2107"/>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福建鸿博光电科技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108" w:name="bookmark2108"/>
      <w:bookmarkStart w:id="2109" w:name="bookmark2109"/>
      <w:bookmarkStart w:id="2110" w:name="bookmark21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08"/>
      <w:bookmarkEnd w:id="2109"/>
      <w:bookmarkEnd w:id="2110"/>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福建鸿博光电科技有限公司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37,253.09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316,580.93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科彩全球有限公司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23,275,000.00</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福建鸿博光电科技有限公司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9,174,937.92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11,393,685.57</w:t>
            </w:r>
          </w:p>
        </w:tc>
      </w:tr>
    </w:tbl>
    <w:p>
      <w:pPr>
        <w:widowControl w:val="0"/>
        <w:spacing w:after="359" w:line="1" w:lineRule="exact"/>
      </w:pPr>
    </w:p>
    <w:p>
      <w:pPr>
        <w:pStyle w:val="Style29"/>
        <w:keepNext/>
        <w:keepLines/>
        <w:widowControl w:val="0"/>
        <w:shd w:val="clear" w:color="auto" w:fill="auto"/>
        <w:tabs>
          <w:tab w:pos="363" w:val="left"/>
        </w:tabs>
        <w:bidi w:val="0"/>
        <w:spacing w:before="0" w:line="240" w:lineRule="auto"/>
        <w:ind w:left="0" w:right="0" w:firstLine="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7</w:t>
      </w:r>
      <w:bookmarkEnd w:id="2113"/>
      <w:r>
        <w:rPr>
          <w:color w:val="000000"/>
          <w:spacing w:val="0"/>
          <w:w w:val="100"/>
          <w:position w:val="0"/>
        </w:rPr>
        <w:t>、</w:t>
        <w:tab/>
        <w:t>关联方承诺</w:t>
      </w:r>
      <w:bookmarkEnd w:id="2111"/>
      <w:bookmarkEnd w:id="2112"/>
      <w:bookmarkEnd w:id="2114"/>
    </w:p>
    <w:p>
      <w:pPr>
        <w:pStyle w:val="Style29"/>
        <w:keepNext/>
        <w:keepLines/>
        <w:widowControl w:val="0"/>
        <w:shd w:val="clear" w:color="auto" w:fill="auto"/>
        <w:tabs>
          <w:tab w:pos="368" w:val="left"/>
        </w:tabs>
        <w:bidi w:val="0"/>
        <w:spacing w:before="0" w:line="240" w:lineRule="auto"/>
        <w:ind w:left="0" w:right="0" w:firstLine="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8</w:t>
      </w:r>
      <w:bookmarkEnd w:id="2117"/>
      <w:r>
        <w:rPr>
          <w:color w:val="000000"/>
          <w:spacing w:val="0"/>
          <w:w w:val="100"/>
          <w:position w:val="0"/>
        </w:rPr>
        <w:t>、</w:t>
        <w:tab/>
        <w:t>其他</w:t>
      </w:r>
      <w:bookmarkEnd w:id="2115"/>
      <w:bookmarkEnd w:id="2116"/>
      <w:bookmarkEnd w:id="2118"/>
    </w:p>
    <w:p>
      <w:pPr>
        <w:pStyle w:val="Style21"/>
        <w:keepNext/>
        <w:keepLines/>
        <w:widowControl w:val="0"/>
        <w:shd w:val="clear" w:color="auto" w:fill="auto"/>
        <w:bidi w:val="0"/>
        <w:spacing w:before="0" w:after="360" w:line="240" w:lineRule="auto"/>
        <w:ind w:left="0" w:right="0" w:firstLine="0"/>
        <w:jc w:val="left"/>
      </w:pPr>
      <w:bookmarkStart w:id="2119" w:name="bookmark2119"/>
      <w:bookmarkStart w:id="2120" w:name="bookmark2120"/>
      <w:bookmarkStart w:id="2121" w:name="bookmark2121"/>
      <w:r>
        <w:rPr>
          <w:color w:val="000000"/>
          <w:spacing w:val="0"/>
          <w:w w:val="100"/>
          <w:position w:val="0"/>
        </w:rPr>
        <w:t>十三、股份支付</w:t>
      </w:r>
      <w:bookmarkEnd w:id="2119"/>
      <w:bookmarkEnd w:id="2120"/>
      <w:bookmarkEnd w:id="2121"/>
    </w:p>
    <w:p>
      <w:pPr>
        <w:pStyle w:val="Style29"/>
        <w:keepNext/>
        <w:keepLines/>
        <w:widowControl w:val="0"/>
        <w:shd w:val="clear" w:color="auto" w:fill="auto"/>
        <w:tabs>
          <w:tab w:pos="358" w:val="left"/>
        </w:tabs>
        <w:bidi w:val="0"/>
        <w:spacing w:before="0" w:line="240" w:lineRule="auto"/>
        <w:ind w:left="0" w:right="0" w:firstLine="0"/>
        <w:jc w:val="left"/>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1</w:t>
      </w:r>
      <w:bookmarkEnd w:id="2124"/>
      <w:r>
        <w:rPr>
          <w:color w:val="000000"/>
          <w:spacing w:val="0"/>
          <w:w w:val="100"/>
          <w:position w:val="0"/>
        </w:rPr>
        <w:t>、</w:t>
        <w:tab/>
        <w:t>股份支付总体情况</w:t>
      </w:r>
      <w:bookmarkEnd w:id="2122"/>
      <w:bookmarkEnd w:id="2123"/>
      <w:bookmarkEnd w:id="212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68" w:val="left"/>
        </w:tabs>
        <w:bidi w:val="0"/>
        <w:spacing w:before="0" w:line="240" w:lineRule="auto"/>
        <w:ind w:left="0" w:right="0" w:firstLine="0"/>
        <w:jc w:val="left"/>
      </w:pPr>
      <w:bookmarkStart w:id="2126" w:name="bookmark2126"/>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2</w:t>
      </w:r>
      <w:bookmarkEnd w:id="2128"/>
      <w:r>
        <w:rPr>
          <w:color w:val="000000"/>
          <w:spacing w:val="0"/>
          <w:w w:val="100"/>
          <w:position w:val="0"/>
        </w:rPr>
        <w:t>、</w:t>
        <w:tab/>
        <w:t>以权益结算的股份支付情况</w:t>
      </w:r>
      <w:bookmarkEnd w:id="2126"/>
      <w:bookmarkEnd w:id="2127"/>
      <w:bookmarkEnd w:id="2129"/>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68" w:val="left"/>
        </w:tabs>
        <w:bidi w:val="0"/>
        <w:spacing w:before="0" w:line="240" w:lineRule="auto"/>
        <w:ind w:left="0" w:right="0" w:firstLine="0"/>
        <w:jc w:val="left"/>
      </w:pPr>
      <w:bookmarkStart w:id="2130" w:name="bookmark2130"/>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3</w:t>
      </w:r>
      <w:bookmarkEnd w:id="2132"/>
      <w:r>
        <w:rPr>
          <w:color w:val="000000"/>
          <w:spacing w:val="0"/>
          <w:w w:val="100"/>
          <w:position w:val="0"/>
        </w:rPr>
        <w:t>、</w:t>
        <w:tab/>
        <w:t>以现金结算的股份支付情况</w:t>
      </w:r>
      <w:bookmarkEnd w:id="2130"/>
      <w:bookmarkEnd w:id="2131"/>
      <w:bookmarkEnd w:id="213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68" w:val="left"/>
        </w:tabs>
        <w:bidi w:val="0"/>
        <w:spacing w:before="0" w:line="240" w:lineRule="auto"/>
        <w:ind w:left="0" w:right="0" w:firstLine="0"/>
        <w:jc w:val="left"/>
      </w:pPr>
      <w:bookmarkStart w:id="2134" w:name="bookmark2134"/>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4</w:t>
      </w:r>
      <w:bookmarkEnd w:id="2136"/>
      <w:r>
        <w:rPr>
          <w:color w:val="000000"/>
          <w:spacing w:val="0"/>
          <w:w w:val="100"/>
          <w:position w:val="0"/>
        </w:rPr>
        <w:t>、</w:t>
        <w:tab/>
        <w:t>股份支付的修改、终止情况</w:t>
      </w:r>
      <w:bookmarkEnd w:id="2134"/>
      <w:bookmarkEnd w:id="2135"/>
      <w:bookmarkEnd w:id="2137"/>
    </w:p>
    <w:p>
      <w:pPr>
        <w:pStyle w:val="Style29"/>
        <w:keepNext/>
        <w:keepLines/>
        <w:widowControl w:val="0"/>
        <w:shd w:val="clear" w:color="auto" w:fill="auto"/>
        <w:tabs>
          <w:tab w:pos="368" w:val="left"/>
        </w:tabs>
        <w:bidi w:val="0"/>
        <w:spacing w:before="0" w:line="240" w:lineRule="auto"/>
        <w:ind w:left="0" w:right="0" w:firstLine="0"/>
        <w:jc w:val="left"/>
      </w:pPr>
      <w:bookmarkStart w:id="2138" w:name="bookmark2138"/>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5</w:t>
      </w:r>
      <w:bookmarkEnd w:id="2140"/>
      <w:r>
        <w:rPr>
          <w:color w:val="000000"/>
          <w:spacing w:val="0"/>
          <w:w w:val="100"/>
          <w:position w:val="0"/>
        </w:rPr>
        <w:t>、</w:t>
        <w:tab/>
        <w:t>其他</w:t>
      </w:r>
      <w:bookmarkEnd w:id="2138"/>
      <w:bookmarkEnd w:id="2139"/>
      <w:bookmarkEnd w:id="2141"/>
    </w:p>
    <w:p>
      <w:pPr>
        <w:pStyle w:val="Style21"/>
        <w:keepNext/>
        <w:keepLines/>
        <w:widowControl w:val="0"/>
        <w:shd w:val="clear" w:color="auto" w:fill="auto"/>
        <w:bidi w:val="0"/>
        <w:spacing w:before="0" w:after="360" w:line="240" w:lineRule="auto"/>
        <w:ind w:left="0" w:right="0" w:firstLine="0"/>
        <w:jc w:val="left"/>
      </w:pPr>
      <w:bookmarkStart w:id="2142" w:name="bookmark2142"/>
      <w:bookmarkStart w:id="2143" w:name="bookmark2143"/>
      <w:bookmarkStart w:id="2144" w:name="bookmark2144"/>
      <w:r>
        <w:rPr>
          <w:color w:val="000000"/>
          <w:spacing w:val="0"/>
          <w:w w:val="100"/>
          <w:position w:val="0"/>
        </w:rPr>
        <w:t>十四、承诺及或有事项</w:t>
      </w:r>
      <w:bookmarkEnd w:id="2142"/>
      <w:bookmarkEnd w:id="2143"/>
      <w:bookmarkEnd w:id="2144"/>
    </w:p>
    <w:p>
      <w:pPr>
        <w:pStyle w:val="Style29"/>
        <w:keepNext/>
        <w:keepLines/>
        <w:widowControl w:val="0"/>
        <w:shd w:val="clear" w:color="auto" w:fill="auto"/>
        <w:bidi w:val="0"/>
        <w:spacing w:before="0" w:line="240" w:lineRule="auto"/>
        <w:ind w:left="0" w:right="0" w:firstLine="0"/>
        <w:jc w:val="left"/>
      </w:pPr>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45"/>
      <w:bookmarkEnd w:id="2146"/>
      <w:bookmarkEnd w:id="2147"/>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资产负债表日存在的重要承诺</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）股东或高管股权质押</w:t>
      </w:r>
    </w:p>
    <w:tbl>
      <w:tblPr>
        <w:tblOverlap w:val="never"/>
        <w:jc w:val="center"/>
        <w:tblLayout w:type="fixed"/>
      </w:tblPr>
      <w:tblGrid>
        <w:gridCol w:w="739"/>
        <w:gridCol w:w="1680"/>
        <w:gridCol w:w="1406"/>
        <w:gridCol w:w="1320"/>
        <w:gridCol w:w="1238"/>
        <w:gridCol w:w="1166"/>
        <w:gridCol w:w="1085"/>
        <w:gridCol w:w="1042"/>
      </w:tblGrid>
      <w:tr>
        <w:trPr>
          <w:trHeight w:val="43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证券股东名称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持股总数（股）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质押股数（股）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质押股性质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质押权人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到期日期</w:t>
            </w:r>
          </w:p>
        </w:tc>
      </w:tr>
      <w:tr>
        <w:trPr>
          <w:trHeight w:val="105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河南寓泰控股有限公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71,263,785.00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rPr>
              <w:t>无限售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河南能源化工</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集团投资有限</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2020-8-19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2022-2-18</w:t>
            </w:r>
          </w:p>
        </w:tc>
      </w:tr>
      <w:tr>
        <w:trPr>
          <w:trHeight w:val="73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河南寓泰控股有限公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71,263,785.00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rPr>
              <w:t>无限售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吴驰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2020-12-30</w:t>
            </w:r>
          </w:p>
        </w:tc>
      </w:tr>
      <w:tr>
        <w:trPr>
          <w:trHeight w:val="73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河南寓泰控股有限公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71,263,785.00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rPr>
              <w:t>无限售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吴驰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2020-12-30</w:t>
            </w:r>
          </w:p>
        </w:tc>
      </w:tr>
      <w:tr>
        <w:trPr>
          <w:trHeight w:val="73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河南寓泰控股有限公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71,263,785.00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rPr>
              <w:t>无限售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吴驰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2020-12-30</w:t>
            </w:r>
          </w:p>
        </w:tc>
      </w:tr>
      <w:tr>
        <w:trPr>
          <w:trHeight w:val="73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河南寓泰控股有限公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71,263,785.00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rPr>
              <w:t>无限售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陈新凯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2021-6-21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2022-6-20</w:t>
            </w:r>
          </w:p>
        </w:tc>
      </w:tr>
      <w:tr>
        <w:trPr>
          <w:trHeight w:val="73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河南寓泰控股有限公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71,263,785.00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rPr>
              <w:t>无限售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陈新凯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2021-7-16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2022-7-15</w:t>
            </w:r>
          </w:p>
        </w:tc>
      </w:tr>
      <w:tr>
        <w:trPr>
          <w:trHeight w:val="106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36" w:lineRule="exact"/>
              <w:ind w:left="0" w:right="0" w:firstLine="0"/>
              <w:jc w:val="both"/>
            </w:pPr>
            <w:r>
              <w:rPr>
                <w:color w:val="000000"/>
                <w:spacing w:val="0"/>
                <w:w w:val="100"/>
                <w:position w:val="0"/>
              </w:rPr>
              <w:t>河南辉熠贸易有限公 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rPr>
              <w:t>无限售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河南能源化工 集团投资有限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2021-1-19</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2022-3-18</w:t>
            </w:r>
          </w:p>
        </w:tc>
      </w:tr>
    </w:tbl>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rPr>
        <w:t>除存在上述承诺事项外，截止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日，本公司无其他应披露未披露的重大承诺事项。</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148"/>
      <w:bookmarkEnd w:id="2149"/>
      <w:bookmarkEnd w:id="2150"/>
    </w:p>
    <w:p>
      <w:pPr>
        <w:pStyle w:val="Style34"/>
        <w:keepNext/>
        <w:keepLines/>
        <w:widowControl w:val="0"/>
        <w:shd w:val="clear" w:color="auto" w:fill="auto"/>
        <w:tabs>
          <w:tab w:pos="478" w:val="left"/>
        </w:tabs>
        <w:bidi w:val="0"/>
        <w:spacing w:before="0" w:after="360" w:line="240" w:lineRule="auto"/>
        <w:ind w:left="0" w:right="0" w:firstLine="0"/>
        <w:jc w:val="left"/>
      </w:pPr>
      <w:bookmarkStart w:id="2151" w:name="bookmark2151"/>
      <w:bookmarkStart w:id="2152" w:name="bookmark2152"/>
      <w:bookmarkStart w:id="2153" w:name="bookmark2153"/>
      <w:bookmarkStart w:id="2154" w:name="bookmark2154"/>
      <w:r>
        <w:rPr>
          <w:color w:val="000000"/>
          <w:spacing w:val="0"/>
          <w:w w:val="100"/>
          <w:position w:val="0"/>
        </w:rPr>
        <w:t>（</w:t>
      </w:r>
      <w:bookmarkEnd w:id="215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51"/>
      <w:bookmarkEnd w:id="2152"/>
      <w:bookmarkEnd w:id="2154"/>
    </w:p>
    <w:p>
      <w:pPr>
        <w:pStyle w:val="Style34"/>
        <w:keepNext/>
        <w:keepLines/>
        <w:widowControl w:val="0"/>
        <w:shd w:val="clear" w:color="auto" w:fill="auto"/>
        <w:tabs>
          <w:tab w:pos="478" w:val="left"/>
        </w:tabs>
        <w:bidi w:val="0"/>
        <w:spacing w:before="0" w:after="360" w:line="240" w:lineRule="auto"/>
        <w:ind w:left="0" w:right="0" w:firstLine="0"/>
        <w:jc w:val="left"/>
      </w:pPr>
      <w:bookmarkStart w:id="2155" w:name="bookmark2155"/>
      <w:bookmarkStart w:id="2156" w:name="bookmark2156"/>
      <w:bookmarkStart w:id="2157" w:name="bookmark2157"/>
      <w:bookmarkStart w:id="2158" w:name="bookmark2158"/>
      <w:r>
        <w:rPr>
          <w:color w:val="000000"/>
          <w:spacing w:val="0"/>
          <w:w w:val="100"/>
          <w:position w:val="0"/>
        </w:rPr>
        <w:t>（</w:t>
      </w:r>
      <w:bookmarkEnd w:id="215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55"/>
      <w:bookmarkEnd w:id="2156"/>
      <w:bookmarkEnd w:id="215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bidi w:val="0"/>
        <w:spacing w:before="0" w:after="380" w:line="240" w:lineRule="auto"/>
        <w:ind w:left="0" w:right="0" w:firstLine="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3</w:t>
      </w:r>
      <w:bookmarkEnd w:id="2161"/>
      <w:r>
        <w:rPr>
          <w:color w:val="000000"/>
          <w:spacing w:val="0"/>
          <w:w w:val="100"/>
          <w:position w:val="0"/>
        </w:rPr>
        <w:t>、其他</w:t>
      </w:r>
      <w:bookmarkEnd w:id="2159"/>
      <w:bookmarkEnd w:id="2160"/>
      <w:bookmarkEnd w:id="2162"/>
    </w:p>
    <w:p>
      <w:pPr>
        <w:pStyle w:val="Style21"/>
        <w:keepNext/>
        <w:keepLines/>
        <w:widowControl w:val="0"/>
        <w:shd w:val="clear" w:color="auto" w:fill="auto"/>
        <w:bidi w:val="0"/>
        <w:spacing w:before="0" w:after="380" w:line="240" w:lineRule="auto"/>
        <w:ind w:left="0" w:right="0" w:firstLine="0"/>
        <w:jc w:val="left"/>
      </w:pPr>
      <w:bookmarkStart w:id="2163" w:name="bookmark2163"/>
      <w:bookmarkStart w:id="2164" w:name="bookmark2164"/>
      <w:bookmarkStart w:id="2165" w:name="bookmark2165"/>
      <w:r>
        <w:rPr>
          <w:color w:val="000000"/>
          <w:spacing w:val="0"/>
          <w:w w:val="100"/>
          <w:position w:val="0"/>
        </w:rPr>
        <w:t>十五、资产负债表日后事项</w:t>
      </w:r>
      <w:bookmarkEnd w:id="2163"/>
      <w:bookmarkEnd w:id="2164"/>
      <w:bookmarkEnd w:id="2165"/>
    </w:p>
    <w:p>
      <w:pPr>
        <w:pStyle w:val="Style29"/>
        <w:keepNext/>
        <w:keepLines/>
        <w:widowControl w:val="0"/>
        <w:shd w:val="clear" w:color="auto" w:fill="auto"/>
        <w:bidi w:val="0"/>
        <w:spacing w:before="0" w:after="380" w:line="240" w:lineRule="auto"/>
        <w:ind w:left="0" w:right="0" w:firstLine="0"/>
        <w:jc w:val="left"/>
      </w:pPr>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66"/>
      <w:bookmarkEnd w:id="2167"/>
      <w:bookmarkEnd w:id="2168"/>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无法估计影响数的原因</w:t>
            </w:r>
          </w:p>
        </w:tc>
      </w:tr>
    </w:tbl>
    <w:p>
      <w:pPr>
        <w:widowControl w:val="0"/>
        <w:spacing w:after="119" w:line="1" w:lineRule="exact"/>
      </w:pPr>
    </w:p>
    <w:p>
      <w:pPr>
        <w:pStyle w:val="Style29"/>
        <w:keepNext/>
        <w:keepLines/>
        <w:widowControl w:val="0"/>
        <w:shd w:val="clear" w:color="auto" w:fill="auto"/>
        <w:tabs>
          <w:tab w:pos="368" w:val="left"/>
        </w:tabs>
        <w:bidi w:val="0"/>
        <w:spacing w:before="0" w:after="380" w:line="473" w:lineRule="exact"/>
        <w:ind w:left="0" w:right="0" w:firstLine="0"/>
        <w:jc w:val="left"/>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2</w:t>
      </w:r>
      <w:bookmarkEnd w:id="2171"/>
      <w:r>
        <w:rPr>
          <w:color w:val="000000"/>
          <w:spacing w:val="0"/>
          <w:w w:val="100"/>
          <w:position w:val="0"/>
        </w:rPr>
        <w:t>、</w:t>
        <w:tab/>
        <w:t>利润分配情况</w:t>
      </w:r>
      <w:bookmarkEnd w:id="2169"/>
      <w:bookmarkEnd w:id="2170"/>
      <w:bookmarkEnd w:id="2172"/>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单位：元</w:t>
      </w:r>
    </w:p>
    <w:p>
      <w:pPr>
        <w:pStyle w:val="Style29"/>
        <w:keepNext/>
        <w:keepLines/>
        <w:widowControl w:val="0"/>
        <w:shd w:val="clear" w:color="auto" w:fill="auto"/>
        <w:tabs>
          <w:tab w:pos="368" w:val="left"/>
        </w:tabs>
        <w:bidi w:val="0"/>
        <w:spacing w:before="0" w:after="120" w:line="473" w:lineRule="exact"/>
        <w:ind w:left="0" w:right="0" w:firstLine="0"/>
        <w:jc w:val="left"/>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3</w:t>
      </w:r>
      <w:bookmarkEnd w:id="2175"/>
      <w:r>
        <w:rPr>
          <w:color w:val="000000"/>
          <w:spacing w:val="0"/>
          <w:w w:val="100"/>
          <w:position w:val="0"/>
        </w:rPr>
        <w:t>、</w:t>
        <w:tab/>
        <w:t>销售退回</w:t>
      </w:r>
      <w:bookmarkEnd w:id="2173"/>
      <w:bookmarkEnd w:id="2174"/>
      <w:bookmarkEnd w:id="2176"/>
    </w:p>
    <w:p>
      <w:pPr>
        <w:pStyle w:val="Style29"/>
        <w:keepNext/>
        <w:keepLines/>
        <w:widowControl w:val="0"/>
        <w:shd w:val="clear" w:color="auto" w:fill="auto"/>
        <w:tabs>
          <w:tab w:pos="368" w:val="left"/>
        </w:tabs>
        <w:bidi w:val="0"/>
        <w:spacing w:before="0" w:after="180" w:line="473" w:lineRule="exact"/>
        <w:ind w:left="0" w:right="0" w:firstLine="0"/>
        <w:jc w:val="left"/>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4</w:t>
      </w:r>
      <w:bookmarkEnd w:id="2179"/>
      <w:r>
        <w:rPr>
          <w:color w:val="000000"/>
          <w:spacing w:val="0"/>
          <w:w w:val="100"/>
          <w:position w:val="0"/>
        </w:rPr>
        <w:t>、</w:t>
        <w:tab/>
        <w:t>其他资产负债表日后事项说明</w:t>
      </w:r>
      <w:bookmarkEnd w:id="2177"/>
      <w:bookmarkEnd w:id="2178"/>
      <w:bookmarkEnd w:id="2180"/>
    </w:p>
    <w:p>
      <w:pPr>
        <w:pStyle w:val="Style10"/>
        <w:keepNext w:val="0"/>
        <w:keepLines w:val="0"/>
        <w:widowControl w:val="0"/>
        <w:shd w:val="clear" w:color="auto" w:fill="auto"/>
        <w:bidi w:val="0"/>
        <w:spacing w:before="0" w:after="0" w:line="473" w:lineRule="exact"/>
        <w:ind w:left="0" w:right="0" w:firstLine="440"/>
        <w:jc w:val="left"/>
      </w:pPr>
      <w:r>
        <w:rPr>
          <w:color w:val="000000"/>
          <w:spacing w:val="0"/>
          <w:w w:val="100"/>
          <w:position w:val="0"/>
        </w:rPr>
        <w:t>1</w:t>
      </w:r>
      <w:r>
        <w:rPr>
          <w:color w:val="000000"/>
          <w:spacing w:val="0"/>
          <w:w w:val="100"/>
          <w:position w:val="0"/>
        </w:rPr>
        <w:t>、重大资产重组</w:t>
      </w:r>
    </w:p>
    <w:p>
      <w:pPr>
        <w:pStyle w:val="Style10"/>
        <w:keepNext w:val="0"/>
        <w:keepLines w:val="0"/>
        <w:widowControl w:val="0"/>
        <w:shd w:val="clear" w:color="auto" w:fill="auto"/>
        <w:bidi w:val="0"/>
        <w:spacing w:before="0" w:after="0" w:line="473" w:lineRule="exact"/>
        <w:ind w:left="0" w:right="0" w:firstLine="440"/>
        <w:jc w:val="left"/>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14</w:t>
      </w:r>
      <w:r>
        <w:rPr>
          <w:color w:val="000000"/>
          <w:spacing w:val="0"/>
          <w:w w:val="100"/>
          <w:position w:val="0"/>
        </w:rPr>
        <w:t>日，鸿博股份召开第五届董事会第三十二次会议，审议通过了广州科语</w:t>
      </w:r>
      <w:r>
        <w:rPr>
          <w:color w:val="000000"/>
          <w:spacing w:val="0"/>
          <w:w w:val="100"/>
          <w:position w:val="0"/>
        </w:rPr>
        <w:t>5%</w:t>
      </w:r>
      <w:r>
        <w:rPr>
          <w:color w:val="000000"/>
          <w:spacing w:val="0"/>
          <w:w w:val="100"/>
          <w:position w:val="0"/>
        </w:rPr>
        <w:t>股权的回购 事项，回购价格为鸿博股份所持股权对应的投资款</w:t>
      </w:r>
      <w:r>
        <w:rPr>
          <w:color w:val="000000"/>
          <w:spacing w:val="0"/>
          <w:w w:val="100"/>
          <w:position w:val="0"/>
        </w:rPr>
        <w:t>4,000</w:t>
      </w:r>
      <w:r>
        <w:rPr>
          <w:color w:val="000000"/>
          <w:spacing w:val="0"/>
          <w:w w:val="100"/>
          <w:position w:val="0"/>
        </w:rPr>
        <w:t>万元，加上前述投资款按年化</w:t>
      </w:r>
      <w:r>
        <w:rPr>
          <w:color w:val="000000"/>
          <w:spacing w:val="0"/>
          <w:w w:val="100"/>
          <w:position w:val="0"/>
        </w:rPr>
        <w:t xml:space="preserve">8% </w:t>
      </w:r>
      <w:r>
        <w:rPr>
          <w:color w:val="000000"/>
          <w:spacing w:val="0"/>
          <w:w w:val="100"/>
          <w:position w:val="0"/>
        </w:rPr>
        <w:t>（单利）计算的 利息。</w:t>
      </w:r>
    </w:p>
    <w:p>
      <w:pPr>
        <w:pStyle w:val="Style10"/>
        <w:keepNext w:val="0"/>
        <w:keepLines w:val="0"/>
        <w:widowControl w:val="0"/>
        <w:shd w:val="clear" w:color="auto" w:fill="auto"/>
        <w:bidi w:val="0"/>
        <w:spacing w:before="0" w:after="440" w:line="474" w:lineRule="exact"/>
        <w:ind w:left="0" w:right="0" w:firstLine="440"/>
        <w:jc w:val="left"/>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14</w:t>
      </w:r>
      <w:r>
        <w:rPr>
          <w:color w:val="000000"/>
          <w:spacing w:val="0"/>
          <w:w w:val="100"/>
          <w:position w:val="0"/>
        </w:rPr>
        <w:t>日，鸿博股份召开第五届董事会第三十二次会议，鸿博股份拟以支付现金的方式收购 宝乐股份所持广州科语</w:t>
      </w:r>
      <w:r>
        <w:rPr>
          <w:color w:val="000000"/>
          <w:spacing w:val="0"/>
          <w:w w:val="100"/>
          <w:position w:val="0"/>
        </w:rPr>
        <w:t>51.00%</w:t>
      </w:r>
      <w:r>
        <w:rPr>
          <w:color w:val="000000"/>
          <w:spacing w:val="0"/>
          <w:w w:val="100"/>
          <w:position w:val="0"/>
        </w:rPr>
        <w:t>股权，本次交易完成后，广州科语将成为鸿博股份的控股子公司。由于交易 拟收购资产的营业收入占上市公司营业收入的比例超过</w:t>
      </w:r>
      <w:r>
        <w:rPr>
          <w:color w:val="000000"/>
          <w:spacing w:val="0"/>
          <w:w w:val="100"/>
          <w:position w:val="0"/>
        </w:rPr>
        <w:t>50.00%，</w:t>
      </w:r>
      <w:r>
        <w:rPr>
          <w:color w:val="000000"/>
          <w:spacing w:val="0"/>
          <w:w w:val="100"/>
          <w:position w:val="0"/>
        </w:rPr>
        <w:t>根据《上市公司重大资产重组管理办法》 的规定，本次交易构成重大资产重组。</w:t>
      </w:r>
    </w:p>
    <w:p>
      <w:pPr>
        <w:pStyle w:val="Style21"/>
        <w:keepNext/>
        <w:keepLines/>
        <w:widowControl w:val="0"/>
        <w:shd w:val="clear" w:color="auto" w:fill="auto"/>
        <w:bidi w:val="0"/>
        <w:spacing w:before="0" w:after="120" w:line="240" w:lineRule="auto"/>
        <w:ind w:left="0" w:right="0" w:firstLine="0"/>
        <w:jc w:val="left"/>
      </w:pPr>
      <w:bookmarkStart w:id="2181" w:name="bookmark2181"/>
      <w:bookmarkStart w:id="2182" w:name="bookmark2182"/>
      <w:bookmarkStart w:id="2183" w:name="bookmark2183"/>
      <w:r>
        <w:rPr>
          <w:color w:val="000000"/>
          <w:spacing w:val="0"/>
          <w:w w:val="100"/>
          <w:position w:val="0"/>
        </w:rPr>
        <w:t>十六、其他重要事项</w:t>
      </w:r>
      <w:bookmarkEnd w:id="2181"/>
      <w:bookmarkEnd w:id="2182"/>
      <w:bookmarkEnd w:id="2183"/>
    </w:p>
    <w:p>
      <w:pPr>
        <w:pStyle w:val="Style29"/>
        <w:keepNext/>
        <w:keepLines/>
        <w:widowControl w:val="0"/>
        <w:shd w:val="clear" w:color="auto" w:fill="auto"/>
        <w:bidi w:val="0"/>
        <w:spacing w:before="0" w:after="120" w:line="473" w:lineRule="exact"/>
        <w:ind w:left="0" w:right="0" w:firstLine="0"/>
        <w:jc w:val="left"/>
      </w:pPr>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84"/>
      <w:bookmarkEnd w:id="2185"/>
      <w:bookmarkEnd w:id="2186"/>
    </w:p>
    <w:p>
      <w:pPr>
        <w:pStyle w:val="Style34"/>
        <w:keepNext/>
        <w:keepLines/>
        <w:widowControl w:val="0"/>
        <w:shd w:val="clear" w:color="auto" w:fill="auto"/>
        <w:bidi w:val="0"/>
        <w:spacing w:before="0" w:line="473" w:lineRule="exact"/>
        <w:ind w:left="0" w:right="0" w:firstLine="0"/>
        <w:jc w:val="left"/>
      </w:pPr>
      <w:bookmarkStart w:id="2187" w:name="bookmark2187"/>
      <w:bookmarkStart w:id="2188" w:name="bookmark2188"/>
      <w:bookmarkStart w:id="2189" w:name="bookmark21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87"/>
      <w:bookmarkEnd w:id="2188"/>
      <w:bookmarkEnd w:id="2189"/>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累积影响数</w:t>
            </w:r>
          </w:p>
        </w:tc>
      </w:tr>
    </w:tbl>
    <w:p>
      <w:pPr>
        <w:pStyle w:val="Style34"/>
        <w:keepNext/>
        <w:keepLines/>
        <w:widowControl w:val="0"/>
        <w:shd w:val="clear" w:color="auto" w:fill="auto"/>
        <w:bidi w:val="0"/>
        <w:spacing w:before="0" w:after="360" w:line="240" w:lineRule="auto"/>
        <w:ind w:left="0" w:right="0" w:firstLine="0"/>
        <w:jc w:val="left"/>
      </w:pPr>
      <w:bookmarkStart w:id="2190" w:name="bookmark2190"/>
      <w:bookmarkStart w:id="2191" w:name="bookmark2191"/>
      <w:bookmarkStart w:id="2192" w:name="bookmark21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90"/>
      <w:bookmarkEnd w:id="2191"/>
      <w:bookmarkEnd w:id="2192"/>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采用未来适用法的原因</w:t>
            </w:r>
          </w:p>
        </w:tc>
      </w:tr>
    </w:tbl>
    <w:p>
      <w:pPr>
        <w:widowControl w:val="0"/>
        <w:spacing w:after="359" w:line="1" w:lineRule="exact"/>
      </w:pPr>
    </w:p>
    <w:p>
      <w:pPr>
        <w:pStyle w:val="Style29"/>
        <w:keepNext/>
        <w:keepLines/>
        <w:widowControl w:val="0"/>
        <w:shd w:val="clear" w:color="auto" w:fill="auto"/>
        <w:tabs>
          <w:tab w:pos="368" w:val="left"/>
        </w:tabs>
        <w:bidi w:val="0"/>
        <w:spacing w:before="0" w:line="240" w:lineRule="auto"/>
        <w:ind w:left="0" w:right="0" w:firstLine="0"/>
        <w:jc w:val="left"/>
      </w:pPr>
      <w:bookmarkStart w:id="2193" w:name="bookmark2193"/>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2</w:t>
      </w:r>
      <w:bookmarkEnd w:id="2195"/>
      <w:r>
        <w:rPr>
          <w:color w:val="000000"/>
          <w:spacing w:val="0"/>
          <w:w w:val="100"/>
          <w:position w:val="0"/>
        </w:rPr>
        <w:t>、</w:t>
        <w:tab/>
        <w:t>债务重组</w:t>
      </w:r>
      <w:bookmarkEnd w:id="2193"/>
      <w:bookmarkEnd w:id="2194"/>
      <w:bookmarkEnd w:id="2196"/>
    </w:p>
    <w:p>
      <w:pPr>
        <w:pStyle w:val="Style29"/>
        <w:keepNext/>
        <w:keepLines/>
        <w:widowControl w:val="0"/>
        <w:shd w:val="clear" w:color="auto" w:fill="auto"/>
        <w:tabs>
          <w:tab w:pos="368" w:val="left"/>
        </w:tabs>
        <w:bidi w:val="0"/>
        <w:spacing w:before="0" w:line="240" w:lineRule="auto"/>
        <w:ind w:left="0" w:right="0" w:firstLine="0"/>
        <w:jc w:val="left"/>
      </w:pPr>
      <w:bookmarkStart w:id="2197" w:name="bookmark2197"/>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3</w:t>
      </w:r>
      <w:bookmarkEnd w:id="2199"/>
      <w:r>
        <w:rPr>
          <w:color w:val="000000"/>
          <w:spacing w:val="0"/>
          <w:w w:val="100"/>
          <w:position w:val="0"/>
        </w:rPr>
        <w:t>、</w:t>
        <w:tab/>
        <w:t>资产置换</w:t>
      </w:r>
      <w:bookmarkEnd w:id="2197"/>
      <w:bookmarkEnd w:id="2198"/>
      <w:bookmarkEnd w:id="2200"/>
    </w:p>
    <w:p>
      <w:pPr>
        <w:pStyle w:val="Style34"/>
        <w:keepNext/>
        <w:keepLines/>
        <w:widowControl w:val="0"/>
        <w:shd w:val="clear" w:color="auto" w:fill="auto"/>
        <w:tabs>
          <w:tab w:pos="478" w:val="left"/>
        </w:tabs>
        <w:bidi w:val="0"/>
        <w:spacing w:before="0" w:after="360" w:line="240" w:lineRule="auto"/>
        <w:ind w:left="0" w:right="0" w:firstLine="0"/>
        <w:jc w:val="left"/>
      </w:pPr>
      <w:bookmarkStart w:id="2201" w:name="bookmark2201"/>
      <w:bookmarkStart w:id="2202" w:name="bookmark2202"/>
      <w:bookmarkStart w:id="2203" w:name="bookmark2203"/>
      <w:bookmarkStart w:id="2204" w:name="bookmark2204"/>
      <w:r>
        <w:rPr>
          <w:color w:val="000000"/>
          <w:spacing w:val="0"/>
          <w:w w:val="100"/>
          <w:position w:val="0"/>
        </w:rPr>
        <w:t>（</w:t>
      </w:r>
      <w:bookmarkEnd w:id="2203"/>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01"/>
      <w:bookmarkEnd w:id="2202"/>
      <w:bookmarkEnd w:id="2204"/>
    </w:p>
    <w:p>
      <w:pPr>
        <w:pStyle w:val="Style34"/>
        <w:keepNext/>
        <w:keepLines/>
        <w:widowControl w:val="0"/>
        <w:shd w:val="clear" w:color="auto" w:fill="auto"/>
        <w:tabs>
          <w:tab w:pos="478" w:val="left"/>
        </w:tabs>
        <w:bidi w:val="0"/>
        <w:spacing w:before="0" w:after="360" w:line="240" w:lineRule="auto"/>
        <w:ind w:left="0" w:right="0" w:firstLine="0"/>
        <w:jc w:val="left"/>
      </w:pPr>
      <w:bookmarkStart w:id="2205" w:name="bookmark2205"/>
      <w:bookmarkStart w:id="2206" w:name="bookmark2206"/>
      <w:bookmarkStart w:id="2207" w:name="bookmark2207"/>
      <w:bookmarkStart w:id="2208" w:name="bookmark2208"/>
      <w:r>
        <w:rPr>
          <w:color w:val="000000"/>
          <w:spacing w:val="0"/>
          <w:w w:val="100"/>
          <w:position w:val="0"/>
        </w:rPr>
        <w:t>（</w:t>
      </w:r>
      <w:bookmarkEnd w:id="2207"/>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05"/>
      <w:bookmarkEnd w:id="2206"/>
      <w:bookmarkEnd w:id="2208"/>
    </w:p>
    <w:p>
      <w:pPr>
        <w:pStyle w:val="Style29"/>
        <w:keepNext/>
        <w:keepLines/>
        <w:widowControl w:val="0"/>
        <w:shd w:val="clear" w:color="auto" w:fill="auto"/>
        <w:tabs>
          <w:tab w:pos="368" w:val="left"/>
        </w:tabs>
        <w:bidi w:val="0"/>
        <w:spacing w:before="0" w:line="240" w:lineRule="auto"/>
        <w:ind w:left="0" w:right="0" w:firstLine="0"/>
        <w:jc w:val="left"/>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4</w:t>
      </w:r>
      <w:bookmarkEnd w:id="2211"/>
      <w:r>
        <w:rPr>
          <w:color w:val="000000"/>
          <w:spacing w:val="0"/>
          <w:w w:val="100"/>
          <w:position w:val="0"/>
        </w:rPr>
        <w:t>、</w:t>
        <w:tab/>
        <w:t>年金计划</w:t>
      </w:r>
      <w:bookmarkEnd w:id="2209"/>
      <w:bookmarkEnd w:id="2210"/>
      <w:bookmarkEnd w:id="2212"/>
    </w:p>
    <w:p>
      <w:pPr>
        <w:pStyle w:val="Style29"/>
        <w:keepNext/>
        <w:keepLines/>
        <w:widowControl w:val="0"/>
        <w:shd w:val="clear" w:color="auto" w:fill="auto"/>
        <w:tabs>
          <w:tab w:pos="368" w:val="left"/>
        </w:tabs>
        <w:bidi w:val="0"/>
        <w:spacing w:before="0" w:line="240" w:lineRule="auto"/>
        <w:ind w:left="0" w:right="0" w:firstLine="0"/>
        <w:jc w:val="left"/>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5</w:t>
      </w:r>
      <w:bookmarkEnd w:id="2215"/>
      <w:r>
        <w:rPr>
          <w:color w:val="000000"/>
          <w:spacing w:val="0"/>
          <w:w w:val="100"/>
          <w:position w:val="0"/>
        </w:rPr>
        <w:t>、</w:t>
        <w:tab/>
        <w:t>终止经营</w:t>
      </w:r>
      <w:bookmarkEnd w:id="2213"/>
      <w:bookmarkEnd w:id="2214"/>
      <w:bookmarkEnd w:id="2216"/>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 有者的终止经营 利润</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217" w:name="bookmark2217"/>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6</w:t>
      </w:r>
      <w:bookmarkEnd w:id="2219"/>
      <w:r>
        <w:rPr>
          <w:color w:val="000000"/>
          <w:spacing w:val="0"/>
          <w:w w:val="100"/>
          <w:position w:val="0"/>
        </w:rPr>
        <w:t>、分部信息</w:t>
      </w:r>
      <w:bookmarkEnd w:id="2217"/>
      <w:bookmarkEnd w:id="2218"/>
      <w:bookmarkEnd w:id="2220"/>
    </w:p>
    <w:p>
      <w:pPr>
        <w:pStyle w:val="Style34"/>
        <w:keepNext/>
        <w:keepLines/>
        <w:widowControl w:val="0"/>
        <w:shd w:val="clear" w:color="auto" w:fill="auto"/>
        <w:tabs>
          <w:tab w:pos="478" w:val="left"/>
        </w:tabs>
        <w:bidi w:val="0"/>
        <w:spacing w:before="0" w:after="360" w:line="240" w:lineRule="auto"/>
        <w:ind w:left="0" w:right="0" w:firstLine="0"/>
        <w:jc w:val="left"/>
      </w:pPr>
      <w:bookmarkStart w:id="2221" w:name="bookmark2221"/>
      <w:bookmarkStart w:id="2222" w:name="bookmark2222"/>
      <w:bookmarkStart w:id="2223" w:name="bookmark2223"/>
      <w:bookmarkStart w:id="2224" w:name="bookmark2224"/>
      <w:r>
        <w:rPr>
          <w:color w:val="000000"/>
          <w:spacing w:val="0"/>
          <w:w w:val="100"/>
          <w:position w:val="0"/>
        </w:rPr>
        <w:t>（</w:t>
      </w:r>
      <w:bookmarkEnd w:id="222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21"/>
      <w:bookmarkEnd w:id="2222"/>
      <w:bookmarkEnd w:id="2224"/>
    </w:p>
    <w:p>
      <w:pPr>
        <w:pStyle w:val="Style34"/>
        <w:keepNext/>
        <w:keepLines/>
        <w:widowControl w:val="0"/>
        <w:shd w:val="clear" w:color="auto" w:fill="auto"/>
        <w:tabs>
          <w:tab w:pos="478" w:val="left"/>
        </w:tabs>
        <w:bidi w:val="0"/>
        <w:spacing w:before="0" w:after="360" w:line="240" w:lineRule="auto"/>
        <w:ind w:left="0" w:right="0" w:firstLine="0"/>
        <w:jc w:val="left"/>
      </w:pPr>
      <w:bookmarkStart w:id="2225" w:name="bookmark2225"/>
      <w:bookmarkStart w:id="2226" w:name="bookmark2226"/>
      <w:bookmarkStart w:id="2227" w:name="bookmark2227"/>
      <w:bookmarkStart w:id="2228" w:name="bookmark2228"/>
      <w:r>
        <w:rPr>
          <w:color w:val="000000"/>
          <w:spacing w:val="0"/>
          <w:w w:val="100"/>
          <w:position w:val="0"/>
        </w:rPr>
        <w:t>（</w:t>
      </w:r>
      <w:bookmarkEnd w:id="222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25"/>
      <w:bookmarkEnd w:id="2226"/>
      <w:bookmarkEnd w:id="2228"/>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249" w:right="1065" w:bottom="1441" w:left="1043" w:header="0" w:footer="3" w:gutter="0"/>
          <w:cols w:space="720"/>
          <w:noEndnote/>
          <w:rtlGutter w:val="0"/>
          <w:docGrid w:linePitch="360"/>
        </w:sectPr>
      </w:pPr>
    </w:p>
    <w:p>
      <w:pPr>
        <w:pStyle w:val="Style34"/>
        <w:keepNext/>
        <w:keepLines/>
        <w:widowControl w:val="0"/>
        <w:numPr>
          <w:ilvl w:val="0"/>
          <w:numId w:val="131"/>
        </w:numPr>
        <w:shd w:val="clear" w:color="auto" w:fill="auto"/>
        <w:tabs>
          <w:tab w:pos="478" w:val="left"/>
        </w:tabs>
        <w:bidi w:val="0"/>
        <w:spacing w:before="80" w:after="360" w:line="240" w:lineRule="auto"/>
        <w:ind w:left="0" w:right="0" w:firstLine="0"/>
        <w:jc w:val="left"/>
      </w:pPr>
      <w:bookmarkStart w:id="2229" w:name="bookmark2229"/>
      <w:bookmarkStart w:id="2230" w:name="bookmark2230"/>
      <w:bookmarkStart w:id="2231" w:name="bookmark2231"/>
      <w:bookmarkStart w:id="2232" w:name="bookmark2232"/>
      <w:bookmarkEnd w:id="2231"/>
      <w:r>
        <w:rPr>
          <w:color w:val="000000"/>
          <w:spacing w:val="0"/>
          <w:w w:val="100"/>
          <w:position w:val="0"/>
        </w:rPr>
        <w:t>公司无报告分部的，或者不能披露各报告分部的资产总额和负债总额的，应说明原因</w:t>
      </w:r>
      <w:bookmarkEnd w:id="2229"/>
      <w:bookmarkEnd w:id="2230"/>
      <w:bookmarkEnd w:id="2232"/>
    </w:p>
    <w:p>
      <w:pPr>
        <w:pStyle w:val="Style34"/>
        <w:keepNext/>
        <w:keepLines/>
        <w:widowControl w:val="0"/>
        <w:numPr>
          <w:ilvl w:val="0"/>
          <w:numId w:val="131"/>
        </w:numPr>
        <w:shd w:val="clear" w:color="auto" w:fill="auto"/>
        <w:tabs>
          <w:tab w:pos="478" w:val="left"/>
        </w:tabs>
        <w:bidi w:val="0"/>
        <w:spacing w:before="0" w:after="360" w:line="240" w:lineRule="auto"/>
        <w:ind w:left="0" w:right="0" w:firstLine="0"/>
        <w:jc w:val="left"/>
      </w:pPr>
      <w:bookmarkStart w:id="2229" w:name="bookmark2229"/>
      <w:bookmarkStart w:id="2230" w:name="bookmark2230"/>
      <w:bookmarkStart w:id="2233" w:name="bookmark2233"/>
      <w:bookmarkStart w:id="2234" w:name="bookmark2234"/>
      <w:bookmarkEnd w:id="2233"/>
      <w:r>
        <w:rPr>
          <w:color w:val="000000"/>
          <w:spacing w:val="0"/>
          <w:w w:val="100"/>
          <w:position w:val="0"/>
        </w:rPr>
        <w:t>其他说明</w:t>
      </w:r>
      <w:bookmarkEnd w:id="2229"/>
      <w:bookmarkEnd w:id="2230"/>
      <w:bookmarkEnd w:id="2234"/>
    </w:p>
    <w:p>
      <w:pPr>
        <w:pStyle w:val="Style29"/>
        <w:keepNext/>
        <w:keepLines/>
        <w:widowControl w:val="0"/>
        <w:shd w:val="clear" w:color="auto" w:fill="auto"/>
        <w:tabs>
          <w:tab w:pos="363" w:val="left"/>
        </w:tabs>
        <w:bidi w:val="0"/>
        <w:spacing w:before="0" w:line="240" w:lineRule="auto"/>
        <w:ind w:left="0" w:right="0" w:firstLine="0"/>
        <w:jc w:val="left"/>
      </w:pPr>
      <w:bookmarkStart w:id="2235" w:name="bookmark2235"/>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7</w:t>
      </w:r>
      <w:bookmarkEnd w:id="2237"/>
      <w:r>
        <w:rPr>
          <w:color w:val="000000"/>
          <w:spacing w:val="0"/>
          <w:w w:val="100"/>
          <w:position w:val="0"/>
        </w:rPr>
        <w:t>、</w:t>
        <w:tab/>
        <w:t>其他对投资者决策有影响的重要交易和事项</w:t>
      </w:r>
      <w:bookmarkEnd w:id="2235"/>
      <w:bookmarkEnd w:id="2236"/>
      <w:bookmarkEnd w:id="2238"/>
    </w:p>
    <w:p>
      <w:pPr>
        <w:pStyle w:val="Style29"/>
        <w:keepNext/>
        <w:keepLines/>
        <w:widowControl w:val="0"/>
        <w:shd w:val="clear" w:color="auto" w:fill="auto"/>
        <w:tabs>
          <w:tab w:pos="368" w:val="left"/>
        </w:tabs>
        <w:bidi w:val="0"/>
        <w:spacing w:before="0" w:line="240" w:lineRule="auto"/>
        <w:ind w:left="0" w:right="0" w:firstLine="0"/>
        <w:jc w:val="left"/>
      </w:pPr>
      <w:bookmarkStart w:id="2239" w:name="bookmark2239"/>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8</w:t>
      </w:r>
      <w:bookmarkEnd w:id="2241"/>
      <w:r>
        <w:rPr>
          <w:color w:val="000000"/>
          <w:spacing w:val="0"/>
          <w:w w:val="100"/>
          <w:position w:val="0"/>
        </w:rPr>
        <w:t>、</w:t>
        <w:tab/>
        <w:t>其他</w:t>
      </w:r>
      <w:bookmarkEnd w:id="2239"/>
      <w:bookmarkEnd w:id="2240"/>
      <w:bookmarkEnd w:id="2242"/>
    </w:p>
    <w:p>
      <w:pPr>
        <w:pStyle w:val="Style21"/>
        <w:keepNext/>
        <w:keepLines/>
        <w:widowControl w:val="0"/>
        <w:shd w:val="clear" w:color="auto" w:fill="auto"/>
        <w:bidi w:val="0"/>
        <w:spacing w:before="0" w:after="360" w:line="240" w:lineRule="auto"/>
        <w:ind w:left="0" w:right="0" w:firstLine="0"/>
        <w:jc w:val="left"/>
      </w:pPr>
      <w:bookmarkStart w:id="2243" w:name="bookmark2243"/>
      <w:bookmarkStart w:id="2244" w:name="bookmark2244"/>
      <w:bookmarkStart w:id="2245" w:name="bookmark2245"/>
      <w:r>
        <w:rPr>
          <w:color w:val="000000"/>
          <w:spacing w:val="0"/>
          <w:w w:val="100"/>
          <w:position w:val="0"/>
        </w:rPr>
        <w:t>十七、母公司财务报表主要项目注释</w:t>
      </w:r>
      <w:bookmarkEnd w:id="2243"/>
      <w:bookmarkEnd w:id="2244"/>
      <w:bookmarkEnd w:id="2245"/>
    </w:p>
    <w:p>
      <w:pPr>
        <w:pStyle w:val="Style29"/>
        <w:keepNext/>
        <w:keepLines/>
        <w:widowControl w:val="0"/>
        <w:shd w:val="clear" w:color="auto" w:fill="auto"/>
        <w:bidi w:val="0"/>
        <w:spacing w:before="0" w:line="240" w:lineRule="auto"/>
        <w:ind w:left="0" w:right="0" w:firstLine="0"/>
        <w:jc w:val="left"/>
      </w:pPr>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46"/>
      <w:bookmarkEnd w:id="2247"/>
      <w:bookmarkEnd w:id="2248"/>
    </w:p>
    <w:p>
      <w:pPr>
        <w:pStyle w:val="Style34"/>
        <w:keepNext/>
        <w:keepLines/>
        <w:widowControl w:val="0"/>
        <w:shd w:val="clear" w:color="auto" w:fill="auto"/>
        <w:bidi w:val="0"/>
        <w:spacing w:before="0" w:after="360" w:line="240" w:lineRule="auto"/>
        <w:ind w:left="0" w:right="0" w:firstLine="0"/>
        <w:jc w:val="left"/>
      </w:pPr>
      <w:bookmarkStart w:id="2249" w:name="bookmark2249"/>
      <w:bookmarkStart w:id="2250" w:name="bookmark2250"/>
      <w:bookmarkStart w:id="2251" w:name="bookmark22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49"/>
      <w:bookmarkEnd w:id="2250"/>
      <w:bookmarkEnd w:id="2251"/>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1,016,29</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1,016,29</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424,500.0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424,500.0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23,031,8</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1,662,37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21,369,50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36,750,17</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1,604,995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35,145,180.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23,031,8</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1,662,37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21,369,50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14,874,20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1,604,995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13,269,210.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并表范围内关联方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21,875,96</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21,875,969.</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24,048,1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2,678,66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21,369,50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37,174,67</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2,029,495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35,145,180.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bl>
    <w:p>
      <w:pPr>
        <w:pStyle w:val="Style26"/>
        <w:keepNext w:val="0"/>
        <w:keepLines w:val="0"/>
        <w:widowControl w:val="0"/>
        <w:shd w:val="clear" w:color="auto" w:fill="auto"/>
        <w:bidi w:val="0"/>
        <w:spacing w:before="0" w:after="80" w:line="346" w:lineRule="exact"/>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 xml:space="preserve">1,016,291.33 </w:t>
      </w: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深圳航信德诚科技有限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中国电信股份有限公司 福州分公司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59,358.62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59,358.62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47,678.61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47,678.61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中国电信股份有限公司 泉州分公司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84,761.44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84,761.44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中国电信股份有限公司 厦门分公司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中国电信股份有限公司 漳州分公司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121,820.22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121,820.22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福建省百利亨文化产业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福建新华都购物广场股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上海爱熹熹防伪科技有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134,776.00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134,776.00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1,016,291.33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1,016,291.33</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按单项计提坏账准备:</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计提理由</w:t>
            </w:r>
          </w:p>
        </w:tc>
      </w:tr>
    </w:tbl>
    <w:p>
      <w:pPr>
        <w:widowControl w:val="0"/>
        <w:spacing w:after="79" w:line="1" w:lineRule="exact"/>
      </w:pPr>
    </w:p>
    <w:p>
      <w:pPr>
        <w:pStyle w:val="Style45"/>
        <w:keepNext w:val="0"/>
        <w:keepLines w:val="0"/>
        <w:widowControl w:val="0"/>
        <w:shd w:val="clear" w:color="auto" w:fill="auto"/>
        <w:bidi w:val="0"/>
        <w:spacing w:before="0" w:after="140" w:line="240" w:lineRule="auto"/>
        <w:ind w:left="0" w:right="0" w:firstLine="0"/>
        <w:jc w:val="both"/>
      </w:pPr>
      <w:r>
        <w:rPr>
          <w:rFonts w:ascii="SimSun" w:eastAsia="SimSun" w:hAnsi="SimSun" w:cs="SimSun"/>
          <w:color w:val="000000"/>
          <w:spacing w:val="0"/>
          <w:w w:val="100"/>
          <w:position w:val="0"/>
          <w:sz w:val="17"/>
          <w:szCs w:val="17"/>
        </w:rPr>
        <w:t>按组合计提坏账准备：</w:t>
      </w:r>
      <w:r>
        <w:rPr>
          <w:color w:val="000000"/>
          <w:spacing w:val="0"/>
          <w:w w:val="100"/>
          <w:position w:val="0"/>
        </w:rPr>
        <w:t>1,662,372.68</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21,455,337.05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643,660.11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238,791.16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47,758.23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287,211.00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114,884.40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372,703.02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260,892.11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413,306.40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330,645.12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264,532.71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264,532.71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23,031,881.34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1,662,372.68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信用组合</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按组合计提坏账准备：</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确定该组合依据的说明：</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r>
        <w:br w:type="page"/>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21,455,337.05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238,791.16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711,711.00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1,642,333.46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372,703.02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873,525.16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396,105.28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24,048,172.67</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252" w:name="bookmark2252"/>
      <w:bookmarkStart w:id="2253" w:name="bookmark2253"/>
      <w:bookmarkStart w:id="2254" w:name="bookmark22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52"/>
      <w:bookmarkEnd w:id="2253"/>
      <w:bookmarkEnd w:id="225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591,791.33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1,016,291.33</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1,604,995.90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57,376.78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1,662,372.68</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2,029,495.90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649,168.11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2,678,664.01</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收回方式</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255" w:name="bookmark2255"/>
      <w:bookmarkStart w:id="2256" w:name="bookmark2256"/>
      <w:bookmarkStart w:id="2257" w:name="bookmark2257"/>
      <w:bookmarkStart w:id="2258" w:name="bookmark2258"/>
      <w:r>
        <w:rPr>
          <w:color w:val="000000"/>
          <w:spacing w:val="0"/>
          <w:w w:val="100"/>
          <w:position w:val="0"/>
        </w:rPr>
        <w:t>（</w:t>
      </w:r>
      <w:bookmarkEnd w:id="225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55"/>
      <w:bookmarkEnd w:id="2256"/>
      <w:bookmarkEnd w:id="2258"/>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97"/>
        <w:gridCol w:w="1354"/>
        <w:gridCol w:w="1618"/>
        <w:gridCol w:w="1622"/>
      </w:tblGrid>
      <w:tr>
        <w:trPr>
          <w:trHeight w:val="408"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核销金额</w:t>
            </w:r>
          </w:p>
        </w:tc>
      </w:tr>
      <w:tr>
        <w:trPr>
          <w:trHeight w:val="754" w:hRule="exact"/>
        </w:trPr>
        <w:tc>
          <w:tcPr>
            <w:gridSpan w:val="7"/>
            <w:tcBorders>
              <w:top w:val="single" w:sz="4"/>
            </w:tcBorders>
            <w:shd w:val="clear" w:color="auto" w:fill="FFFFFF"/>
            <w:vAlign w:val="center"/>
          </w:tcPr>
          <w:p>
            <w:pPr>
              <w:pStyle w:val="Style1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其中重要的应收账款核销情况： 单位：元</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核销金额</w:t>
            </w:r>
          </w:p>
        </w:tc>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款项是否由关联交 易产生</w:t>
            </w:r>
          </w:p>
        </w:tc>
      </w:tr>
    </w:tbl>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line="240" w:lineRule="auto"/>
        <w:ind w:left="0" w:right="0" w:firstLine="0"/>
        <w:jc w:val="left"/>
      </w:pPr>
      <w:bookmarkStart w:id="2259" w:name="bookmark2259"/>
      <w:bookmarkStart w:id="2260" w:name="bookmark2260"/>
      <w:bookmarkStart w:id="2261" w:name="bookmark2261"/>
      <w:bookmarkStart w:id="2262" w:name="bookmark2262"/>
      <w:r>
        <w:rPr>
          <w:color w:val="000000"/>
          <w:spacing w:val="0"/>
          <w:w w:val="100"/>
          <w:position w:val="0"/>
        </w:rPr>
        <w:t>（</w:t>
      </w:r>
      <w:bookmarkEnd w:id="226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59"/>
      <w:bookmarkEnd w:id="2260"/>
      <w:bookmarkEnd w:id="2262"/>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占应收账款期末余额合计数</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6,731,739.43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201,952.18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4,405,410.00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132,162.30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2,181,036.00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65,431.08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1,942,899.66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58,286.99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1,933,600.00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58,008.00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17,194,685.09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tabs>
          <w:tab w:pos="478" w:val="left"/>
        </w:tabs>
        <w:bidi w:val="0"/>
        <w:spacing w:before="0" w:line="240" w:lineRule="auto"/>
        <w:ind w:left="0" w:right="0" w:firstLine="0"/>
        <w:jc w:val="left"/>
      </w:pPr>
      <w:bookmarkStart w:id="2263" w:name="bookmark2263"/>
      <w:bookmarkStart w:id="2264" w:name="bookmark2264"/>
      <w:bookmarkStart w:id="2265" w:name="bookmark2265"/>
      <w:bookmarkStart w:id="2266" w:name="bookmark2266"/>
      <w:r>
        <w:rPr>
          <w:color w:val="000000"/>
          <w:spacing w:val="0"/>
          <w:w w:val="100"/>
          <w:position w:val="0"/>
        </w:rPr>
        <w:t>（</w:t>
      </w:r>
      <w:bookmarkEnd w:id="2265"/>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263"/>
      <w:bookmarkEnd w:id="2264"/>
      <w:bookmarkEnd w:id="226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78" w:val="left"/>
        </w:tabs>
        <w:bidi w:val="0"/>
        <w:spacing w:before="0" w:line="240" w:lineRule="auto"/>
        <w:ind w:left="0" w:right="0" w:firstLine="0"/>
        <w:jc w:val="left"/>
      </w:pPr>
      <w:bookmarkStart w:id="2267" w:name="bookmark2267"/>
      <w:bookmarkStart w:id="2268" w:name="bookmark2268"/>
      <w:bookmarkStart w:id="2269" w:name="bookmark2269"/>
      <w:bookmarkStart w:id="2270" w:name="bookmark2270"/>
      <w:r>
        <w:rPr>
          <w:color w:val="000000"/>
          <w:spacing w:val="0"/>
          <w:w w:val="100"/>
          <w:position w:val="0"/>
        </w:rPr>
        <w:t>（</w:t>
      </w:r>
      <w:bookmarkEnd w:id="2269"/>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267"/>
      <w:bookmarkEnd w:id="2268"/>
      <w:bookmarkEnd w:id="2270"/>
    </w:p>
    <w:p>
      <w:pPr>
        <w:pStyle w:val="Style29"/>
        <w:keepNext/>
        <w:keepLines/>
        <w:widowControl w:val="0"/>
        <w:shd w:val="clear" w:color="auto" w:fill="auto"/>
        <w:bidi w:val="0"/>
        <w:spacing w:before="0" w:after="380" w:line="240" w:lineRule="auto"/>
        <w:ind w:left="0" w:right="0" w:firstLine="0"/>
        <w:jc w:val="left"/>
      </w:pPr>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71"/>
      <w:bookmarkEnd w:id="2272"/>
      <w:bookmarkEnd w:id="2273"/>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413,515,941.75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127,664,123.06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413,515,941.75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127,664,123.06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274" w:name="bookmark2274"/>
      <w:bookmarkStart w:id="2275" w:name="bookmark2275"/>
      <w:bookmarkStart w:id="2276" w:name="bookmark22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74"/>
      <w:bookmarkEnd w:id="2275"/>
      <w:bookmarkEnd w:id="2276"/>
    </w:p>
    <w:p>
      <w:pPr>
        <w:pStyle w:val="Style53"/>
        <w:keepNext/>
        <w:keepLines/>
        <w:widowControl w:val="0"/>
        <w:shd w:val="clear" w:color="auto" w:fill="auto"/>
        <w:bidi w:val="0"/>
        <w:spacing w:before="0" w:line="240" w:lineRule="auto"/>
        <w:ind w:left="0" w:right="0" w:firstLine="0"/>
        <w:jc w:val="left"/>
      </w:pPr>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277"/>
      <w:bookmarkEnd w:id="2278"/>
      <w:bookmarkEnd w:id="2279"/>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280"/>
      <w:bookmarkEnd w:id="2281"/>
      <w:bookmarkEnd w:id="2282"/>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是否发生减值及其判断 依据</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3"/>
        <w:keepNext/>
        <w:keepLines/>
        <w:widowControl w:val="0"/>
        <w:shd w:val="clear" w:color="auto" w:fill="auto"/>
        <w:bidi w:val="0"/>
        <w:spacing w:before="0" w:line="240" w:lineRule="auto"/>
        <w:ind w:left="0" w:right="0" w:firstLine="0"/>
        <w:jc w:val="left"/>
      </w:pPr>
      <w:bookmarkStart w:id="2283" w:name="bookmark2283"/>
      <w:bookmarkStart w:id="2284" w:name="bookmark2284"/>
      <w:bookmarkStart w:id="2285" w:name="bookmark2285"/>
      <w:bookmarkStart w:id="2286" w:name="bookmark2286"/>
      <w:r>
        <w:rPr>
          <w:rFonts w:ascii="Times New Roman" w:eastAsia="Times New Roman" w:hAnsi="Times New Roman" w:cs="Times New Roman"/>
          <w:color w:val="000000"/>
          <w:spacing w:val="0"/>
          <w:w w:val="100"/>
          <w:position w:val="0"/>
        </w:rPr>
        <w:t>3</w:t>
      </w:r>
      <w:bookmarkEnd w:id="2285"/>
      <w:r>
        <w:rPr>
          <w:color w:val="000000"/>
          <w:spacing w:val="0"/>
          <w:w w:val="100"/>
          <w:position w:val="0"/>
        </w:rPr>
        <w:t>）坏账准备计提情况</w:t>
      </w:r>
      <w:bookmarkEnd w:id="2283"/>
      <w:bookmarkEnd w:id="2284"/>
      <w:bookmarkEnd w:id="2286"/>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2287" w:name="bookmark2287"/>
      <w:bookmarkStart w:id="2288" w:name="bookmark2288"/>
      <w:bookmarkStart w:id="2289" w:name="bookmark22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87"/>
      <w:bookmarkEnd w:id="2288"/>
      <w:bookmarkEnd w:id="2289"/>
    </w:p>
    <w:p>
      <w:pPr>
        <w:pStyle w:val="Style53"/>
        <w:keepNext/>
        <w:keepLines/>
        <w:widowControl w:val="0"/>
        <w:shd w:val="clear" w:color="auto" w:fill="auto"/>
        <w:bidi w:val="0"/>
        <w:spacing w:before="0" w:line="240" w:lineRule="auto"/>
        <w:ind w:left="0" w:right="0" w:firstLine="0"/>
        <w:jc w:val="left"/>
      </w:pPr>
      <w:bookmarkStart w:id="2290" w:name="bookmark2290"/>
      <w:bookmarkStart w:id="2291" w:name="bookmark2291"/>
      <w:bookmarkStart w:id="2292" w:name="bookmark2292"/>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290"/>
      <w:bookmarkEnd w:id="2291"/>
      <w:bookmarkEnd w:id="2292"/>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93"/>
      <w:bookmarkEnd w:id="2294"/>
      <w:bookmarkEnd w:id="2295"/>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是否发生减值及其判断 依据</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2296" w:name="bookmark2296"/>
      <w:bookmarkStart w:id="2297" w:name="bookmark2297"/>
      <w:bookmarkStart w:id="2298" w:name="bookmark2298"/>
      <w:bookmarkStart w:id="2299" w:name="bookmark2299"/>
      <w:r>
        <w:rPr>
          <w:rFonts w:ascii="Times New Roman" w:eastAsia="Times New Roman" w:hAnsi="Times New Roman" w:cs="Times New Roman"/>
          <w:color w:val="000000"/>
          <w:spacing w:val="0"/>
          <w:w w:val="100"/>
          <w:position w:val="0"/>
        </w:rPr>
        <w:t>3</w:t>
      </w:r>
      <w:bookmarkEnd w:id="2298"/>
      <w:r>
        <w:rPr>
          <w:color w:val="000000"/>
          <w:spacing w:val="0"/>
          <w:w w:val="100"/>
          <w:position w:val="0"/>
        </w:rPr>
        <w:t>）坏账准备计提情况</w:t>
      </w:r>
      <w:bookmarkEnd w:id="2296"/>
      <w:bookmarkEnd w:id="2297"/>
      <w:bookmarkEnd w:id="2299"/>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2300" w:name="bookmark2300"/>
      <w:bookmarkStart w:id="2301" w:name="bookmark2301"/>
      <w:bookmarkStart w:id="2302" w:name="bookmark2302"/>
      <w:bookmarkStart w:id="2303" w:name="bookmark2303"/>
      <w:r>
        <w:rPr>
          <w:color w:val="000000"/>
          <w:spacing w:val="0"/>
          <w:w w:val="100"/>
          <w:position w:val="0"/>
        </w:rPr>
        <w:t>（</w:t>
      </w:r>
      <w:bookmarkEnd w:id="230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00"/>
      <w:bookmarkEnd w:id="2301"/>
      <w:bookmarkEnd w:id="2303"/>
    </w:p>
    <w:p>
      <w:pPr>
        <w:pStyle w:val="Style53"/>
        <w:keepNext/>
        <w:keepLines/>
        <w:widowControl w:val="0"/>
        <w:shd w:val="clear" w:color="auto" w:fill="auto"/>
        <w:bidi w:val="0"/>
        <w:spacing w:before="0" w:line="240" w:lineRule="auto"/>
        <w:ind w:left="0" w:right="0" w:firstLine="0"/>
        <w:jc w:val="left"/>
      </w:pPr>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04"/>
      <w:bookmarkEnd w:id="2305"/>
      <w:bookmarkEnd w:id="2306"/>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并表范围内往来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408,304,045.91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116,424,035.30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4,400,634.53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10,441,415.23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1,079,685.89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1,264,560.37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1,127,974.13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35,907.54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414,912,340.46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128,165,918.44</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2307" w:name="bookmark2307"/>
      <w:bookmarkStart w:id="2308" w:name="bookmark2308"/>
      <w:bookmarkStart w:id="2309" w:name="bookmark230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07"/>
      <w:bookmarkEnd w:id="2308"/>
      <w:bookmarkEnd w:id="2309"/>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501,795.38</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54,603.33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847,920.00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902,523.33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56,398.71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1,396,398.71</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345,143,385.23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7,866,597.91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12,492,408.81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49,409,948.51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29,989,228.09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12,754,595.92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6,666,124.50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414,912,340.46</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2310" w:name="bookmark2310"/>
      <w:bookmarkStart w:id="2311" w:name="bookmark2311"/>
      <w:bookmarkStart w:id="2312" w:name="bookmark2312"/>
      <w:bookmarkStart w:id="2313" w:name="bookmark2313"/>
      <w:r>
        <w:rPr>
          <w:rFonts w:ascii="Times New Roman" w:eastAsia="Times New Roman" w:hAnsi="Times New Roman" w:cs="Times New Roman"/>
          <w:color w:val="000000"/>
          <w:spacing w:val="0"/>
          <w:w w:val="100"/>
          <w:position w:val="0"/>
        </w:rPr>
        <w:t>3</w:t>
      </w:r>
      <w:bookmarkEnd w:id="2312"/>
      <w:r>
        <w:rPr>
          <w:color w:val="000000"/>
          <w:spacing w:val="0"/>
          <w:w w:val="100"/>
          <w:position w:val="0"/>
        </w:rPr>
        <w:t>）本期计提、收回或转回的坏账准备情况</w:t>
      </w:r>
      <w:bookmarkEnd w:id="2310"/>
      <w:bookmarkEnd w:id="2311"/>
      <w:bookmarkEnd w:id="231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1589"/>
        <w:gridCol w:w="1085"/>
        <w:gridCol w:w="523"/>
        <w:gridCol w:w="811"/>
        <w:gridCol w:w="1330"/>
        <w:gridCol w:w="1070"/>
        <w:gridCol w:w="1594"/>
        <w:gridCol w:w="158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54" w:hRule="exact"/>
        </w:trPr>
        <w:tc>
          <w:tcPr>
            <w:gridSpan w:val="8"/>
            <w:tcBorders>
              <w:top w:val="single" w:sz="4"/>
            </w:tcBorders>
            <w:shd w:val="clear" w:color="auto" w:fill="FFFFFF"/>
            <w:vAlign w:val="center"/>
          </w:tcPr>
          <w:p>
            <w:pPr>
              <w:pStyle w:val="Style1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其中本期坏账准备转回或收回金额重要的： 单位：元</w:t>
            </w:r>
          </w:p>
        </w:tc>
      </w:tr>
      <w:tr>
        <w:trPr>
          <w:trHeight w:val="413" w:hRule="exact"/>
        </w:trPr>
        <w:tc>
          <w:tcPr>
            <w:gridSpan w:val="3"/>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gridSpan w:val="3"/>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转回或收回金额</w:t>
            </w:r>
          </w:p>
        </w:tc>
        <w:tc>
          <w:tcPr>
            <w:gridSpan w:val="2"/>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收回方式</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both"/>
      </w:pPr>
      <w:bookmarkStart w:id="2314" w:name="bookmark2314"/>
      <w:bookmarkStart w:id="2315" w:name="bookmark2315"/>
      <w:bookmarkStart w:id="2316" w:name="bookmark2316"/>
      <w:bookmarkStart w:id="2317" w:name="bookmark2317"/>
      <w:r>
        <w:rPr>
          <w:rFonts w:ascii="Times New Roman" w:eastAsia="Times New Roman" w:hAnsi="Times New Roman" w:cs="Times New Roman"/>
          <w:color w:val="000000"/>
          <w:spacing w:val="0"/>
          <w:w w:val="100"/>
          <w:position w:val="0"/>
        </w:rPr>
        <w:t>4</w:t>
      </w:r>
      <w:bookmarkEnd w:id="2316"/>
      <w:r>
        <w:rPr>
          <w:color w:val="000000"/>
          <w:spacing w:val="0"/>
          <w:w w:val="100"/>
          <w:position w:val="0"/>
        </w:rPr>
        <w:t>）本期实际核销的其他应收款情况</w:t>
      </w:r>
      <w:bookmarkEnd w:id="2314"/>
      <w:bookmarkEnd w:id="2315"/>
      <w:bookmarkEnd w:id="2317"/>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7,920.00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其中重要的其他应收款核销情况:</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款项是否由关联交</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易产生</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其他应收款核销说明：</w:t>
      </w:r>
    </w:p>
    <w:p>
      <w:pPr>
        <w:pStyle w:val="Style53"/>
        <w:keepNext/>
        <w:keepLines/>
        <w:widowControl w:val="0"/>
        <w:shd w:val="clear" w:color="auto" w:fill="auto"/>
        <w:bidi w:val="0"/>
        <w:spacing w:before="0" w:line="240" w:lineRule="auto"/>
        <w:ind w:left="0" w:right="0" w:firstLine="0"/>
        <w:jc w:val="both"/>
      </w:pPr>
      <w:bookmarkStart w:id="2318" w:name="bookmark2318"/>
      <w:bookmarkStart w:id="2319" w:name="bookmark2319"/>
      <w:bookmarkStart w:id="2320" w:name="bookmark2320"/>
      <w:bookmarkStart w:id="2321" w:name="bookmark2321"/>
      <w:r>
        <w:rPr>
          <w:rFonts w:ascii="Times New Roman" w:eastAsia="Times New Roman" w:hAnsi="Times New Roman" w:cs="Times New Roman"/>
          <w:color w:val="000000"/>
          <w:spacing w:val="0"/>
          <w:w w:val="100"/>
          <w:position w:val="0"/>
        </w:rPr>
        <w:t>5</w:t>
      </w:r>
      <w:bookmarkEnd w:id="2320"/>
      <w:r>
        <w:rPr>
          <w:color w:val="000000"/>
          <w:spacing w:val="0"/>
          <w:w w:val="100"/>
          <w:position w:val="0"/>
        </w:rPr>
        <w:t>）按欠款方归集的期末余额前五名的其他应收款情况</w:t>
      </w:r>
      <w:bookmarkEnd w:id="2318"/>
      <w:bookmarkEnd w:id="2319"/>
      <w:bookmarkEnd w:id="2321"/>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并表范围内往来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335,641,868.29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并表范围内往来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45,964,676.74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至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并表范围内往来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18,164,156.38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至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并表范围内往来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7,033,344.50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至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并表范围内往来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408,304,045.91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both"/>
      </w:pPr>
      <w:bookmarkStart w:id="2322" w:name="bookmark2322"/>
      <w:bookmarkStart w:id="2323" w:name="bookmark2323"/>
      <w:bookmarkStart w:id="2324" w:name="bookmark2324"/>
      <w:bookmarkStart w:id="2325" w:name="bookmark2325"/>
      <w:r>
        <w:rPr>
          <w:rFonts w:ascii="Times New Roman" w:eastAsia="Times New Roman" w:hAnsi="Times New Roman" w:cs="Times New Roman"/>
          <w:color w:val="000000"/>
          <w:spacing w:val="0"/>
          <w:w w:val="100"/>
          <w:position w:val="0"/>
        </w:rPr>
        <w:t>6</w:t>
      </w:r>
      <w:bookmarkEnd w:id="2324"/>
      <w:r>
        <w:rPr>
          <w:color w:val="000000"/>
          <w:spacing w:val="0"/>
          <w:w w:val="100"/>
          <w:position w:val="0"/>
        </w:rPr>
        <w:t>）涉及政府补助的应收款项</w:t>
      </w:r>
      <w:bookmarkEnd w:id="2322"/>
      <w:bookmarkEnd w:id="2323"/>
      <w:bookmarkEnd w:id="2325"/>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预计收取的时间、金额 及依据</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促进残疾人就业税收优 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1,079,685.89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r>
    </w:tbl>
    <w:p>
      <w:pPr>
        <w:widowControl w:val="0"/>
        <w:spacing w:after="319" w:line="1" w:lineRule="exact"/>
      </w:pPr>
    </w:p>
    <w:p>
      <w:pPr>
        <w:pStyle w:val="Style53"/>
        <w:keepNext/>
        <w:keepLines/>
        <w:widowControl w:val="0"/>
        <w:shd w:val="clear" w:color="auto" w:fill="auto"/>
        <w:tabs>
          <w:tab w:pos="382" w:val="left"/>
        </w:tabs>
        <w:bidi w:val="0"/>
        <w:spacing w:before="0" w:line="240" w:lineRule="auto"/>
        <w:ind w:left="0" w:right="0" w:firstLine="0"/>
        <w:jc w:val="both"/>
      </w:pPr>
      <w:bookmarkStart w:id="2326" w:name="bookmark2326"/>
      <w:bookmarkStart w:id="2327" w:name="bookmark2327"/>
      <w:bookmarkStart w:id="2328" w:name="bookmark2328"/>
      <w:bookmarkStart w:id="2329" w:name="bookmark2329"/>
      <w:r>
        <w:rPr>
          <w:rFonts w:ascii="Times New Roman" w:eastAsia="Times New Roman" w:hAnsi="Times New Roman" w:cs="Times New Roman"/>
          <w:color w:val="000000"/>
          <w:spacing w:val="0"/>
          <w:w w:val="100"/>
          <w:position w:val="0"/>
        </w:rPr>
        <w:t>7</w:t>
      </w:r>
      <w:bookmarkEnd w:id="2328"/>
      <w:r>
        <w:rPr>
          <w:color w:val="000000"/>
          <w:spacing w:val="0"/>
          <w:w w:val="100"/>
          <w:position w:val="0"/>
        </w:rPr>
        <w:t>）</w:t>
        <w:tab/>
        <w:t>因金融资产转移而终止确认的其他应收款</w:t>
      </w:r>
      <w:bookmarkEnd w:id="2326"/>
      <w:bookmarkEnd w:id="2327"/>
      <w:bookmarkEnd w:id="2329"/>
    </w:p>
    <w:p>
      <w:pPr>
        <w:pStyle w:val="Style53"/>
        <w:keepNext/>
        <w:keepLines/>
        <w:widowControl w:val="0"/>
        <w:shd w:val="clear" w:color="auto" w:fill="auto"/>
        <w:tabs>
          <w:tab w:pos="387" w:val="left"/>
        </w:tabs>
        <w:bidi w:val="0"/>
        <w:spacing w:before="0" w:line="240" w:lineRule="auto"/>
        <w:ind w:left="0" w:right="0" w:firstLine="0"/>
        <w:jc w:val="both"/>
      </w:pPr>
      <w:bookmarkStart w:id="2330" w:name="bookmark2330"/>
      <w:bookmarkStart w:id="2331" w:name="bookmark2331"/>
      <w:bookmarkStart w:id="2332" w:name="bookmark2332"/>
      <w:bookmarkStart w:id="2333" w:name="bookmark2333"/>
      <w:r>
        <w:rPr>
          <w:rFonts w:ascii="Times New Roman" w:eastAsia="Times New Roman" w:hAnsi="Times New Roman" w:cs="Times New Roman"/>
          <w:color w:val="000000"/>
          <w:spacing w:val="0"/>
          <w:w w:val="100"/>
          <w:position w:val="0"/>
        </w:rPr>
        <w:t>8</w:t>
      </w:r>
      <w:bookmarkEnd w:id="2332"/>
      <w:r>
        <w:rPr>
          <w:color w:val="000000"/>
          <w:spacing w:val="0"/>
          <w:w w:val="100"/>
          <w:position w:val="0"/>
        </w:rPr>
        <w:t>）</w:t>
        <w:tab/>
        <w:t>转移其他应收款且继续涉入形成的资产、负债金额</w:t>
      </w:r>
      <w:bookmarkEnd w:id="2330"/>
      <w:bookmarkEnd w:id="2331"/>
      <w:bookmarkEnd w:id="2333"/>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2334" w:name="bookmark2334"/>
      <w:bookmarkStart w:id="2335" w:name="bookmark2335"/>
      <w:bookmarkStart w:id="2336" w:name="bookmark2336"/>
      <w:bookmarkStart w:id="2337" w:name="bookmark2337"/>
      <w:r>
        <w:rPr>
          <w:rFonts w:ascii="Times New Roman" w:eastAsia="Times New Roman" w:hAnsi="Times New Roman" w:cs="Times New Roman"/>
          <w:color w:val="000000"/>
          <w:spacing w:val="0"/>
          <w:w w:val="100"/>
          <w:position w:val="0"/>
        </w:rPr>
        <w:t>3</w:t>
      </w:r>
      <w:bookmarkEnd w:id="2336"/>
      <w:r>
        <w:rPr>
          <w:color w:val="000000"/>
          <w:spacing w:val="0"/>
          <w:w w:val="100"/>
          <w:position w:val="0"/>
        </w:rPr>
        <w:t>、长期股权投资</w:t>
      </w:r>
      <w:bookmarkEnd w:id="2334"/>
      <w:bookmarkEnd w:id="2335"/>
      <w:bookmarkEnd w:id="2337"/>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1,059,683,814.83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1,059,683,814.83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986,633,814.83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986,633,814.83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1,059,683,814.83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1,059,683,814.83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986,633,814.83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986,633,814.83</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2338" w:name="bookmark2338"/>
      <w:bookmarkStart w:id="2339" w:name="bookmark2339"/>
      <w:bookmarkStart w:id="2340" w:name="bookmark23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38"/>
      <w:bookmarkEnd w:id="2339"/>
      <w:bookmarkEnd w:id="2340"/>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重庆市鸿海印</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128,431,608.5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128,431,608.54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福州港龙贸易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鸿博（福建）数 据网络科技股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无锡双龙信息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纸有限公司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134,454,794.3</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134,454,794.35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钻研（北京）国 际文化传媒有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鸿博昊天科技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349,198,256.1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349,198,256.15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广州彩创网络</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50,108,500.00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50,108,500.00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福建鸿博致远</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信息科技有限</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北京科信盛彩</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133,081,948.2</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133,081,948.29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乐特瑞（海南）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106,458,707.5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106,458,707.50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开封鸿博股权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珠海寰博科技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成都标点体育 文化发展有限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986,633,814.8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1,059,683,814.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2341" w:name="bookmark2341"/>
      <w:bookmarkStart w:id="2342" w:name="bookmark2342"/>
      <w:bookmarkStart w:id="2343" w:name="bookmark23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41"/>
      <w:bookmarkEnd w:id="2342"/>
      <w:bookmarkEnd w:id="2343"/>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 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宣告发放</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现金股利</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2344" w:name="bookmark2344"/>
      <w:bookmarkStart w:id="2345" w:name="bookmark2345"/>
      <w:bookmarkStart w:id="2346" w:name="bookmark2346"/>
      <w:bookmarkStart w:id="2347" w:name="bookmark2347"/>
      <w:r>
        <w:rPr>
          <w:color w:val="000000"/>
          <w:spacing w:val="0"/>
          <w:w w:val="100"/>
          <w:position w:val="0"/>
        </w:rPr>
        <w:t>（</w:t>
      </w:r>
      <w:bookmarkEnd w:id="2346"/>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44"/>
      <w:bookmarkEnd w:id="2345"/>
      <w:bookmarkEnd w:id="2347"/>
    </w:p>
    <w:p>
      <w:pPr>
        <w:pStyle w:val="Style29"/>
        <w:keepNext/>
        <w:keepLines/>
        <w:widowControl w:val="0"/>
        <w:shd w:val="clear" w:color="auto" w:fill="auto"/>
        <w:bidi w:val="0"/>
        <w:spacing w:before="0" w:after="380" w:line="240" w:lineRule="auto"/>
        <w:ind w:left="0" w:right="0" w:firstLine="0"/>
        <w:jc w:val="both"/>
      </w:pPr>
      <w:bookmarkStart w:id="2348" w:name="bookmark2348"/>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4</w:t>
      </w:r>
      <w:bookmarkEnd w:id="2350"/>
      <w:r>
        <w:rPr>
          <w:color w:val="000000"/>
          <w:spacing w:val="0"/>
          <w:w w:val="100"/>
          <w:position w:val="0"/>
        </w:rPr>
        <w:t>、营业收入和营业成本</w:t>
      </w:r>
      <w:bookmarkEnd w:id="2348"/>
      <w:bookmarkEnd w:id="2349"/>
      <w:bookmarkEnd w:id="2351"/>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73,744,874.37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61,718,194.80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87,495,519.08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80,775,851.65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9,154,248.23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2,713,673.73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21,713,395.26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15,711,850.80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82,899,122.60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64,431,868.53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109,208,914.34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96,487,702.45</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收入相关信息:</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73,732,927.47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9,166,195.13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82,899,122.60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73,732,927.47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73,732,927.47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包装办公用纸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9,166,195.13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9,166,195.13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73,732,927.47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9,166,195.13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82,899,122.60</w:t>
            </w:r>
          </w:p>
        </w:tc>
      </w:tr>
    </w:tbl>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与履约义务相关的信息：</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6"/>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280" w:line="240" w:lineRule="auto"/>
        <w:ind w:left="0" w:right="0" w:firstLine="0"/>
        <w:jc w:val="both"/>
      </w:pPr>
      <w:bookmarkStart w:id="2352" w:name="bookmark2352"/>
      <w:bookmarkStart w:id="2353" w:name="bookmark2353"/>
      <w:bookmarkStart w:id="2354" w:name="bookmark2354"/>
      <w:bookmarkStart w:id="2355" w:name="bookmark2355"/>
      <w:r>
        <w:rPr>
          <w:rFonts w:ascii="Times New Roman" w:eastAsia="Times New Roman" w:hAnsi="Times New Roman" w:cs="Times New Roman"/>
          <w:color w:val="000000"/>
          <w:spacing w:val="0"/>
          <w:w w:val="100"/>
          <w:position w:val="0"/>
        </w:rPr>
        <w:t>5</w:t>
      </w:r>
      <w:bookmarkEnd w:id="2354"/>
      <w:r>
        <w:rPr>
          <w:color w:val="000000"/>
          <w:spacing w:val="0"/>
          <w:w w:val="100"/>
          <w:position w:val="0"/>
        </w:rPr>
        <w:t>、投资收益</w:t>
      </w:r>
      <w:bookmarkEnd w:id="2352"/>
      <w:bookmarkEnd w:id="2353"/>
      <w:bookmarkEnd w:id="2355"/>
    </w:p>
    <w:p>
      <w:pPr>
        <w:pStyle w:val="Style26"/>
        <w:keepNext w:val="0"/>
        <w:keepLines w:val="0"/>
        <w:widowControl w:val="0"/>
        <w:shd w:val="clear" w:color="auto" w:fill="auto"/>
        <w:bidi w:val="0"/>
        <w:spacing w:before="0" w:after="80" w:line="317" w:lineRule="exact"/>
        <w:ind w:left="0" w:right="0" w:firstLine="0"/>
        <w:jc w:val="both"/>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8,789,166.08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7,392,396.28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5,129,478.76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8,718,200.30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27,178,644.84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41,610,596.58</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2356" w:name="bookmark2356"/>
      <w:bookmarkStart w:id="2357" w:name="bookmark2357"/>
      <w:bookmarkStart w:id="2358" w:name="bookmark2358"/>
      <w:bookmarkStart w:id="2359" w:name="bookmark2359"/>
      <w:r>
        <w:rPr>
          <w:rFonts w:ascii="Times New Roman" w:eastAsia="Times New Roman" w:hAnsi="Times New Roman" w:cs="Times New Roman"/>
          <w:color w:val="000000"/>
          <w:spacing w:val="0"/>
          <w:w w:val="100"/>
          <w:position w:val="0"/>
        </w:rPr>
        <w:t>6</w:t>
      </w:r>
      <w:bookmarkEnd w:id="2358"/>
      <w:r>
        <w:rPr>
          <w:color w:val="000000"/>
          <w:spacing w:val="0"/>
          <w:w w:val="100"/>
          <w:position w:val="0"/>
        </w:rPr>
        <w:t>、其他</w:t>
      </w:r>
      <w:bookmarkEnd w:id="2356"/>
      <w:bookmarkEnd w:id="2357"/>
      <w:bookmarkEnd w:id="2359"/>
    </w:p>
    <w:p>
      <w:pPr>
        <w:pStyle w:val="Style21"/>
        <w:keepNext/>
        <w:keepLines/>
        <w:widowControl w:val="0"/>
        <w:shd w:val="clear" w:color="auto" w:fill="auto"/>
        <w:bidi w:val="0"/>
        <w:spacing w:before="0" w:after="360" w:line="240" w:lineRule="auto"/>
        <w:ind w:left="0" w:right="0" w:firstLine="0"/>
        <w:jc w:val="both"/>
      </w:pPr>
      <w:bookmarkStart w:id="2360" w:name="bookmark2360"/>
      <w:bookmarkStart w:id="2361" w:name="bookmark2361"/>
      <w:bookmarkStart w:id="2362" w:name="bookmark2362"/>
      <w:r>
        <w:rPr>
          <w:color w:val="000000"/>
          <w:spacing w:val="0"/>
          <w:w w:val="100"/>
          <w:position w:val="0"/>
        </w:rPr>
        <w:t>十八、补充资料</w:t>
      </w:r>
      <w:bookmarkEnd w:id="2360"/>
      <w:bookmarkEnd w:id="2361"/>
      <w:bookmarkEnd w:id="2362"/>
    </w:p>
    <w:p>
      <w:pPr>
        <w:pStyle w:val="Style29"/>
        <w:keepNext/>
        <w:keepLines/>
        <w:widowControl w:val="0"/>
        <w:shd w:val="clear" w:color="auto" w:fill="auto"/>
        <w:bidi w:val="0"/>
        <w:spacing w:before="0" w:line="240" w:lineRule="auto"/>
        <w:ind w:left="0" w:right="0" w:firstLine="0"/>
        <w:jc w:val="both"/>
      </w:pPr>
      <w:bookmarkStart w:id="2363" w:name="bookmark2363"/>
      <w:bookmarkStart w:id="2364" w:name="bookmark2364"/>
      <w:bookmarkStart w:id="2365" w:name="bookmark236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63"/>
      <w:bookmarkEnd w:id="2364"/>
      <w:bookmarkEnd w:id="2365"/>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1,548,610.84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4,913,224.36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6,919,689.66</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15,999,075.69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-157,867.85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-6,495,484.31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3,448,797.89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541,915.86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18,736,534.64</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其他符合非经常性损益定义的损益项目为本年智能卡生产线计提的减值准备，因该生产线已停产待处置，考虑其性质、金额 及发生频率，故将其列为非经常性损益。</w:t>
      </w:r>
    </w:p>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2366" w:name="bookmark2366"/>
      <w:bookmarkStart w:id="2367" w:name="bookmark2367"/>
      <w:bookmarkStart w:id="2368" w:name="bookmark236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66"/>
      <w:bookmarkEnd w:id="2367"/>
      <w:bookmarkEnd w:id="2368"/>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0.0185</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-0.0195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-0.0195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369" w:name="bookmark2369"/>
      <w:bookmarkStart w:id="2370" w:name="bookmark2370"/>
      <w:bookmarkStart w:id="2371" w:name="bookmark2371"/>
      <w:bookmarkStart w:id="2372" w:name="bookmark2372"/>
      <w:r>
        <w:rPr>
          <w:rFonts w:ascii="Times New Roman" w:eastAsia="Times New Roman" w:hAnsi="Times New Roman" w:cs="Times New Roman"/>
          <w:color w:val="000000"/>
          <w:spacing w:val="0"/>
          <w:w w:val="100"/>
          <w:position w:val="0"/>
        </w:rPr>
        <w:t>3</w:t>
      </w:r>
      <w:bookmarkEnd w:id="2371"/>
      <w:r>
        <w:rPr>
          <w:color w:val="000000"/>
          <w:spacing w:val="0"/>
          <w:w w:val="100"/>
          <w:position w:val="0"/>
        </w:rPr>
        <w:t>、境内外会计准则下会计数据差异</w:t>
      </w:r>
      <w:bookmarkEnd w:id="2369"/>
      <w:bookmarkEnd w:id="2370"/>
      <w:bookmarkEnd w:id="2372"/>
    </w:p>
    <w:p>
      <w:pPr>
        <w:pStyle w:val="Style34"/>
        <w:keepNext/>
        <w:keepLines/>
        <w:widowControl w:val="0"/>
        <w:shd w:val="clear" w:color="auto" w:fill="auto"/>
        <w:tabs>
          <w:tab w:pos="478" w:val="left"/>
        </w:tabs>
        <w:bidi w:val="0"/>
        <w:spacing w:before="0" w:line="240" w:lineRule="auto"/>
        <w:ind w:left="0" w:right="0" w:firstLine="0"/>
        <w:jc w:val="left"/>
      </w:pPr>
      <w:bookmarkStart w:id="2373" w:name="bookmark2373"/>
      <w:bookmarkStart w:id="2374" w:name="bookmark2374"/>
      <w:bookmarkStart w:id="2375" w:name="bookmark2375"/>
      <w:bookmarkStart w:id="2376" w:name="bookmark2376"/>
      <w:r>
        <w:rPr>
          <w:color w:val="000000"/>
          <w:spacing w:val="0"/>
          <w:w w:val="100"/>
          <w:position w:val="0"/>
        </w:rPr>
        <w:t>（</w:t>
      </w:r>
      <w:bookmarkEnd w:id="237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73"/>
      <w:bookmarkEnd w:id="2374"/>
      <w:bookmarkEnd w:id="2376"/>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8" w:val="left"/>
        </w:tabs>
        <w:bidi w:val="0"/>
        <w:spacing w:before="0" w:line="240" w:lineRule="auto"/>
        <w:ind w:left="0" w:right="0" w:firstLine="0"/>
        <w:jc w:val="left"/>
      </w:pPr>
      <w:bookmarkStart w:id="2377" w:name="bookmark2377"/>
      <w:bookmarkStart w:id="2378" w:name="bookmark2378"/>
      <w:bookmarkStart w:id="2379" w:name="bookmark2379"/>
      <w:bookmarkStart w:id="2380" w:name="bookmark2380"/>
      <w:r>
        <w:rPr>
          <w:color w:val="000000"/>
          <w:spacing w:val="0"/>
          <w:w w:val="100"/>
          <w:position w:val="0"/>
        </w:rPr>
        <w:t>（</w:t>
      </w:r>
      <w:bookmarkEnd w:id="237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77"/>
      <w:bookmarkEnd w:id="2378"/>
      <w:bookmarkEnd w:id="2380"/>
    </w:p>
    <w:p>
      <w:pPr>
        <w:pStyle w:val="Style2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4"/>
        <w:keepNext/>
        <w:keepLines/>
        <w:widowControl w:val="0"/>
        <w:shd w:val="clear" w:color="auto" w:fill="auto"/>
        <w:bidi w:val="0"/>
        <w:spacing w:before="0" w:after="280" w:line="326" w:lineRule="exact"/>
        <w:ind w:left="0" w:right="0" w:firstLine="0"/>
        <w:jc w:val="left"/>
      </w:pPr>
      <w:bookmarkStart w:id="2381" w:name="bookmark2381"/>
      <w:bookmarkStart w:id="2382" w:name="bookmark2382"/>
      <w:bookmarkStart w:id="2383" w:name="bookmark2383"/>
      <w:bookmarkStart w:id="2384" w:name="bookmark2384"/>
      <w:r>
        <w:rPr>
          <w:color w:val="000000"/>
          <w:spacing w:val="0"/>
          <w:w w:val="100"/>
          <w:position w:val="0"/>
        </w:rPr>
        <w:t>（</w:t>
      </w:r>
      <w:bookmarkEnd w:id="2383"/>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）境内外会计准则下会计数据差异原因说明，对已经境外审计机构审计的数据进行差异调节的，应注明该境 外机构的名称</w:t>
      </w:r>
      <w:bookmarkEnd w:id="2381"/>
      <w:bookmarkEnd w:id="2382"/>
      <w:bookmarkEnd w:id="2384"/>
    </w:p>
    <w:p>
      <w:pPr>
        <w:pStyle w:val="Style29"/>
        <w:keepNext/>
        <w:keepLines/>
        <w:widowControl w:val="0"/>
        <w:shd w:val="clear" w:color="auto" w:fill="auto"/>
        <w:bidi w:val="0"/>
        <w:spacing w:before="0" w:after="0" w:line="326" w:lineRule="exact"/>
        <w:ind w:left="0" w:right="0" w:firstLine="0"/>
        <w:jc w:val="left"/>
      </w:pPr>
      <w:bookmarkStart w:id="2385" w:name="bookmark2385"/>
      <w:bookmarkStart w:id="2386" w:name="bookmark2386"/>
      <w:bookmarkStart w:id="2387" w:name="bookmark2387"/>
      <w:bookmarkStart w:id="2388" w:name="bookmark2388"/>
      <w:r>
        <w:rPr>
          <w:rFonts w:ascii="Times New Roman" w:eastAsia="Times New Roman" w:hAnsi="Times New Roman" w:cs="Times New Roman"/>
          <w:color w:val="000000"/>
          <w:spacing w:val="0"/>
          <w:w w:val="100"/>
          <w:position w:val="0"/>
        </w:rPr>
        <w:t>4</w:t>
      </w:r>
      <w:bookmarkEnd w:id="2387"/>
      <w:r>
        <w:rPr>
          <w:color w:val="000000"/>
          <w:spacing w:val="0"/>
          <w:w w:val="100"/>
          <w:position w:val="0"/>
        </w:rPr>
        <w:t>、其他</w:t>
      </w:r>
      <w:bookmarkEnd w:id="2385"/>
      <w:bookmarkEnd w:id="2386"/>
      <w:bookmarkEnd w:id="2388"/>
    </w:p>
    <w:sectPr>
      <w:footnotePr>
        <w:pos w:val="pageBottom"/>
        <w:numFmt w:val="decimal"/>
        <w:numRestart w:val="continuous"/>
      </w:footnotePr>
      <w:pgSz w:w="11900" w:h="16840"/>
      <w:pgMar w:top="1393" w:right="1140" w:bottom="1460" w:left="10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213"/>
      <w:numFmt w:val="decimal"/>
      <w:lvlText w:val="50.275.%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213"/>
      <w:numFmt w:val="decimal"/>
      <w:lvlText w:val="49.975.%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6">
    <w:name w:val="Body text (5)_"/>
    <w:basedOn w:val="DefaultParagraphFont"/>
    <w:link w:val="Style5"/>
    <w:rPr>
      <w:rFonts w:ascii="Times New Roman" w:eastAsia="Times New Roman" w:hAnsi="Times New Roman" w:cs="Times New Roman"/>
      <w:b/>
      <w:bCs/>
      <w:i w:val="0"/>
      <w:iCs w:val="0"/>
      <w:smallCaps w:val="0"/>
      <w:strike w:val="0"/>
      <w:sz w:val="36"/>
      <w:szCs w:val="36"/>
      <w:u w:val="none"/>
      <w:shd w:val="clear" w:color="auto" w:fill="auto"/>
    </w:rPr>
  </w:style>
  <w:style w:type="character" w:customStyle="1" w:styleId="CharStyle9">
    <w:name w:val="Body text (3)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5">
    <w:name w:val="Table of contents_"/>
    <w:basedOn w:val="DefaultParagraphFont"/>
    <w:link w:val="Style14"/>
    <w:rPr>
      <w:rFonts w:ascii="SimSun" w:eastAsia="SimSun" w:hAnsi="SimSun" w:cs="SimSun"/>
      <w:b w:val="0"/>
      <w:bCs w:val="0"/>
      <w:i w:val="0"/>
      <w:iCs w:val="0"/>
      <w:smallCaps w:val="0"/>
      <w:strike w:val="0"/>
      <w:sz w:val="17"/>
      <w:szCs w:val="17"/>
      <w:u w:val="none"/>
      <w:shd w:val="clear" w:color="auto" w:fill="auto"/>
    </w:rPr>
  </w:style>
  <w:style w:type="character" w:customStyle="1" w:styleId="CharStyle19">
    <w:name w:val="Other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Heading #1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Body text (2)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2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5">
    <w:name w:val="Heading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6">
    <w:name w:val="Body text (8)_"/>
    <w:basedOn w:val="DefaultParagraphFont"/>
    <w:link w:val="Style4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4">
    <w:name w:val="Heading #4_"/>
    <w:basedOn w:val="DefaultParagraphFont"/>
    <w:link w:val="Style53"/>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after="2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5">
    <w:name w:val="Body text (5)"/>
    <w:basedOn w:val="Normal"/>
    <w:link w:val="CharStyle6"/>
    <w:pPr>
      <w:widowControl w:val="0"/>
      <w:shd w:val="clear" w:color="auto" w:fill="auto"/>
      <w:jc w:val="center"/>
    </w:pPr>
    <w:rPr>
      <w:rFonts w:ascii="Times New Roman" w:eastAsia="Times New Roman" w:hAnsi="Times New Roman" w:cs="Times New Roman"/>
      <w:b/>
      <w:bCs/>
      <w:i w:val="0"/>
      <w:iCs w:val="0"/>
      <w:smallCaps w:val="0"/>
      <w:strike w:val="0"/>
      <w:sz w:val="36"/>
      <w:szCs w:val="36"/>
      <w:u w:val="none"/>
      <w:shd w:val="clear" w:color="auto" w:fill="auto"/>
    </w:rPr>
  </w:style>
  <w:style w:type="paragraph" w:customStyle="1" w:styleId="Style8">
    <w:name w:val="Body text (3)"/>
    <w:basedOn w:val="Normal"/>
    <w:link w:val="CharStyle9"/>
    <w:pPr>
      <w:widowControl w:val="0"/>
      <w:shd w:val="clear" w:color="auto" w:fill="auto"/>
      <w:spacing w:after="560"/>
      <w:jc w:val="center"/>
    </w:pPr>
    <w:rPr>
      <w:rFonts w:ascii="SimSun" w:eastAsia="SimSun" w:hAnsi="SimSun" w:cs="SimSun"/>
      <w:b/>
      <w:bCs/>
      <w:i w:val="0"/>
      <w:iCs w:val="0"/>
      <w:smallCaps w:val="0"/>
      <w:strike w:val="0"/>
      <w:sz w:val="32"/>
      <w:szCs w:val="32"/>
      <w:u w:val="none"/>
      <w:shd w:val="clear" w:color="auto" w:fill="auto"/>
    </w:rPr>
  </w:style>
  <w:style w:type="paragraph" w:styleId="Style10">
    <w:name w:val="Body text"/>
    <w:basedOn w:val="Normal"/>
    <w:link w:val="CharStyle11"/>
    <w:qFormat/>
    <w:pPr>
      <w:widowControl w:val="0"/>
      <w:shd w:val="clear" w:color="auto" w:fill="auto"/>
      <w:spacing w:after="4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4">
    <w:name w:val="Table of contents"/>
    <w:basedOn w:val="Normal"/>
    <w:link w:val="CharStyle15"/>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18">
    <w:name w:val="Other"/>
    <w:basedOn w:val="Normal"/>
    <w:link w:val="CharStyle1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Heading #1"/>
    <w:basedOn w:val="Normal"/>
    <w:link w:val="CharStyle22"/>
    <w:pPr>
      <w:widowControl w:val="0"/>
      <w:shd w:val="clear" w:color="auto" w:fill="auto"/>
      <w:spacing w:after="340"/>
      <w:outlineLvl w:val="0"/>
    </w:pPr>
    <w:rPr>
      <w:rFonts w:ascii="SimSun" w:eastAsia="SimSun" w:hAnsi="SimSun" w:cs="SimSun"/>
      <w:b/>
      <w:bCs/>
      <w:i w:val="0"/>
      <w:iCs w:val="0"/>
      <w:smallCaps w:val="0"/>
      <w:strike w:val="0"/>
      <w:sz w:val="22"/>
      <w:szCs w:val="22"/>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Body text (2)"/>
    <w:basedOn w:val="Normal"/>
    <w:link w:val="CharStyle27"/>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2"/>
    <w:basedOn w:val="Normal"/>
    <w:link w:val="CharStyle30"/>
    <w:pPr>
      <w:widowControl w:val="0"/>
      <w:shd w:val="clear" w:color="auto" w:fill="auto"/>
      <w:spacing w:after="360"/>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34">
    <w:name w:val="Heading #3"/>
    <w:basedOn w:val="Normal"/>
    <w:link w:val="CharStyle35"/>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5">
    <w:name w:val="Body text (8)"/>
    <w:basedOn w:val="Normal"/>
    <w:link w:val="CharStyle46"/>
    <w:pPr>
      <w:widowControl w:val="0"/>
      <w:shd w:val="clear" w:color="auto" w:fill="auto"/>
      <w:spacing w:after="12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3">
    <w:name w:val="Heading #4"/>
    <w:basedOn w:val="Normal"/>
    <w:link w:val="CharStyle54"/>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鸿博股份有限公司2021年年度报告全文</dc:title>
  <dc:subject/>
  <dc:creator>鸿博股份有限公司</dc:creator>
  <cp:keywords/>
</cp:coreProperties>
</file>