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3975" w:lineRule="exact"/>
        <w:ind w:left="9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9"/>
          <w:sz w:val="20"/>
          <w:szCs w:val="20"/>
        </w:rPr>
        <w:drawing>
          <wp:inline distT="0" distB="0" distL="0" distR="0">
            <wp:extent cx="5046980" cy="25241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046980" cy="2524125"/>
                    </a:xfrm>
                    <a:prstGeom prst="rect">
                      <a:avLst/>
                    </a:prstGeom>
                  </pic:spPr>
                </pic:pic>
              </a:graphicData>
            </a:graphic>
          </wp:inline>
        </w:drawing>
      </w:r>
      <w:r>
        <w:rPr>
          <w:rFonts w:ascii="Times New Roman" w:hAnsi="Times New Roman" w:cs="Times New Roman" w:eastAsia="Times New Roman" w:hint="default"/>
          <w:position w:val="-7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line="540" w:lineRule="exact" w:before="0"/>
        <w:ind w:left="2746" w:right="3723" w:firstLine="0"/>
        <w:jc w:val="center"/>
        <w:rPr>
          <w:rFonts w:ascii="宋体" w:hAnsi="宋体" w:cs="宋体" w:eastAsia="宋体" w:hint="default"/>
          <w:sz w:val="44"/>
          <w:szCs w:val="44"/>
        </w:rPr>
      </w:pPr>
      <w:r>
        <w:rPr>
          <w:rFonts w:ascii="宋体" w:hAnsi="宋体" w:cs="宋体" w:eastAsia="宋体" w:hint="default"/>
          <w:b/>
          <w:bCs/>
          <w:sz w:val="44"/>
          <w:szCs w:val="44"/>
        </w:rPr>
        <w:t>厦门安妮股份有限公司</w:t>
      </w:r>
      <w:r>
        <w:rPr>
          <w:rFonts w:ascii="宋体" w:hAnsi="宋体" w:cs="宋体" w:eastAsia="宋体" w:hint="default"/>
          <w:sz w:val="44"/>
          <w:szCs w:val="44"/>
        </w:rPr>
      </w:r>
    </w:p>
    <w:p>
      <w:pPr>
        <w:spacing w:before="394"/>
        <w:ind w:left="2745" w:right="3723" w:firstLine="0"/>
        <w:jc w:val="center"/>
        <w:rPr>
          <w:rFonts w:ascii="宋体" w:hAnsi="宋体" w:cs="宋体" w:eastAsia="宋体" w:hint="default"/>
          <w:sz w:val="44"/>
          <w:szCs w:val="44"/>
        </w:rPr>
      </w:pPr>
      <w:r>
        <w:rPr>
          <w:rFonts w:ascii="宋体" w:hAnsi="宋体" w:cs="宋体" w:eastAsia="宋体" w:hint="default"/>
          <w:b/>
          <w:bCs/>
          <w:sz w:val="44"/>
          <w:szCs w:val="44"/>
        </w:rPr>
        <w:t>2018</w:t>
      </w:r>
      <w:r>
        <w:rPr>
          <w:rFonts w:ascii="宋体" w:hAnsi="宋体" w:cs="宋体" w:eastAsia="宋体" w:hint="default"/>
          <w:b/>
          <w:bCs/>
          <w:spacing w:val="-116"/>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9"/>
        <w:rPr>
          <w:rFonts w:ascii="宋体" w:hAnsi="宋体" w:cs="宋体" w:eastAsia="宋体" w:hint="default"/>
          <w:b/>
          <w:bCs/>
          <w:sz w:val="32"/>
          <w:szCs w:val="32"/>
        </w:rPr>
      </w:pPr>
    </w:p>
    <w:p>
      <w:pPr>
        <w:spacing w:before="0"/>
        <w:ind w:left="2746" w:right="37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76"/>
        <w:ind w:left="0" w:right="1130"/>
        <w:jc w:val="right"/>
        <w:rPr>
          <w:rFonts w:ascii="Times New Roman" w:hAnsi="Times New Roman" w:cs="Times New Roman" w:eastAsia="Times New Roman" w:hint="default"/>
        </w:rPr>
      </w:pPr>
      <w:r>
        <w:rPr>
          <w:rFonts w:ascii="Times New Roman"/>
        </w:rPr>
        <w:t>1</w:t>
      </w:r>
    </w:p>
    <w:p>
      <w:pPr>
        <w:spacing w:after="0" w:line="240" w:lineRule="auto"/>
        <w:jc w:val="right"/>
        <w:rPr>
          <w:rFonts w:ascii="Times New Roman" w:hAnsi="Times New Roman" w:cs="Times New Roman" w:eastAsia="Times New Roman" w:hint="default"/>
        </w:rPr>
        <w:sectPr>
          <w:headerReference w:type="default" r:id="rId5"/>
          <w:footerReference w:type="default" r:id="rId6"/>
          <w:type w:val="continuous"/>
          <w:pgSz w:w="11910" w:h="16840"/>
          <w:pgMar w:header="747" w:footer="504" w:top="1060" w:bottom="70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left="2805" w:right="817"/>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一、公司董事会、监事会及董事、监事、高级管理人员保证年度报告内容</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的真实、准确、完整，不存在虚假记载、误导性陈述或重大遗漏，并承担个别</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和连带的法律责任。</w:t>
      </w:r>
      <w:r>
        <w:rPr>
          <w:rFonts w:ascii="宋体" w:hAnsi="宋体" w:cs="宋体" w:eastAsia="宋体" w:hint="default"/>
          <w:sz w:val="28"/>
          <w:szCs w:val="28"/>
        </w:rPr>
      </w:r>
    </w:p>
    <w:p>
      <w:pPr>
        <w:spacing w:line="386" w:lineRule="auto" w:before="161"/>
        <w:ind w:left="154" w:right="1134"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公司负责人张杰、主管会计工作负责人张杰及会计机构负责人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许志强声明：保证年度报告中财务报告的真实、准确、完整。</w:t>
      </w:r>
      <w:r>
        <w:rPr>
          <w:rFonts w:ascii="宋体" w:hAnsi="宋体" w:cs="宋体" w:eastAsia="宋体" w:hint="default"/>
          <w:sz w:val="28"/>
          <w:szCs w:val="28"/>
        </w:rPr>
      </w:r>
    </w:p>
    <w:p>
      <w:pPr>
        <w:spacing w:line="472" w:lineRule="auto" w:before="147"/>
        <w:ind w:left="716" w:right="817" w:firstLine="0"/>
        <w:jc w:val="left"/>
        <w:rPr>
          <w:rFonts w:ascii="宋体" w:hAnsi="宋体" w:cs="宋体" w:eastAsia="宋体" w:hint="default"/>
          <w:sz w:val="28"/>
          <w:szCs w:val="28"/>
        </w:rPr>
      </w:pPr>
      <w:r>
        <w:rPr>
          <w:rFonts w:ascii="宋体" w:hAnsi="宋体" w:cs="宋体" w:eastAsia="宋体" w:hint="default"/>
          <w:b/>
          <w:bCs/>
          <w:sz w:val="28"/>
          <w:szCs w:val="28"/>
        </w:rPr>
        <w:t>二、所有董事均已出席了审议本报告的董事会会议。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三、本报告中如涉及未来计划等前瞻性描述，不构成公司对投资者的实质</w:t>
      </w:r>
      <w:r>
        <w:rPr>
          <w:rFonts w:ascii="宋体" w:hAnsi="宋体" w:cs="宋体" w:eastAsia="宋体" w:hint="default"/>
          <w:spacing w:val="3"/>
          <w:sz w:val="28"/>
          <w:szCs w:val="28"/>
        </w:rPr>
      </w:r>
    </w:p>
    <w:p>
      <w:pPr>
        <w:spacing w:line="410" w:lineRule="auto" w:before="0"/>
        <w:ind w:left="154" w:right="113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性承诺。该等前瞻性陈述内容是否能够实现，受市场环境、政策因素及公司业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务开展实际情况影响较大，存在不确定性。公司提醒投资者及相关人士对此保</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z w:val="28"/>
          <w:szCs w:val="28"/>
        </w:rPr>
        <w:t>持足够的风险认识，并理解计划、预测与承诺之间的差异。</w:t>
      </w:r>
      <w:r>
        <w:rPr>
          <w:rFonts w:ascii="宋体" w:hAnsi="宋体" w:cs="宋体" w:eastAsia="宋体" w:hint="default"/>
          <w:sz w:val="28"/>
          <w:szCs w:val="28"/>
        </w:rPr>
      </w:r>
    </w:p>
    <w:p>
      <w:pPr>
        <w:spacing w:before="159"/>
        <w:ind w:left="716" w:right="817" w:firstLine="0"/>
        <w:jc w:val="left"/>
        <w:rPr>
          <w:rFonts w:ascii="宋体" w:hAnsi="宋体" w:cs="宋体" w:eastAsia="宋体" w:hint="default"/>
          <w:sz w:val="28"/>
          <w:szCs w:val="28"/>
        </w:rPr>
      </w:pPr>
      <w:r>
        <w:rPr>
          <w:rFonts w:ascii="宋体" w:hAnsi="宋体" w:cs="宋体" w:eastAsia="宋体" w:hint="default"/>
          <w:b/>
          <w:bCs/>
          <w:sz w:val="28"/>
          <w:szCs w:val="28"/>
        </w:rPr>
        <w:t>四、公司提醒投资者认真阅读年度报告全文，并特别注意下列风险因素：</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72" w:lineRule="auto" w:before="0"/>
        <w:ind w:left="716" w:right="817" w:firstLine="0"/>
        <w:jc w:val="left"/>
        <w:rPr>
          <w:rFonts w:ascii="宋体" w:hAnsi="宋体" w:cs="宋体" w:eastAsia="宋体" w:hint="default"/>
          <w:sz w:val="28"/>
          <w:szCs w:val="28"/>
        </w:rPr>
      </w:pPr>
      <w:r>
        <w:rPr>
          <w:rFonts w:ascii="宋体" w:hAnsi="宋体" w:cs="宋体" w:eastAsia="宋体" w:hint="default"/>
          <w:b/>
          <w:bCs/>
          <w:spacing w:val="-8"/>
          <w:w w:val="99"/>
          <w:sz w:val="28"/>
          <w:szCs w:val="28"/>
        </w:rPr>
        <w:t>（一）、版权业务开展不及预期的风险</w:t>
      </w:r>
      <w:r>
        <w:rPr>
          <w:rFonts w:ascii="宋体" w:hAnsi="宋体" w:cs="宋体" w:eastAsia="宋体" w:hint="default"/>
          <w:b/>
          <w:bCs/>
          <w:spacing w:val="-137"/>
          <w:w w:val="99"/>
          <w:sz w:val="28"/>
          <w:szCs w:val="28"/>
        </w:rPr>
        <w:t> </w:t>
      </w:r>
      <w:r>
        <w:rPr>
          <w:rFonts w:ascii="宋体" w:hAnsi="宋体" w:cs="宋体" w:eastAsia="宋体" w:hint="default"/>
          <w:b/>
          <w:bCs/>
          <w:spacing w:val="-137"/>
          <w:w w:val="99"/>
          <w:sz w:val="28"/>
          <w:szCs w:val="28"/>
        </w:rPr>
      </w:r>
      <w:r>
        <w:rPr>
          <w:rFonts w:ascii="宋体" w:hAnsi="宋体" w:cs="宋体" w:eastAsia="宋体" w:hint="default"/>
          <w:b/>
          <w:bCs/>
          <w:spacing w:val="-1"/>
          <w:w w:val="95"/>
          <w:sz w:val="28"/>
          <w:szCs w:val="28"/>
        </w:rPr>
        <w:t>公司将版权业务作为公司的核心业务，持续推进募集资金投资项目</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版权大</w:t>
      </w:r>
      <w:r>
        <w:rPr>
          <w:rFonts w:ascii="宋体" w:hAnsi="宋体" w:cs="宋体" w:eastAsia="宋体" w:hint="default"/>
          <w:sz w:val="28"/>
          <w:szCs w:val="28"/>
        </w:rPr>
      </w:r>
    </w:p>
    <w:p>
      <w:pPr>
        <w:spacing w:line="323" w:lineRule="exact" w:before="0"/>
        <w:ind w:left="154" w:right="817" w:firstLine="0"/>
        <w:jc w:val="left"/>
        <w:rPr>
          <w:rFonts w:ascii="宋体" w:hAnsi="宋体" w:cs="宋体" w:eastAsia="宋体" w:hint="default"/>
          <w:sz w:val="28"/>
          <w:szCs w:val="28"/>
        </w:rPr>
      </w:pPr>
      <w:r>
        <w:rPr>
          <w:rFonts w:ascii="宋体" w:hAnsi="宋体" w:cs="宋体" w:eastAsia="宋体" w:hint="default"/>
          <w:b/>
          <w:bCs/>
          <w:sz w:val="28"/>
          <w:szCs w:val="28"/>
        </w:rPr>
        <w:t>数据平台建设项目</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的建设。报告期内，公司版权业务的推进取得很大的进展。</w:t>
      </w:r>
      <w:r>
        <w:rPr>
          <w:rFonts w:ascii="宋体" w:hAnsi="宋体" w:cs="宋体" w:eastAsia="宋体" w:hint="default"/>
          <w:sz w:val="28"/>
          <w:szCs w:val="28"/>
        </w:rPr>
      </w:r>
    </w:p>
    <w:p>
      <w:pPr>
        <w:spacing w:line="460" w:lineRule="auto" w:before="237"/>
        <w:ind w:left="716" w:right="817" w:hanging="562"/>
        <w:jc w:val="left"/>
        <w:rPr>
          <w:rFonts w:ascii="宋体" w:hAnsi="宋体" w:cs="宋体" w:eastAsia="宋体" w:hint="default"/>
          <w:sz w:val="28"/>
          <w:szCs w:val="28"/>
        </w:rPr>
      </w:pPr>
      <w:r>
        <w:rPr>
          <w:rFonts w:ascii="宋体" w:hAnsi="宋体" w:cs="宋体" w:eastAsia="宋体" w:hint="default"/>
          <w:b/>
          <w:bCs/>
          <w:sz w:val="28"/>
          <w:szCs w:val="28"/>
        </w:rPr>
        <w:t>但同时，版权业务仍然存在如下发展的风险：</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、募投项目的实施效果与收益未达预期的风险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公司前期对版权大数据平台建设项目的可行性进行了充分论证，对募集资</w:t>
      </w:r>
      <w:r>
        <w:rPr>
          <w:rFonts w:ascii="宋体" w:hAnsi="宋体" w:cs="宋体" w:eastAsia="宋体" w:hint="default"/>
          <w:spacing w:val="3"/>
          <w:sz w:val="28"/>
          <w:szCs w:val="28"/>
        </w:rPr>
      </w:r>
    </w:p>
    <w:p>
      <w:pPr>
        <w:spacing w:line="408" w:lineRule="auto" w:before="0"/>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金投资项目进行了财务测算，综合评价了项目的风险与收益。但是，前述募集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资金投资项目的实际实施效果以及收益受到诸多因素的影响，上述措施仍然不</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4" w:right="1137"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能保证前述募投项目的收益，不能完全规避相关风险，因此前述募集资金投资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项目的实施效果与收益存在一定的不确定性。公司将在募集资金投入过程中，</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充分论证、科学决策、谨慎投资，不断完善公司内部风险控制机制，降低投资</w:t>
      </w:r>
      <w:r>
        <w:rPr>
          <w:rFonts w:ascii="宋体" w:hAnsi="宋体" w:cs="宋体" w:eastAsia="宋体" w:hint="default"/>
          <w:b/>
          <w:bCs/>
          <w:spacing w:val="30"/>
          <w:w w:val="95"/>
          <w:sz w:val="28"/>
          <w:szCs w:val="28"/>
        </w:rPr>
        <w:t> </w:t>
      </w:r>
      <w:r>
        <w:rPr>
          <w:rFonts w:ascii="宋体" w:hAnsi="宋体" w:cs="宋体" w:eastAsia="宋体" w:hint="default"/>
          <w:b/>
          <w:bCs/>
          <w:spacing w:val="30"/>
          <w:w w:val="95"/>
          <w:sz w:val="28"/>
          <w:szCs w:val="28"/>
        </w:rPr>
      </w:r>
      <w:r>
        <w:rPr>
          <w:rFonts w:ascii="宋体" w:hAnsi="宋体" w:cs="宋体" w:eastAsia="宋体" w:hint="default"/>
          <w:b/>
          <w:bCs/>
          <w:sz w:val="28"/>
          <w:szCs w:val="28"/>
        </w:rPr>
        <w:t>失误风险。</w:t>
      </w:r>
      <w:r>
        <w:rPr>
          <w:rFonts w:ascii="宋体" w:hAnsi="宋体" w:cs="宋体" w:eastAsia="宋体" w:hint="default"/>
          <w:sz w:val="28"/>
          <w:szCs w:val="28"/>
        </w:rPr>
      </w:r>
    </w:p>
    <w:p>
      <w:pPr>
        <w:spacing w:line="448" w:lineRule="auto" w:before="161"/>
        <w:ind w:left="716" w:right="81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、与合作方合作关系不稳定的风险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公司与电信运营商、互联网平台、内容生产企业之间保持了良好的合作关</w:t>
      </w:r>
      <w:r>
        <w:rPr>
          <w:rFonts w:ascii="宋体" w:hAnsi="宋体" w:cs="宋体" w:eastAsia="宋体" w:hint="default"/>
          <w:spacing w:val="3"/>
          <w:sz w:val="28"/>
          <w:szCs w:val="28"/>
        </w:rPr>
      </w:r>
    </w:p>
    <w:p>
      <w:pPr>
        <w:spacing w:line="408" w:lineRule="auto" w:before="14"/>
        <w:ind w:left="154" w:right="1143"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系，公司为合作伙伴提供版权审核、版权登记、盗版维权、内容分发、版权孵</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化等服务，而这些合作平台同时也是公司内容分发的重要渠道。若公司未来与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合作方出现不稳定的情况，将影响公司未来的盈利能力。公司将通过与合作方</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3"/>
          <w:w w:val="95"/>
          <w:sz w:val="28"/>
          <w:szCs w:val="28"/>
        </w:rPr>
        <w:t>持续建立合作共赢的业务合作关系，并持续增加合作平台和渠道数目来规避风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险。</w:t>
      </w:r>
      <w:r>
        <w:rPr>
          <w:rFonts w:ascii="宋体" w:hAnsi="宋体" w:cs="宋体" w:eastAsia="宋体" w:hint="default"/>
          <w:sz w:val="28"/>
          <w:szCs w:val="28"/>
        </w:rPr>
      </w:r>
    </w:p>
    <w:p>
      <w:pPr>
        <w:spacing w:before="161"/>
        <w:ind w:left="716" w:right="817" w:firstLine="0"/>
        <w:jc w:val="left"/>
        <w:rPr>
          <w:rFonts w:ascii="宋体" w:hAnsi="宋体" w:cs="宋体" w:eastAsia="宋体" w:hint="default"/>
          <w:sz w:val="28"/>
          <w:szCs w:val="28"/>
        </w:rPr>
      </w:pPr>
      <w:r>
        <w:rPr>
          <w:rFonts w:ascii="宋体" w:hAnsi="宋体" w:cs="宋体" w:eastAsia="宋体" w:hint="default"/>
          <w:b/>
          <w:bCs/>
          <w:w w:val="99"/>
          <w:sz w:val="28"/>
          <w:szCs w:val="28"/>
        </w:rPr>
        <w:t>（二</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商誉减</w:t>
      </w:r>
      <w:r>
        <w:rPr>
          <w:rFonts w:ascii="宋体" w:hAnsi="宋体" w:cs="宋体" w:eastAsia="宋体" w:hint="default"/>
          <w:b/>
          <w:bCs/>
          <w:spacing w:val="2"/>
          <w:w w:val="99"/>
          <w:sz w:val="28"/>
          <w:szCs w:val="28"/>
        </w:rPr>
        <w:t>值</w:t>
      </w:r>
      <w:r>
        <w:rPr>
          <w:rFonts w:ascii="宋体" w:hAnsi="宋体" w:cs="宋体" w:eastAsia="宋体" w:hint="default"/>
          <w:b/>
          <w:bCs/>
          <w:w w:val="99"/>
          <w:sz w:val="28"/>
          <w:szCs w:val="28"/>
        </w:rPr>
        <w:t>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6" w:right="817" w:firstLine="0"/>
        <w:jc w:val="left"/>
        <w:rPr>
          <w:rFonts w:ascii="宋体" w:hAnsi="宋体" w:cs="宋体" w:eastAsia="宋体" w:hint="default"/>
          <w:sz w:val="28"/>
          <w:szCs w:val="28"/>
        </w:rPr>
      </w:pPr>
      <w:r>
        <w:rPr>
          <w:rFonts w:ascii="宋体" w:hAnsi="宋体" w:cs="宋体" w:eastAsia="宋体" w:hint="default"/>
          <w:b/>
          <w:bCs/>
          <w:spacing w:val="7"/>
          <w:sz w:val="28"/>
          <w:szCs w:val="28"/>
        </w:rPr>
        <w:t>截止 </w:t>
      </w:r>
      <w:r>
        <w:rPr>
          <w:rFonts w:ascii="Times New Roman" w:hAnsi="Times New Roman" w:cs="Times New Roman" w:eastAsia="Times New Roman" w:hint="default"/>
          <w:b/>
          <w:bCs/>
          <w:sz w:val="28"/>
          <w:szCs w:val="28"/>
        </w:rPr>
        <w:t>2018  </w:t>
      </w:r>
      <w:r>
        <w:rPr>
          <w:rFonts w:ascii="宋体" w:hAnsi="宋体" w:cs="宋体" w:eastAsia="宋体" w:hint="default"/>
          <w:b/>
          <w:bCs/>
          <w:sz w:val="28"/>
          <w:szCs w:val="28"/>
        </w:rPr>
        <w:t>年 </w:t>
      </w:r>
      <w:r>
        <w:rPr>
          <w:rFonts w:ascii="Times New Roman" w:hAnsi="Times New Roman" w:cs="Times New Roman" w:eastAsia="Times New Roman" w:hint="default"/>
          <w:b/>
          <w:bCs/>
          <w:sz w:val="28"/>
          <w:szCs w:val="28"/>
        </w:rPr>
        <w:t>12  </w:t>
      </w:r>
      <w:r>
        <w:rPr>
          <w:rFonts w:ascii="宋体" w:hAnsi="宋体" w:cs="宋体" w:eastAsia="宋体" w:hint="default"/>
          <w:b/>
          <w:bCs/>
          <w:sz w:val="28"/>
          <w:szCs w:val="28"/>
        </w:rPr>
        <w:t>月 </w:t>
      </w:r>
      <w:r>
        <w:rPr>
          <w:rFonts w:ascii="Times New Roman" w:hAnsi="Times New Roman" w:cs="Times New Roman" w:eastAsia="Times New Roman" w:hint="default"/>
          <w:b/>
          <w:bCs/>
          <w:sz w:val="28"/>
          <w:szCs w:val="28"/>
        </w:rPr>
        <w:t>31 </w:t>
      </w:r>
      <w:r>
        <w:rPr>
          <w:rFonts w:ascii="Times New Roman" w:hAnsi="Times New Roman" w:cs="Times New Roman" w:eastAsia="Times New Roman" w:hint="default"/>
          <w:b/>
          <w:bCs/>
          <w:spacing w:val="46"/>
          <w:sz w:val="28"/>
          <w:szCs w:val="28"/>
        </w:rPr>
        <w:t> </w:t>
      </w:r>
      <w:r>
        <w:rPr>
          <w:rFonts w:ascii="宋体" w:hAnsi="宋体" w:cs="宋体" w:eastAsia="宋体" w:hint="default"/>
          <w:b/>
          <w:bCs/>
          <w:spacing w:val="14"/>
          <w:sz w:val="28"/>
          <w:szCs w:val="28"/>
        </w:rPr>
        <w:t>日，公司投资并购产生的商誉剩余账面价值为</w:t>
      </w:r>
      <w:r>
        <w:rPr>
          <w:rFonts w:ascii="宋体" w:hAnsi="宋体" w:cs="宋体" w:eastAsia="宋体" w:hint="default"/>
          <w:spacing w:val="14"/>
          <w:sz w:val="28"/>
          <w:szCs w:val="28"/>
        </w:rPr>
      </w:r>
    </w:p>
    <w:p>
      <w:pPr>
        <w:spacing w:line="405" w:lineRule="auto" w:before="236"/>
        <w:ind w:left="154" w:right="81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74,366.03</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万元。如果投资并购的子公司业绩未达预期，将可能形成商誉减值，</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从而影响公司当期损益。公司通过跟踪关注并购子公司的经营情况及行业趋势，</w:t>
      </w:r>
      <w:r>
        <w:rPr>
          <w:rFonts w:ascii="宋体" w:hAnsi="宋体" w:cs="宋体" w:eastAsia="宋体" w:hint="default"/>
          <w:b/>
          <w:bCs/>
          <w:spacing w:val="67"/>
          <w:w w:val="95"/>
          <w:sz w:val="28"/>
          <w:szCs w:val="28"/>
        </w:rPr>
        <w:t> </w:t>
      </w:r>
      <w:r>
        <w:rPr>
          <w:rFonts w:ascii="宋体" w:hAnsi="宋体" w:cs="宋体" w:eastAsia="宋体" w:hint="default"/>
          <w:b/>
          <w:bCs/>
          <w:spacing w:val="67"/>
          <w:w w:val="95"/>
          <w:sz w:val="28"/>
          <w:szCs w:val="28"/>
        </w:rPr>
      </w:r>
      <w:r>
        <w:rPr>
          <w:rFonts w:ascii="宋体" w:hAnsi="宋体" w:cs="宋体" w:eastAsia="宋体" w:hint="default"/>
          <w:b/>
          <w:bCs/>
          <w:spacing w:val="3"/>
          <w:sz w:val="28"/>
          <w:szCs w:val="28"/>
        </w:rPr>
        <w:t>通过业务、管理等方面的协同共进加强内部子公司管理，强化投后管理管控，</w:t>
      </w:r>
      <w:r>
        <w:rPr>
          <w:rFonts w:ascii="宋体" w:hAnsi="宋体" w:cs="宋体" w:eastAsia="宋体" w:hint="default"/>
          <w:b/>
          <w:bCs/>
          <w:w w:val="99"/>
          <w:sz w:val="28"/>
          <w:szCs w:val="28"/>
        </w:rPr>
        <w:t> </w:t>
      </w:r>
      <w:r>
        <w:rPr>
          <w:rFonts w:ascii="宋体" w:hAnsi="宋体" w:cs="宋体" w:eastAsia="宋体" w:hint="default"/>
          <w:b/>
          <w:bCs/>
          <w:spacing w:val="3"/>
          <w:sz w:val="28"/>
          <w:szCs w:val="28"/>
        </w:rPr>
        <w:t>整合资源积极发挥持续竞争力，保障并购子公司稳健发展，将商誉对公司未来</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业绩影响程度及风险逐步降低。公司将不断提升核心竞争力，提升包括畅元国</w:t>
      </w:r>
      <w:r>
        <w:rPr>
          <w:rFonts w:ascii="宋体" w:hAnsi="宋体" w:cs="宋体" w:eastAsia="宋体" w:hint="default"/>
          <w:b/>
          <w:bCs/>
          <w:w w:val="99"/>
          <w:sz w:val="28"/>
          <w:szCs w:val="28"/>
        </w:rPr>
        <w:t> </w:t>
      </w:r>
      <w:r>
        <w:rPr>
          <w:rFonts w:ascii="宋体" w:hAnsi="宋体" w:cs="宋体" w:eastAsia="宋体" w:hint="default"/>
          <w:b/>
          <w:bCs/>
          <w:sz w:val="28"/>
          <w:szCs w:val="28"/>
        </w:rPr>
        <w:t>讯在内的子公司的经营业绩，降低商誉减值风险。</w:t>
      </w:r>
      <w:r>
        <w:rPr>
          <w:rFonts w:ascii="宋体" w:hAnsi="宋体" w:cs="宋体" w:eastAsia="宋体" w:hint="default"/>
          <w:sz w:val="28"/>
          <w:szCs w:val="28"/>
        </w:rPr>
      </w:r>
    </w:p>
    <w:p>
      <w:pPr>
        <w:spacing w:before="165"/>
        <w:ind w:left="716" w:right="817"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（三</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子公司</w:t>
      </w:r>
      <w:r>
        <w:rPr>
          <w:rFonts w:ascii="宋体" w:hAnsi="宋体" w:cs="宋体" w:eastAsia="宋体" w:hint="default"/>
          <w:b/>
          <w:bCs/>
          <w:spacing w:val="2"/>
          <w:w w:val="99"/>
          <w:sz w:val="28"/>
          <w:szCs w:val="28"/>
        </w:rPr>
        <w:t>业</w:t>
      </w:r>
      <w:r>
        <w:rPr>
          <w:rFonts w:ascii="宋体" w:hAnsi="宋体" w:cs="宋体" w:eastAsia="宋体" w:hint="default"/>
          <w:b/>
          <w:bCs/>
          <w:w w:val="99"/>
          <w:sz w:val="28"/>
          <w:szCs w:val="28"/>
        </w:rPr>
        <w:t>绩承诺</w:t>
      </w:r>
      <w:r>
        <w:rPr>
          <w:rFonts w:ascii="宋体" w:hAnsi="宋体" w:cs="宋体" w:eastAsia="宋体" w:hint="default"/>
          <w:b/>
          <w:bCs/>
          <w:spacing w:val="2"/>
          <w:w w:val="99"/>
          <w:sz w:val="28"/>
          <w:szCs w:val="28"/>
        </w:rPr>
        <w:t>的</w:t>
      </w:r>
      <w:r>
        <w:rPr>
          <w:rFonts w:ascii="宋体" w:hAnsi="宋体" w:cs="宋体" w:eastAsia="宋体" w:hint="default"/>
          <w:b/>
          <w:bCs/>
          <w:w w:val="99"/>
          <w:sz w:val="28"/>
          <w:szCs w:val="28"/>
        </w:rPr>
        <w:t>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6" w:right="817" w:firstLine="0"/>
        <w:jc w:val="left"/>
        <w:rPr>
          <w:rFonts w:ascii="宋体" w:hAnsi="宋体" w:cs="宋体" w:eastAsia="宋体" w:hint="default"/>
          <w:sz w:val="28"/>
          <w:szCs w:val="28"/>
        </w:rPr>
      </w:pPr>
      <w:r>
        <w:rPr>
          <w:rFonts w:ascii="宋体" w:hAnsi="宋体" w:cs="宋体" w:eastAsia="宋体" w:hint="default"/>
          <w:b/>
          <w:bCs/>
          <w:sz w:val="28"/>
          <w:szCs w:val="28"/>
        </w:rPr>
        <w:t>公司</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年以发行股份及现金支付方式，收购了畅元国讯</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股权。为</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386" w:lineRule="auto" w:before="13"/>
        <w:ind w:left="154" w:right="817" w:firstLine="0"/>
        <w:jc w:val="left"/>
        <w:rPr>
          <w:rFonts w:ascii="宋体" w:hAnsi="宋体" w:cs="宋体" w:eastAsia="宋体" w:hint="default"/>
          <w:sz w:val="28"/>
          <w:szCs w:val="28"/>
        </w:rPr>
      </w:pPr>
      <w:r>
        <w:rPr>
          <w:rFonts w:ascii="宋体" w:hAnsi="宋体" w:cs="宋体" w:eastAsia="宋体" w:hint="default"/>
          <w:b/>
          <w:bCs/>
          <w:sz w:val="28"/>
          <w:szCs w:val="28"/>
        </w:rPr>
        <w:t>保护上市公司全体股东利益，全体交易对方承诺：畅元国讯</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年、</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年、</w:t>
      </w:r>
      <w:r>
        <w:rPr>
          <w:rFonts w:ascii="宋体" w:hAnsi="宋体" w:cs="宋体" w:eastAsia="宋体" w:hint="default"/>
          <w:b/>
          <w:bCs/>
          <w:spacing w:val="1"/>
          <w:w w:val="99"/>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年三个会计年度经审计合并报表扣除非经常性损益后归属于母公司所有者</w:t>
      </w:r>
      <w:r>
        <w:rPr>
          <w:rFonts w:ascii="宋体" w:hAnsi="宋体" w:cs="宋体" w:eastAsia="宋体" w:hint="default"/>
          <w:b/>
          <w:bCs/>
          <w:w w:val="99"/>
          <w:sz w:val="28"/>
          <w:szCs w:val="28"/>
        </w:rPr>
        <w:t> </w:t>
      </w:r>
      <w:r>
        <w:rPr>
          <w:rFonts w:ascii="宋体" w:hAnsi="宋体" w:cs="宋体" w:eastAsia="宋体" w:hint="default"/>
          <w:b/>
          <w:bCs/>
          <w:sz w:val="28"/>
          <w:szCs w:val="28"/>
        </w:rPr>
        <w:t>的净利润分别为</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7,600</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万元人民币、</w:t>
      </w:r>
      <w:r>
        <w:rPr>
          <w:rFonts w:ascii="Times New Roman" w:hAnsi="Times New Roman" w:cs="Times New Roman" w:eastAsia="Times New Roman" w:hint="default"/>
          <w:b/>
          <w:bCs/>
          <w:sz w:val="28"/>
          <w:szCs w:val="28"/>
        </w:rPr>
        <w:t>10,000</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万元人民币、</w:t>
      </w:r>
      <w:r>
        <w:rPr>
          <w:rFonts w:ascii="Times New Roman" w:hAnsi="Times New Roman" w:cs="Times New Roman" w:eastAsia="Times New Roman" w:hint="default"/>
          <w:b/>
          <w:bCs/>
          <w:sz w:val="28"/>
          <w:szCs w:val="28"/>
        </w:rPr>
        <w:t>13,000</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万元人民币。</w:t>
      </w:r>
      <w:r>
        <w:rPr>
          <w:rFonts w:ascii="宋体" w:hAnsi="宋体" w:cs="宋体" w:eastAsia="宋体" w:hint="default"/>
          <w:sz w:val="28"/>
          <w:szCs w:val="28"/>
        </w:rPr>
      </w:r>
    </w:p>
    <w:p>
      <w:pPr>
        <w:spacing w:line="408" w:lineRule="auto" w:before="145"/>
        <w:ind w:left="154" w:right="1134" w:firstLine="459"/>
        <w:jc w:val="both"/>
        <w:rPr>
          <w:rFonts w:ascii="宋体" w:hAnsi="宋体" w:cs="宋体" w:eastAsia="宋体" w:hint="default"/>
          <w:sz w:val="28"/>
          <w:szCs w:val="28"/>
        </w:rPr>
      </w:pPr>
      <w:r>
        <w:rPr>
          <w:rFonts w:ascii="宋体" w:hAnsi="宋体" w:cs="宋体" w:eastAsia="宋体" w:hint="default"/>
          <w:b/>
          <w:bCs/>
          <w:spacing w:val="-3"/>
          <w:sz w:val="28"/>
          <w:szCs w:val="28"/>
        </w:rPr>
        <w:t>畅元国讯三年业绩承诺期结束，</w:t>
      </w:r>
      <w:r>
        <w:rPr>
          <w:rFonts w:ascii="宋体" w:hAnsi="宋体" w:cs="宋体" w:eastAsia="宋体" w:hint="default"/>
          <w:b/>
          <w:bCs/>
          <w:spacing w:val="-3"/>
          <w:sz w:val="28"/>
          <w:szCs w:val="28"/>
        </w:rPr>
        <w:t>2016</w:t>
      </w:r>
      <w:r>
        <w:rPr>
          <w:rFonts w:ascii="宋体" w:hAnsi="宋体" w:cs="宋体" w:eastAsia="宋体" w:hint="default"/>
          <w:b/>
          <w:bCs/>
          <w:spacing w:val="-3"/>
          <w:sz w:val="28"/>
          <w:szCs w:val="28"/>
        </w:rPr>
        <w:t>年完成业绩承诺，</w:t>
      </w:r>
      <w:r>
        <w:rPr>
          <w:rFonts w:ascii="宋体" w:hAnsi="宋体" w:cs="宋体" w:eastAsia="宋体" w:hint="default"/>
          <w:b/>
          <w:bCs/>
          <w:spacing w:val="-3"/>
          <w:sz w:val="28"/>
          <w:szCs w:val="28"/>
        </w:rPr>
        <w:t>2017</w:t>
      </w:r>
      <w:r>
        <w:rPr>
          <w:rFonts w:ascii="宋体" w:hAnsi="宋体" w:cs="宋体" w:eastAsia="宋体" w:hint="default"/>
          <w:b/>
          <w:bCs/>
          <w:spacing w:val="-3"/>
          <w:sz w:val="28"/>
          <w:szCs w:val="28"/>
        </w:rPr>
        <w:t>年扣非后实现净</w:t>
      </w:r>
      <w:r>
        <w:rPr>
          <w:rFonts w:ascii="宋体" w:hAnsi="宋体" w:cs="宋体" w:eastAsia="宋体" w:hint="default"/>
          <w:b/>
          <w:bCs/>
          <w:w w:val="99"/>
          <w:sz w:val="28"/>
          <w:szCs w:val="28"/>
        </w:rPr>
        <w:t> </w:t>
      </w:r>
      <w:r>
        <w:rPr>
          <w:rFonts w:ascii="宋体" w:hAnsi="宋体" w:cs="宋体" w:eastAsia="宋体" w:hint="default"/>
          <w:b/>
          <w:bCs/>
          <w:sz w:val="28"/>
          <w:szCs w:val="28"/>
        </w:rPr>
        <w:t>利润</w:t>
      </w:r>
      <w:r>
        <w:rPr>
          <w:rFonts w:ascii="宋体" w:hAnsi="宋体" w:cs="宋体" w:eastAsia="宋体" w:hint="default"/>
          <w:b/>
          <w:bCs/>
          <w:sz w:val="28"/>
          <w:szCs w:val="28"/>
        </w:rPr>
        <w:t>6,155.71</w:t>
      </w:r>
      <w:r>
        <w:rPr>
          <w:rFonts w:ascii="宋体" w:hAnsi="宋体" w:cs="宋体" w:eastAsia="宋体" w:hint="default"/>
          <w:b/>
          <w:bCs/>
          <w:sz w:val="28"/>
          <w:szCs w:val="28"/>
        </w:rPr>
        <w:t>万元，</w:t>
      </w:r>
      <w:r>
        <w:rPr>
          <w:rFonts w:ascii="宋体" w:hAnsi="宋体" w:cs="宋体" w:eastAsia="宋体" w:hint="default"/>
          <w:b/>
          <w:bCs/>
          <w:sz w:val="28"/>
          <w:szCs w:val="28"/>
        </w:rPr>
        <w:t>2018</w:t>
      </w:r>
      <w:r>
        <w:rPr>
          <w:rFonts w:ascii="宋体" w:hAnsi="宋体" w:cs="宋体" w:eastAsia="宋体" w:hint="default"/>
          <w:b/>
          <w:bCs/>
          <w:sz w:val="28"/>
          <w:szCs w:val="28"/>
        </w:rPr>
        <w:t>年扣非后实现净利润</w:t>
      </w:r>
      <w:r>
        <w:rPr>
          <w:rFonts w:ascii="宋体" w:hAnsi="宋体" w:cs="宋体" w:eastAsia="宋体" w:hint="default"/>
          <w:b/>
          <w:bCs/>
          <w:sz w:val="28"/>
          <w:szCs w:val="28"/>
        </w:rPr>
        <w:t>9,229.69</w:t>
      </w:r>
      <w:r>
        <w:rPr>
          <w:rFonts w:ascii="宋体" w:hAnsi="宋体" w:cs="宋体" w:eastAsia="宋体" w:hint="default"/>
          <w:b/>
          <w:bCs/>
          <w:sz w:val="28"/>
          <w:szCs w:val="28"/>
        </w:rPr>
        <w:t>万元。截止本年报出具</w:t>
      </w:r>
      <w:r>
        <w:rPr>
          <w:rFonts w:ascii="宋体" w:hAnsi="宋体" w:cs="宋体" w:eastAsia="宋体" w:hint="default"/>
          <w:b/>
          <w:bCs/>
          <w:w w:val="99"/>
          <w:sz w:val="28"/>
          <w:szCs w:val="28"/>
        </w:rPr>
        <w:t> </w:t>
      </w:r>
      <w:r>
        <w:rPr>
          <w:rFonts w:ascii="宋体" w:hAnsi="宋体" w:cs="宋体" w:eastAsia="宋体" w:hint="default"/>
          <w:b/>
          <w:bCs/>
          <w:sz w:val="28"/>
          <w:szCs w:val="28"/>
        </w:rPr>
        <w:t>日，畅元国讯原股东</w:t>
      </w:r>
      <w:r>
        <w:rPr>
          <w:rFonts w:ascii="宋体" w:hAnsi="宋体" w:cs="宋体" w:eastAsia="宋体" w:hint="default"/>
          <w:b/>
          <w:bCs/>
          <w:sz w:val="28"/>
          <w:szCs w:val="28"/>
        </w:rPr>
        <w:t>2017</w:t>
      </w:r>
      <w:r>
        <w:rPr>
          <w:rFonts w:ascii="宋体" w:hAnsi="宋体" w:cs="宋体" w:eastAsia="宋体" w:hint="default"/>
          <w:b/>
          <w:bCs/>
          <w:sz w:val="28"/>
          <w:szCs w:val="28"/>
        </w:rPr>
        <w:t>年度应补偿股份数为</w:t>
      </w:r>
      <w:r>
        <w:rPr>
          <w:rFonts w:ascii="宋体" w:hAnsi="宋体" w:cs="宋体" w:eastAsia="宋体" w:hint="default"/>
          <w:b/>
          <w:bCs/>
          <w:sz w:val="28"/>
          <w:szCs w:val="28"/>
        </w:rPr>
        <w:t>28,836,603</w:t>
      </w:r>
      <w:r>
        <w:rPr>
          <w:rFonts w:ascii="宋体" w:hAnsi="宋体" w:cs="宋体" w:eastAsia="宋体" w:hint="default"/>
          <w:b/>
          <w:bCs/>
          <w:sz w:val="28"/>
          <w:szCs w:val="28"/>
        </w:rPr>
        <w:t>股，已完成回购注销</w:t>
      </w:r>
      <w:r>
        <w:rPr>
          <w:rFonts w:ascii="宋体" w:hAnsi="宋体" w:cs="宋体" w:eastAsia="宋体" w:hint="default"/>
          <w:b/>
          <w:bCs/>
          <w:w w:val="99"/>
          <w:sz w:val="28"/>
          <w:szCs w:val="28"/>
        </w:rPr>
        <w:t> </w:t>
      </w:r>
      <w:r>
        <w:rPr>
          <w:rFonts w:ascii="宋体" w:hAnsi="宋体" w:cs="宋体" w:eastAsia="宋体" w:hint="default"/>
          <w:b/>
          <w:bCs/>
          <w:sz w:val="28"/>
          <w:szCs w:val="28"/>
        </w:rPr>
        <w:t>21,500,572</w:t>
      </w:r>
      <w:r>
        <w:rPr>
          <w:rFonts w:ascii="宋体" w:hAnsi="宋体" w:cs="宋体" w:eastAsia="宋体" w:hint="default"/>
          <w:b/>
          <w:bCs/>
          <w:spacing w:val="-75"/>
          <w:sz w:val="28"/>
          <w:szCs w:val="28"/>
        </w:rPr>
        <w:t> </w:t>
      </w:r>
      <w:r>
        <w:rPr>
          <w:rFonts w:ascii="宋体" w:hAnsi="宋体" w:cs="宋体" w:eastAsia="宋体" w:hint="default"/>
          <w:b/>
          <w:bCs/>
          <w:sz w:val="28"/>
          <w:szCs w:val="28"/>
        </w:rPr>
        <w:t>股。公司将按照《发行股份及支付现金购买资产协议》等约定及相</w:t>
      </w:r>
      <w:r>
        <w:rPr>
          <w:rFonts w:ascii="宋体" w:hAnsi="宋体" w:cs="宋体" w:eastAsia="宋体" w:hint="default"/>
          <w:b/>
          <w:bCs/>
          <w:w w:val="99"/>
          <w:sz w:val="28"/>
          <w:szCs w:val="28"/>
        </w:rPr>
        <w:t> </w:t>
      </w:r>
      <w:r>
        <w:rPr>
          <w:rFonts w:ascii="宋体" w:hAnsi="宋体" w:cs="宋体" w:eastAsia="宋体" w:hint="default"/>
          <w:b/>
          <w:bCs/>
          <w:sz w:val="28"/>
          <w:szCs w:val="28"/>
        </w:rPr>
        <w:t>关法律法规并结合公司实际情况执行。</w:t>
      </w:r>
      <w:r>
        <w:rPr>
          <w:rFonts w:ascii="宋体" w:hAnsi="宋体" w:cs="宋体" w:eastAsia="宋体" w:hint="default"/>
          <w:sz w:val="28"/>
          <w:szCs w:val="28"/>
        </w:rPr>
      </w:r>
    </w:p>
    <w:p>
      <w:pPr>
        <w:spacing w:line="240" w:lineRule="auto" w:before="8"/>
        <w:rPr>
          <w:rFonts w:ascii="宋体" w:hAnsi="宋体" w:cs="宋体" w:eastAsia="宋体" w:hint="default"/>
          <w:b/>
          <w:bCs/>
          <w:sz w:val="21"/>
          <w:szCs w:val="21"/>
        </w:rPr>
      </w:pPr>
    </w:p>
    <w:p>
      <w:pPr>
        <w:spacing w:line="472" w:lineRule="auto" w:before="0"/>
        <w:ind w:left="716" w:right="817" w:firstLine="0"/>
        <w:jc w:val="left"/>
        <w:rPr>
          <w:rFonts w:ascii="宋体" w:hAnsi="宋体" w:cs="宋体" w:eastAsia="宋体" w:hint="default"/>
          <w:sz w:val="28"/>
          <w:szCs w:val="28"/>
        </w:rPr>
      </w:pPr>
      <w:r>
        <w:rPr>
          <w:rFonts w:ascii="宋体" w:hAnsi="宋体" w:cs="宋体" w:eastAsia="宋体" w:hint="default"/>
          <w:b/>
          <w:bCs/>
          <w:spacing w:val="-13"/>
          <w:w w:val="99"/>
          <w:sz w:val="28"/>
          <w:szCs w:val="28"/>
        </w:rPr>
        <w:t>（四）、人才管理的风险</w:t>
      </w:r>
      <w:r>
        <w:rPr>
          <w:rFonts w:ascii="宋体" w:hAnsi="宋体" w:cs="宋体" w:eastAsia="宋体" w:hint="default"/>
          <w:b/>
          <w:bCs/>
          <w:spacing w:val="-134"/>
          <w:w w:val="99"/>
          <w:sz w:val="28"/>
          <w:szCs w:val="28"/>
        </w:rPr>
        <w:t> </w:t>
      </w:r>
      <w:r>
        <w:rPr>
          <w:rFonts w:ascii="宋体" w:hAnsi="宋体" w:cs="宋体" w:eastAsia="宋体" w:hint="default"/>
          <w:b/>
          <w:bCs/>
          <w:spacing w:val="-134"/>
          <w:w w:val="99"/>
          <w:sz w:val="28"/>
          <w:szCs w:val="28"/>
        </w:rPr>
      </w:r>
      <w:r>
        <w:rPr>
          <w:rFonts w:ascii="宋体" w:hAnsi="宋体" w:cs="宋体" w:eastAsia="宋体" w:hint="default"/>
          <w:b/>
          <w:bCs/>
          <w:spacing w:val="3"/>
          <w:w w:val="95"/>
          <w:sz w:val="28"/>
          <w:szCs w:val="28"/>
        </w:rPr>
        <w:t>版权业务已经成为公司重要的业务组成部分之一，公司目前已经拥有稳定</w:t>
      </w:r>
      <w:r>
        <w:rPr>
          <w:rFonts w:ascii="宋体" w:hAnsi="宋体" w:cs="宋体" w:eastAsia="宋体" w:hint="default"/>
          <w:spacing w:val="3"/>
          <w:sz w:val="28"/>
          <w:szCs w:val="28"/>
        </w:rPr>
      </w:r>
    </w:p>
    <w:p>
      <w:pPr>
        <w:spacing w:line="408" w:lineRule="auto" w:before="0"/>
        <w:ind w:left="154" w:right="114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的版权服务管理团队和人才储备库，同时通过专业的人才管理措施稳定和壮大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优秀人才队伍，但与公司发展战略和发展目标的要求相比目前人才储备规模仍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有待进一步加强。公司将积极采取多种人才管理措施，加强激励措施，加强公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司人才储备，减少核心专业人才变动给公司经营业务带来的负面影响。同时上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市公司对畅元国讯的业务管理高度重视，根据畅元国讯的实际情况建立相应的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业务管理模式。公司建立健全版权事业管理层，将畅元国讯纳入上市公司子公</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pacing w:val="3"/>
          <w:w w:val="95"/>
          <w:sz w:val="28"/>
          <w:szCs w:val="28"/>
        </w:rPr>
        <w:t>司管理体系，持续促进上市公司和版权业务板块在业务、资源、文化等方面的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融合，充分发挥上市公司和版权业务板块之间的协同效应。</w:t>
      </w:r>
      <w:r>
        <w:rPr>
          <w:rFonts w:ascii="宋体" w:hAnsi="宋体" w:cs="宋体" w:eastAsia="宋体" w:hint="default"/>
          <w:sz w:val="28"/>
          <w:szCs w:val="28"/>
        </w:rPr>
      </w:r>
    </w:p>
    <w:p>
      <w:pPr>
        <w:spacing w:line="410" w:lineRule="auto" w:before="160"/>
        <w:ind w:left="154" w:right="817"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五、公司经本次董事会审议通过的利润分配预案为：公司计划不派发现金</w:t>
      </w:r>
      <w:r>
        <w:rPr>
          <w:rFonts w:ascii="宋体" w:hAnsi="宋体" w:cs="宋体" w:eastAsia="宋体" w:hint="default"/>
          <w:b/>
          <w:bCs/>
          <w:w w:val="99"/>
          <w:sz w:val="28"/>
          <w:szCs w:val="28"/>
        </w:rPr>
        <w:t> </w:t>
      </w:r>
      <w:r>
        <w:rPr>
          <w:rFonts w:ascii="宋体" w:hAnsi="宋体" w:cs="宋体" w:eastAsia="宋体" w:hint="default"/>
          <w:b/>
          <w:bCs/>
          <w:sz w:val="28"/>
          <w:szCs w:val="28"/>
        </w:rPr>
        <w:t>红利，不送红股，不以公积金转增股本。</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746" w:right="37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746" w:right="37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厦门安妮股份有限公司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微梦想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深圳市微梦想网络技术有限公司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畅元国讯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北京畅元国讯科技有限公司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全版权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北京安妮全版权科技发展有限公司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版全家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北京版全家科技发展有限公司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9869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817"/>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安妮股份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002235</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厦门安妮股份有限公司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安妮股份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Xiamen    anne  </w:t>
            </w:r>
            <w:r>
              <w:rPr>
                <w:rFonts w:ascii="Times New Roman"/>
                <w:spacing w:val="41"/>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Anne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福建省厦门市集美区杏林锦园南路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361002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福建省厦门市集美区杏林锦园南路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361002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www.anne.com.cn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anne@anne.com.cn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81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谢蓉</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厦门市集美区杏林锦园南路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厦门市集美区杏林锦园南路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0592-3152372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0592-3152372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0592-3152406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0592-3152406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chenwenjian@anne.com.cn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xierong@anne.com.cn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81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3"/>
                <w:sz w:val="18"/>
                <w:szCs w:val="18"/>
              </w:rPr>
              <w:t> </w:t>
            </w:r>
            <w:hyperlink r:id="rId13">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本公司投资者关系部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817"/>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260129249</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版权服务业务成为公司的主营业务之一。</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817"/>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陈菁佩、连伟</w:t>
            </w:r>
          </w:p>
        </w:tc>
      </w:tr>
    </w:tbl>
    <w:p>
      <w:pPr>
        <w:pStyle w:val="BodyText"/>
        <w:spacing w:line="240" w:lineRule="auto" w:before="51"/>
        <w:ind w:right="817"/>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17"/>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公司是否需追溯调整或重述以前年度会计数据</w:t>
      </w:r>
    </w:p>
    <w:p>
      <w:pPr>
        <w:pStyle w:val="BodyText"/>
        <w:spacing w:line="240" w:lineRule="auto" w:before="116"/>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714,872,486.11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658,420,472.76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430,550,980.22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75,525,209.45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-365,071,834.92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11,659,531.44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13,564,916.22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-411,132,588.76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4,692,880.04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-137,740,785.49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-22,309,892.36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-517.40%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74,531,562.84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0.1211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0.1211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2,521,858,973.64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2,495,861,011.91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2,678,409,732.23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2,186,643,871.73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2,217,695,298.47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2,373,922,960.03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8" w:lineRule="auto"/>
        <w:ind w:right="1120"/>
        <w:jc w:val="left"/>
        <w:rPr>
          <w:rFonts w:ascii="宋体" w:hAnsi="宋体" w:cs="宋体" w:eastAsia="宋体" w:hint="default"/>
        </w:rPr>
      </w:pPr>
      <w:bookmarkStart w:name="1、报告期内，公司归属于上市公司股东的净利润、归属于上市公司股东的扣除非经常性损" w:id="11"/>
      <w:bookmarkEnd w:id="11"/>
      <w:r>
        <w:rPr/>
      </w:r>
      <w:r>
        <w:rPr>
          <w:rFonts w:ascii="宋体" w:hAnsi="宋体" w:cs="宋体" w:eastAsia="宋体" w:hint="default"/>
        </w:rPr>
        <w:t>1</w:t>
      </w:r>
      <w:r>
        <w:rPr/>
        <w:t>、报告期内，公司归属于上市公司股东的净利润、归属于上市公司股东的扣除非经常性损益的净利润、基本每股收益、稀</w:t>
      </w:r>
      <w:r>
        <w:rPr>
          <w:spacing w:val="-81"/>
        </w:rPr>
        <w:t> </w:t>
      </w:r>
      <w:r>
        <w:rPr>
          <w:spacing w:val="-81"/>
        </w:rPr>
      </w:r>
      <w:r>
        <w:rPr/>
        <w:t>释每股收益分别比上年增加</w:t>
      </w:r>
      <w:r>
        <w:rPr>
          <w:spacing w:val="-42"/>
        </w:rPr>
        <w:t> </w:t>
      </w:r>
      <w:r>
        <w:rPr>
          <w:rFonts w:ascii="宋体" w:hAnsi="宋体" w:cs="宋体" w:eastAsia="宋体" w:hint="default"/>
          <w:spacing w:val="-7"/>
        </w:rPr>
        <w:t>120.69%</w:t>
      </w:r>
      <w:r>
        <w:rPr>
          <w:spacing w:val="-7"/>
        </w:rPr>
        <w:t>、</w:t>
      </w:r>
      <w:r>
        <w:rPr>
          <w:rFonts w:ascii="宋体" w:hAnsi="宋体" w:cs="宋体" w:eastAsia="宋体" w:hint="default"/>
          <w:spacing w:val="-7"/>
        </w:rPr>
        <w:t>103.30%</w:t>
      </w:r>
      <w:r>
        <w:rPr>
          <w:spacing w:val="-7"/>
        </w:rPr>
        <w:t>、</w:t>
      </w:r>
      <w:r>
        <w:rPr>
          <w:rFonts w:ascii="宋体" w:hAnsi="宋体" w:cs="宋体" w:eastAsia="宋体" w:hint="default"/>
          <w:spacing w:val="-7"/>
        </w:rPr>
        <w:t>120.61%</w:t>
      </w:r>
      <w:r>
        <w:rPr>
          <w:spacing w:val="-7"/>
        </w:rPr>
        <w:t>、</w:t>
      </w:r>
      <w:r>
        <w:rPr>
          <w:rFonts w:ascii="宋体" w:hAnsi="宋体" w:cs="宋体" w:eastAsia="宋体" w:hint="default"/>
          <w:spacing w:val="-7"/>
        </w:rPr>
        <w:t>120.61%</w:t>
      </w:r>
      <w:r>
        <w:rPr>
          <w:spacing w:val="-7"/>
        </w:rPr>
        <w:t>，主要是因为：公司</w:t>
      </w:r>
      <w:r>
        <w:rPr>
          <w:spacing w:val="-42"/>
        </w:rPr>
        <w:t> </w:t>
      </w:r>
      <w:r>
        <w:rPr>
          <w:rFonts w:ascii="宋体" w:hAnsi="宋体" w:cs="宋体" w:eastAsia="宋体" w:hint="default"/>
        </w:rPr>
        <w:t>2017</w:t>
      </w:r>
      <w:r>
        <w:rPr>
          <w:rFonts w:ascii="宋体" w:hAnsi="宋体" w:cs="宋体" w:eastAsia="宋体" w:hint="default"/>
          <w:spacing w:val="-42"/>
        </w:rPr>
        <w:t> </w:t>
      </w:r>
      <w:r>
        <w:rPr/>
        <w:t>年度计提资产减值准备</w:t>
      </w:r>
      <w:r>
        <w:rPr>
          <w:spacing w:val="-42"/>
        </w:rPr>
        <w:t> </w:t>
      </w:r>
      <w:r>
        <w:rPr>
          <w:rFonts w:ascii="宋体" w:hAnsi="宋体" w:cs="宋体" w:eastAsia="宋体" w:hint="default"/>
        </w:rPr>
        <w:t>39847.47</w:t>
      </w:r>
    </w:p>
    <w:p>
      <w:pPr>
        <w:pStyle w:val="BodyText"/>
        <w:spacing w:line="408" w:lineRule="auto" w:before="39"/>
        <w:ind w:right="1028"/>
        <w:jc w:val="left"/>
      </w:pPr>
      <w:r>
        <w:rPr/>
        <w:t>万元，</w:t>
      </w:r>
      <w:r>
        <w:rPr>
          <w:rFonts w:ascii="宋体" w:hAnsi="宋体" w:cs="宋体" w:eastAsia="宋体" w:hint="default"/>
        </w:rPr>
        <w:t>2018</w:t>
      </w:r>
      <w:r>
        <w:rPr>
          <w:rFonts w:ascii="宋体" w:hAnsi="宋体" w:cs="宋体" w:eastAsia="宋体" w:hint="default"/>
          <w:spacing w:val="-46"/>
        </w:rPr>
        <w:t> </w:t>
      </w:r>
      <w:r>
        <w:rPr/>
        <w:t>年度未发生商誉减值，且畅元国讯实现净利润比</w:t>
      </w:r>
      <w:r>
        <w:rPr>
          <w:spacing w:val="-46"/>
        </w:rPr>
        <w:t> </w:t>
      </w:r>
      <w:r>
        <w:rPr>
          <w:rFonts w:ascii="宋体" w:hAnsi="宋体" w:cs="宋体" w:eastAsia="宋体" w:hint="default"/>
        </w:rPr>
        <w:t>2017</w:t>
      </w:r>
      <w:r>
        <w:rPr>
          <w:rFonts w:ascii="宋体" w:hAnsi="宋体" w:cs="宋体" w:eastAsia="宋体" w:hint="default"/>
          <w:spacing w:val="-46"/>
        </w:rPr>
        <w:t> </w:t>
      </w:r>
      <w:r>
        <w:rPr/>
        <w:t>年度增加 </w:t>
      </w:r>
      <w:r>
        <w:rPr>
          <w:rFonts w:ascii="宋体" w:hAnsi="宋体" w:cs="宋体" w:eastAsia="宋体" w:hint="default"/>
        </w:rPr>
        <w:t>3073.98</w:t>
      </w:r>
      <w:r>
        <w:rPr>
          <w:rFonts w:ascii="宋体" w:hAnsi="宋体" w:cs="宋体" w:eastAsia="宋体" w:hint="default"/>
          <w:spacing w:val="-46"/>
        </w:rPr>
        <w:t> </w:t>
      </w:r>
      <w:r>
        <w:rPr/>
        <w:t>万元。 </w:t>
      </w:r>
      <w:r>
        <w:rPr>
          <w:rFonts w:ascii="宋体" w:hAnsi="宋体" w:cs="宋体" w:eastAsia="宋体" w:hint="default"/>
          <w:spacing w:val="-4"/>
        </w:rPr>
        <w:t>2</w:t>
      </w:r>
      <w:r>
        <w:rPr>
          <w:spacing w:val="-4"/>
        </w:rPr>
        <w:t>、报告期内，公司经营活动产生的现金流量净额比上年减少</w:t>
      </w:r>
      <w:r>
        <w:rPr>
          <w:spacing w:val="-52"/>
        </w:rPr>
        <w:t> </w:t>
      </w:r>
      <w:r>
        <w:rPr>
          <w:rFonts w:ascii="宋体" w:hAnsi="宋体" w:cs="宋体" w:eastAsia="宋体" w:hint="default"/>
        </w:rPr>
        <w:t>517.40%</w:t>
      </w:r>
      <w:r>
        <w:rPr/>
        <w:t>，是因为报告期内公司影视剧联合摄制投入</w:t>
      </w:r>
      <w:r>
        <w:rPr>
          <w:spacing w:val="-53"/>
        </w:rPr>
        <w:t> </w:t>
      </w:r>
      <w:r>
        <w:rPr>
          <w:rFonts w:ascii="宋体" w:hAnsi="宋体" w:cs="宋体" w:eastAsia="宋体" w:hint="default"/>
        </w:rPr>
        <w:t>9800</w:t>
      </w:r>
      <w:r>
        <w:rPr>
          <w:rFonts w:ascii="宋体" w:hAnsi="宋体" w:cs="宋体" w:eastAsia="宋体" w:hint="default"/>
          <w:spacing w:val="-53"/>
        </w:rPr>
        <w:t> </w:t>
      </w:r>
      <w:r>
        <w:rPr/>
        <w:t>万元，</w:t>
      </w:r>
    </w:p>
    <w:p>
      <w:pPr>
        <w:pStyle w:val="BodyText"/>
        <w:spacing w:line="240" w:lineRule="auto" w:before="38"/>
        <w:ind w:right="817"/>
        <w:jc w:val="left"/>
      </w:pPr>
      <w:r>
        <w:rPr>
          <w:rFonts w:ascii="宋体" w:hAnsi="宋体" w:cs="宋体" w:eastAsia="宋体" w:hint="default"/>
        </w:rPr>
        <w:t>2018</w:t>
      </w:r>
      <w:r>
        <w:rPr>
          <w:rFonts w:ascii="宋体" w:hAnsi="宋体" w:cs="宋体" w:eastAsia="宋体" w:hint="default"/>
          <w:spacing w:val="-46"/>
        </w:rPr>
        <w:t> </w:t>
      </w:r>
      <w:r>
        <w:rPr/>
        <w:t>年公司版权家大数据平台建设投入较上上年增加</w:t>
      </w:r>
      <w:r>
        <w:rPr>
          <w:spacing w:val="-45"/>
        </w:rPr>
        <w:t> </w:t>
      </w:r>
      <w:r>
        <w:rPr>
          <w:rFonts w:ascii="宋体" w:hAnsi="宋体" w:cs="宋体" w:eastAsia="宋体" w:hint="default"/>
        </w:rPr>
        <w:t>3889</w:t>
      </w:r>
      <w:r>
        <w:rPr>
          <w:rFonts w:ascii="宋体" w:hAnsi="宋体" w:cs="宋体" w:eastAsia="宋体" w:hint="default"/>
          <w:spacing w:val="-46"/>
        </w:rPr>
        <w:t> </w:t>
      </w:r>
      <w:r>
        <w:rPr/>
        <w:t>万元。</w:t>
      </w:r>
    </w:p>
    <w:p>
      <w:pPr>
        <w:spacing w:line="240" w:lineRule="auto" w:before="4"/>
        <w:rPr>
          <w:rFonts w:ascii="宋体" w:hAnsi="宋体" w:cs="宋体" w:eastAsia="宋体" w:hint="default"/>
          <w:sz w:val="24"/>
          <w:szCs w:val="24"/>
        </w:rPr>
      </w:pPr>
    </w:p>
    <w:p>
      <w:pPr>
        <w:pStyle w:val="Heading2"/>
        <w:spacing w:line="240" w:lineRule="auto"/>
        <w:ind w:right="817"/>
        <w:jc w:val="left"/>
        <w:rPr>
          <w:b w:val="0"/>
          <w:bCs w:val="0"/>
        </w:rPr>
      </w:pPr>
      <w:bookmarkStart w:name="七、境内外会计准则下会计数据差异" w:id="12"/>
      <w:bookmarkEnd w:id="12"/>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5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right="817"/>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817"/>
        <w:jc w:val="left"/>
        <w:rPr>
          <w:b w:val="0"/>
          <w:bCs w:val="0"/>
        </w:rPr>
      </w:pPr>
      <w:bookmarkStart w:name="八、分季度主要财务指标" w:id="15"/>
      <w:bookmarkEnd w:id="15"/>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194,875,361.66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145,707,597.95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129,981,373.04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244,308,153.45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26,233,259.73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23,660,107.57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17,013,472.09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8,618,370.05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17,536,516.66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11,670,381.58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10,229,435.13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-25,871,417.15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-56,786,131.00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-101,557,667.38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-8,756,266.25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29,359,279.14</w:t>
            </w:r>
          </w:p>
        </w:tc>
      </w:tr>
    </w:tbl>
    <w:p>
      <w:pPr>
        <w:pStyle w:val="BodyText"/>
        <w:spacing w:line="240" w:lineRule="auto" w:before="51"/>
        <w:ind w:right="817"/>
        <w:jc w:val="left"/>
      </w:pPr>
      <w:r>
        <w:rPr/>
        <w:t>上述财务指标或其加总数是否与公司已披露季度报告、半年度报告相关财务指标存在重大差异</w:t>
      </w:r>
    </w:p>
    <w:p>
      <w:pPr>
        <w:pStyle w:val="BodyText"/>
        <w:spacing w:line="240" w:lineRule="auto" w:before="117"/>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九、非经常性损益项目及金额" w:id="16"/>
      <w:bookmarkEnd w:id="16"/>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58,335.34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13,619.58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1,131,184.05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213,791.88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8,433,844.67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3,874,233.25</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283,111.11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34,154,340.86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36,947,838.37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635,678.07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1,144,868.02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28,074,863.78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-85,653.56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-40,757.06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540,862.23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167,258.00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374,599.93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40,276.93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61,960,293.23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46,060,753.84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6,966,651.40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7"/>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817"/>
        <w:jc w:val="left"/>
        <w:rPr>
          <w:b w:val="0"/>
          <w:bCs w:val="0"/>
        </w:rPr>
      </w:pPr>
      <w:bookmarkStart w:name="_TOC_250009" w:id="17"/>
      <w:bookmarkStart w:name="第三节 公司业务概要" w:id="18"/>
      <w:r>
        <w:rPr>
          <w:b w:val="0"/>
          <w:bCs w:val="0"/>
        </w:rPr>
      </w:r>
      <w:r>
        <w:rPr/>
        <w:t>第三节</w:t>
      </w:r>
      <w:r>
        <w:rPr>
          <w:spacing w:val="-7"/>
        </w:rPr>
        <w:t> </w:t>
      </w:r>
      <w:r>
        <w:rPr/>
        <w:t>公司业务概要</w:t>
      </w:r>
      <w:bookmarkEnd w:id="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17"/>
        <w:jc w:val="left"/>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477" w:lineRule="auto" w:before="103"/>
        <w:ind w:left="511" w:right="817" w:firstLine="2"/>
        <w:jc w:val="left"/>
      </w:pPr>
      <w:r>
        <w:rPr/>
        <w:t>一、公司从事的主要业务 </w:t>
      </w:r>
      <w:r>
        <w:rPr>
          <w:spacing w:val="-2"/>
        </w:rPr>
        <w:t>安妮股份是一家以互联网应用与服务为主要领域和方向的综合企业集团，报告期内，公司从事的主要业务为版权业务及</w:t>
      </w:r>
    </w:p>
    <w:p>
      <w:pPr>
        <w:pStyle w:val="BodyText"/>
        <w:spacing w:line="240" w:lineRule="auto" w:before="54"/>
        <w:ind w:right="817"/>
        <w:jc w:val="left"/>
      </w:pPr>
      <w:r>
        <w:rPr/>
        <w:t>商务信息用纸服务。</w:t>
      </w:r>
    </w:p>
    <w:p>
      <w:pPr>
        <w:spacing w:line="240" w:lineRule="auto" w:before="10"/>
        <w:rPr>
          <w:rFonts w:ascii="宋体" w:hAnsi="宋体" w:cs="宋体" w:eastAsia="宋体" w:hint="default"/>
          <w:sz w:val="17"/>
          <w:szCs w:val="17"/>
        </w:rPr>
      </w:pPr>
    </w:p>
    <w:p>
      <w:pPr>
        <w:pStyle w:val="BodyText"/>
        <w:spacing w:line="477" w:lineRule="auto"/>
        <w:ind w:right="817" w:firstLine="357"/>
        <w:jc w:val="left"/>
      </w:pPr>
      <w:r>
        <w:rPr/>
        <w:t>（</w:t>
      </w:r>
      <w:r>
        <w:rPr>
          <w:rFonts w:ascii="宋体" w:hAnsi="宋体" w:cs="宋体" w:eastAsia="宋体" w:hint="default"/>
        </w:rPr>
        <w:t>1</w:t>
      </w:r>
      <w:r>
        <w:rPr/>
        <w:t>）版权业务，公司以“让版权实现更大价值”为目标，全面开展版权综合服务，依照“创作即确权、使用即授权、 </w:t>
      </w:r>
      <w:r>
        <w:rPr>
          <w:spacing w:val="-4"/>
        </w:rPr>
        <w:t>发现即维权”的业务思路，构建了以版权保护、版权大数据、版权授权交易、</w:t>
      </w:r>
      <w:r>
        <w:rPr>
          <w:rFonts w:ascii="宋体" w:hAnsi="宋体" w:cs="宋体" w:eastAsia="宋体" w:hint="default"/>
          <w:spacing w:val="-4"/>
        </w:rPr>
        <w:t>IP</w:t>
      </w:r>
      <w:r>
        <w:rPr>
          <w:spacing w:val="-4"/>
        </w:rPr>
        <w:t>孵化开发为核心的业务体系，并在此基础上，</w:t>
      </w:r>
      <w:r>
        <w:rPr>
          <w:spacing w:val="-40"/>
        </w:rPr>
        <w:t> </w:t>
      </w:r>
      <w:r>
        <w:rPr>
          <w:spacing w:val="-40"/>
        </w:rPr>
      </w:r>
      <w:r>
        <w:rPr>
          <w:spacing w:val="-2"/>
        </w:rPr>
        <w:t>紧密围绕影视、艺术、动漫、新媒体、出版等行业，通过自建、投资、合作等形式，依托数字内容的增长及版权保护体系的</w:t>
      </w:r>
      <w:r>
        <w:rPr>
          <w:spacing w:val="-67"/>
        </w:rPr>
        <w:t> </w:t>
      </w:r>
      <w:r>
        <w:rPr>
          <w:spacing w:val="-67"/>
        </w:rPr>
      </w:r>
      <w:r>
        <w:rPr/>
        <w:t>日益完备，促进版权生态体系的建设；</w:t>
      </w:r>
    </w:p>
    <w:p>
      <w:pPr>
        <w:pStyle w:val="BodyText"/>
        <w:spacing w:line="477" w:lineRule="auto" w:before="54"/>
        <w:ind w:right="1131" w:firstLine="357"/>
        <w:jc w:val="both"/>
      </w:pPr>
      <w:r>
        <w:rPr>
          <w:spacing w:val="-2"/>
        </w:rPr>
        <w:t>公司在原有传统互联网营销服务的基础上转型升级，构建以账号运营、账号营销、账号广告及电商销售为业务模式的新</w:t>
      </w:r>
      <w:r>
        <w:rPr/>
        <w:t> </w:t>
      </w:r>
      <w:r>
        <w:rPr>
          <w:spacing w:val="-2"/>
        </w:rPr>
        <w:t>媒体矩阵，并将其纳入至版权事业统筹规划，从而为客户提供依托于社会化媒体的精细化电子商务推广、网络营销、网游运</w:t>
      </w:r>
      <w:r>
        <w:rPr>
          <w:spacing w:val="-66"/>
        </w:rPr>
        <w:t> </w:t>
      </w:r>
      <w:r>
        <w:rPr>
          <w:spacing w:val="-66"/>
        </w:rPr>
      </w:r>
      <w:r>
        <w:rPr/>
        <w:t>营、品牌营销、公关传播策划等营销推广服务；</w:t>
      </w:r>
    </w:p>
    <w:p>
      <w:pPr>
        <w:pStyle w:val="BodyText"/>
        <w:spacing w:line="477" w:lineRule="auto" w:before="54"/>
        <w:ind w:right="1125" w:firstLine="357"/>
        <w:jc w:val="left"/>
      </w:pPr>
      <w:r>
        <w:rPr/>
        <w:t>（</w:t>
      </w:r>
      <w:r>
        <w:rPr>
          <w:rFonts w:ascii="宋体" w:hAnsi="宋体" w:cs="宋体" w:eastAsia="宋体" w:hint="default"/>
        </w:rPr>
        <w:t>2</w:t>
      </w:r>
      <w:r>
        <w:rPr/>
        <w:t>）商务信息用纸服务，公司以客户需求为导向，为客户提供以标签为主的商用定制产品、以复印纸、热敏纸为主的 办公用纸产品及为国家彩票中心提供产品制造供应与服务。</w:t>
      </w:r>
    </w:p>
    <w:p>
      <w:pPr>
        <w:pStyle w:val="BodyText"/>
        <w:spacing w:line="240" w:lineRule="auto" w:before="54"/>
        <w:ind w:left="514" w:right="817"/>
        <w:jc w:val="left"/>
      </w:pPr>
      <w:r>
        <w:rPr/>
        <w:t>二、公司所属行业的发展</w:t>
      </w:r>
    </w:p>
    <w:p>
      <w:pPr>
        <w:spacing w:line="240" w:lineRule="auto" w:before="10"/>
        <w:rPr>
          <w:rFonts w:ascii="宋体" w:hAnsi="宋体" w:cs="宋体" w:eastAsia="宋体" w:hint="default"/>
          <w:sz w:val="17"/>
          <w:szCs w:val="17"/>
        </w:rPr>
      </w:pPr>
    </w:p>
    <w:p>
      <w:pPr>
        <w:pStyle w:val="BodyText"/>
        <w:spacing w:line="477" w:lineRule="auto"/>
        <w:ind w:left="514" w:right="1122"/>
        <w:jc w:val="left"/>
      </w:pPr>
      <w:r>
        <w:rPr/>
        <w:t>（</w:t>
      </w:r>
      <w:r>
        <w:rPr>
          <w:rFonts w:ascii="宋体" w:hAnsi="宋体" w:cs="宋体" w:eastAsia="宋体" w:hint="default"/>
        </w:rPr>
        <w:t>1</w:t>
      </w:r>
      <w:r>
        <w:rPr/>
        <w:t>）版权保护力度增大促进版权行业发展 国家对著作权保护力度不断加大，相关法律不断完善，公众版权意识不断增强， </w:t>
      </w:r>
      <w:r>
        <w:rPr>
          <w:rFonts w:ascii="宋体" w:hAnsi="宋体" w:cs="宋体" w:eastAsia="宋体" w:hint="default"/>
        </w:rPr>
        <w:t>2018</w:t>
      </w:r>
      <w:r>
        <w:rPr/>
        <w:t>年第十三届全国人大《政府工作</w:t>
      </w:r>
    </w:p>
    <w:p>
      <w:pPr>
        <w:pStyle w:val="BodyText"/>
        <w:spacing w:line="477" w:lineRule="auto" w:before="54"/>
        <w:ind w:right="1028"/>
        <w:jc w:val="left"/>
      </w:pPr>
      <w:r>
        <w:rPr/>
        <w:t>报告》中明确指出：“强化知识产权保护，实行侵权惩罚性赔偿制度”。</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27</w:t>
      </w:r>
      <w:r>
        <w:rPr/>
        <w:t>日，中共中央办公厅国务院办公厅印 </w:t>
      </w:r>
      <w:r>
        <w:rPr>
          <w:spacing w:val="-2"/>
        </w:rPr>
        <w:t>发《关于加强知识产权审判领域改革创新若干问题的意见》。《意见》是“两办”印发的第一个专门面向知识产权审判的里</w:t>
      </w:r>
      <w:r>
        <w:rPr>
          <w:spacing w:val="-66"/>
        </w:rPr>
        <w:t> </w:t>
      </w:r>
      <w:r>
        <w:rPr>
          <w:spacing w:val="-66"/>
        </w:rPr>
      </w:r>
      <w:r>
        <w:rPr>
          <w:spacing w:val="-2"/>
        </w:rPr>
        <w:t>程碑式的纲领性文件，确立了新时代人民法院知识产权审判工作的指导思想、基本原则、改革目标和重点措施，将从程序和</w:t>
      </w:r>
      <w:r>
        <w:rPr>
          <w:spacing w:val="-66"/>
        </w:rPr>
        <w:t> </w:t>
      </w:r>
      <w:r>
        <w:rPr>
          <w:spacing w:val="-66"/>
        </w:rPr>
      </w:r>
      <w:r>
        <w:rPr>
          <w:spacing w:val="-3"/>
        </w:rPr>
        <w:t>制度上全面加快我国知识产权保护的审判体系和审判标准的现代化进程。</w:t>
      </w:r>
      <w:r>
        <w:rPr>
          <w:rFonts w:ascii="宋体" w:hAnsi="宋体" w:cs="宋体" w:eastAsia="宋体" w:hint="default"/>
          <w:spacing w:val="-3"/>
        </w:rPr>
        <w:t>2018</w:t>
      </w:r>
      <w:r>
        <w:rPr>
          <w:rFonts w:ascii="宋体" w:hAnsi="宋体" w:cs="宋体" w:eastAsia="宋体" w:hint="default"/>
          <w:spacing w:val="37"/>
        </w:rPr>
        <w:t> </w:t>
      </w:r>
      <w:r>
        <w:rPr>
          <w:spacing w:val="-5"/>
        </w:rPr>
        <w:t>年</w:t>
      </w:r>
      <w:r>
        <w:rPr>
          <w:rFonts w:ascii="宋体" w:hAnsi="宋体" w:cs="宋体" w:eastAsia="宋体" w:hint="default"/>
          <w:spacing w:val="-5"/>
        </w:rPr>
        <w:t>4</w:t>
      </w:r>
      <w:r>
        <w:rPr>
          <w:spacing w:val="-5"/>
        </w:rPr>
        <w:t>月，习近平总书记在博鳌亚洲论坛中表示：</w:t>
      </w:r>
      <w:r>
        <w:rPr>
          <w:spacing w:val="-88"/>
        </w:rPr>
        <w:t> </w:t>
      </w:r>
      <w:r>
        <w:rPr>
          <w:spacing w:val="-88"/>
        </w:rPr>
      </w:r>
      <w:r>
        <w:rPr/>
        <w:t>“将加强知识产权保护，重新组建国家知识产权局，加大执法力度，提高违法成本，充分发挥法律的震慑力。” </w:t>
      </w:r>
      <w:r>
        <w:rPr>
          <w:rFonts w:ascii="宋体" w:hAnsi="宋体" w:cs="宋体" w:eastAsia="宋体" w:hint="default"/>
        </w:rPr>
        <w:t>2018</w:t>
      </w:r>
      <w:r>
        <w:rPr/>
        <w:t>年</w:t>
      </w:r>
      <w:r>
        <w:rPr>
          <w:rFonts w:ascii="宋体" w:hAnsi="宋体" w:cs="宋体" w:eastAsia="宋体" w:hint="default"/>
        </w:rPr>
        <w:t>8 </w:t>
      </w:r>
      <w:r>
        <w:rPr/>
        <w:t>月，国家知识产权局发布《“互联网</w:t>
      </w:r>
      <w:r>
        <w:rPr>
          <w:rFonts w:ascii="宋体" w:hAnsi="宋体" w:cs="宋体" w:eastAsia="宋体" w:hint="default"/>
        </w:rPr>
        <w:t>+</w:t>
      </w:r>
      <w:r>
        <w:rPr/>
        <w:t>”知识产权保护工作方案》，明确工作目标“到</w:t>
      </w:r>
      <w:r>
        <w:rPr>
          <w:rFonts w:ascii="宋体" w:hAnsi="宋体" w:cs="宋体" w:eastAsia="宋体" w:hint="default"/>
        </w:rPr>
        <w:t>2020</w:t>
      </w:r>
      <w:r>
        <w:rPr/>
        <w:t>年，知识产权侵权假冒线索在线 </w:t>
      </w:r>
      <w:r>
        <w:rPr>
          <w:spacing w:val="-2"/>
        </w:rPr>
        <w:t>识别、实时监测、源头追溯的技术支撑体系基本建成，知识产权相关数据库、产品和服务数据库构建完成，全流程的知识产</w:t>
      </w:r>
      <w:r>
        <w:rPr>
          <w:spacing w:val="-66"/>
        </w:rPr>
        <w:t> </w:t>
      </w:r>
      <w:r>
        <w:rPr>
          <w:spacing w:val="-66"/>
        </w:rPr>
      </w:r>
      <w:r>
        <w:rPr/>
        <w:t>权执法维权指导管理系统运行通畅。” “互联网</w:t>
      </w:r>
      <w:r>
        <w:rPr>
          <w:rFonts w:ascii="宋体" w:hAnsi="宋体" w:cs="宋体" w:eastAsia="宋体" w:hint="default"/>
        </w:rPr>
        <w:t>+</w:t>
      </w:r>
      <w:r>
        <w:rPr/>
        <w:t>”知识产权保护模式在全系统得到广泛应用，“互联网</w:t>
      </w:r>
      <w:r>
        <w:rPr>
          <w:rFonts w:ascii="宋体" w:hAnsi="宋体" w:cs="宋体" w:eastAsia="宋体" w:hint="default"/>
        </w:rPr>
        <w:t>+</w:t>
      </w:r>
      <w:r>
        <w:rPr/>
        <w:t>”知识产权保护 工作机制基本形成，线上知识产权侵权假冒治理水平明显提高，线下源头追溯精准快捷，知识产权执法维权效率显著提升，</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2"/>
        <w:jc w:val="left"/>
      </w:pPr>
      <w:r>
        <w:rPr/>
        <w:t>各类知识产权侵权假冒行为受到严厉打击，知识产权保护环境明显改善。政策的出台为我国版权事业发展注入了强劲动力， 为建设版权强国和创新型国家提供了保障。</w:t>
      </w:r>
    </w:p>
    <w:p>
      <w:pPr>
        <w:pStyle w:val="BodyText"/>
        <w:spacing w:line="477" w:lineRule="auto" w:before="54"/>
        <w:ind w:right="817" w:firstLine="360"/>
        <w:jc w:val="left"/>
      </w:pPr>
      <w:r>
        <w:rPr>
          <w:spacing w:val="-2"/>
        </w:rPr>
        <w:t>中国国家版权局网络版权产业研究基地发布的《中国网络版权产业发展报告（</w:t>
      </w:r>
      <w:r>
        <w:rPr>
          <w:rFonts w:ascii="宋体" w:hAnsi="宋体" w:cs="宋体" w:eastAsia="宋体" w:hint="default"/>
          <w:spacing w:val="-2"/>
        </w:rPr>
        <w:t>2018</w:t>
      </w:r>
      <w:r>
        <w:rPr>
          <w:spacing w:val="-2"/>
        </w:rPr>
        <w:t>）》显示，根据测算，</w:t>
      </w:r>
      <w:r>
        <w:rPr>
          <w:rFonts w:ascii="宋体" w:hAnsi="宋体" w:cs="宋体" w:eastAsia="宋体" w:hint="default"/>
          <w:spacing w:val="-2"/>
        </w:rPr>
        <w:t>2017</w:t>
      </w:r>
      <w:r>
        <w:rPr>
          <w:spacing w:val="-2"/>
        </w:rPr>
        <w:t>年中国网</w:t>
      </w:r>
      <w:r>
        <w:rPr/>
        <w:t> </w:t>
      </w:r>
      <w:r>
        <w:rPr>
          <w:spacing w:val="-2"/>
        </w:rPr>
        <w:t>络版权产业的市场规模为</w:t>
      </w:r>
      <w:r>
        <w:rPr>
          <w:rFonts w:ascii="宋体" w:hAnsi="宋体" w:cs="宋体" w:eastAsia="宋体" w:hint="default"/>
          <w:spacing w:val="-2"/>
        </w:rPr>
        <w:t>6365</w:t>
      </w:r>
      <w:r>
        <w:rPr>
          <w:spacing w:val="-2"/>
        </w:rPr>
        <w:t>亿元人民币，相较</w:t>
      </w:r>
      <w:r>
        <w:rPr>
          <w:rFonts w:ascii="宋体" w:hAnsi="宋体" w:cs="宋体" w:eastAsia="宋体" w:hint="default"/>
          <w:spacing w:val="-2"/>
        </w:rPr>
        <w:t>2016</w:t>
      </w:r>
      <w:r>
        <w:rPr>
          <w:spacing w:val="-2"/>
        </w:rPr>
        <w:t>年增长</w:t>
      </w:r>
      <w:r>
        <w:rPr>
          <w:rFonts w:ascii="宋体" w:hAnsi="宋体" w:cs="宋体" w:eastAsia="宋体" w:hint="default"/>
          <w:spacing w:val="-2"/>
        </w:rPr>
        <w:t>27.2%</w:t>
      </w:r>
      <w:r>
        <w:rPr>
          <w:spacing w:val="-2"/>
        </w:rPr>
        <w:t>。其中，中国网络版权产业用户付费规模为</w:t>
      </w:r>
      <w:r>
        <w:rPr>
          <w:rFonts w:ascii="宋体" w:hAnsi="宋体" w:cs="宋体" w:eastAsia="宋体" w:hint="default"/>
          <w:spacing w:val="-2"/>
        </w:rPr>
        <w:t>3184</w:t>
      </w:r>
      <w:r>
        <w:rPr>
          <w:spacing w:val="-2"/>
        </w:rPr>
        <w:t>亿人民币，</w:t>
      </w:r>
      <w:r>
        <w:rPr>
          <w:spacing w:val="-48"/>
        </w:rPr>
        <w:t> </w:t>
      </w:r>
      <w:r>
        <w:rPr/>
        <w:t>占比突破</w:t>
      </w:r>
      <w:r>
        <w:rPr>
          <w:rFonts w:ascii="宋体" w:hAnsi="宋体" w:cs="宋体" w:eastAsia="宋体" w:hint="default"/>
        </w:rPr>
        <w:t>50%</w:t>
      </w:r>
      <w:r>
        <w:rPr/>
        <w:t>。近年来我国版权产业呈持续增长态势，网络版权产业增长较快，版权产业对促进经济社会发展的重要作用日 益凸显。</w:t>
      </w:r>
    </w:p>
    <w:p>
      <w:pPr>
        <w:pStyle w:val="BodyText"/>
        <w:spacing w:line="477" w:lineRule="auto" w:before="54"/>
        <w:ind w:left="514" w:right="817"/>
        <w:jc w:val="left"/>
      </w:pPr>
      <w:r>
        <w:rPr/>
        <w:t>（</w:t>
      </w:r>
      <w:r>
        <w:rPr>
          <w:rFonts w:ascii="宋体" w:hAnsi="宋体" w:cs="宋体" w:eastAsia="宋体" w:hint="default"/>
        </w:rPr>
        <w:t>2</w:t>
      </w:r>
      <w:r>
        <w:rPr/>
        <w:t>）技术创新驱动版权产业升级 </w:t>
      </w:r>
      <w:r>
        <w:rPr>
          <w:spacing w:val="-2"/>
        </w:rPr>
        <w:t>移动互联网时代使得“人人都是版权人”，中国网络版权市场从流量经济向内容经济转变，以数字文化创意内容为基础</w:t>
      </w:r>
    </w:p>
    <w:p>
      <w:pPr>
        <w:pStyle w:val="BodyText"/>
        <w:spacing w:line="477" w:lineRule="auto" w:before="54"/>
        <w:ind w:right="817"/>
        <w:jc w:val="left"/>
      </w:pPr>
      <w:r>
        <w:rPr/>
        <w:t>的网络版权产业蓬勃发展，一部手机、一个</w:t>
      </w:r>
      <w:r>
        <w:rPr>
          <w:rFonts w:ascii="宋体" w:hAnsi="宋体" w:cs="宋体" w:eastAsia="宋体" w:hint="default"/>
        </w:rPr>
        <w:t>DV</w:t>
      </w:r>
      <w:r>
        <w:rPr/>
        <w:t>即可创作，使得内容创作从专业转向大众化，工信部信息中心发布的《</w:t>
      </w:r>
      <w:r>
        <w:rPr>
          <w:rFonts w:ascii="宋体" w:hAnsi="宋体" w:cs="宋体" w:eastAsia="宋体" w:hint="default"/>
        </w:rPr>
        <w:t>2018 </w:t>
      </w:r>
      <w:r>
        <w:rPr>
          <w:spacing w:val="-4"/>
        </w:rPr>
        <w:t>年泛娱乐产业白皮书》指出，泛娱乐新兴业态百花齐放，步入全民创意大时代。行业平台新业态不断涌现，自媒体、短视频、</w:t>
      </w:r>
      <w:r>
        <w:rPr>
          <w:spacing w:val="-44"/>
        </w:rPr>
        <w:t> </w:t>
      </w:r>
      <w:r>
        <w:rPr>
          <w:spacing w:val="-44"/>
        </w:rPr>
      </w:r>
      <w:r>
        <w:rPr>
          <w:spacing w:val="-2"/>
        </w:rPr>
        <w:t>网游等泛娱乐产业细分领域“玩法”多元，优质版权内容需要创作，更需要传播、消费及保护。而大数据、人工智能、云计</w:t>
      </w:r>
      <w:r>
        <w:rPr>
          <w:spacing w:val="-69"/>
        </w:rPr>
        <w:t> </w:t>
      </w:r>
      <w:r>
        <w:rPr>
          <w:spacing w:val="-69"/>
        </w:rPr>
      </w:r>
      <w:r>
        <w:rPr/>
        <w:t>算机区块链等技术的应用，已渗透到版权产业的各个领域。国家知识产权局印发《“互联网</w:t>
      </w:r>
      <w:r>
        <w:rPr>
          <w:rFonts w:ascii="宋体" w:hAnsi="宋体" w:cs="宋体" w:eastAsia="宋体" w:hint="default"/>
        </w:rPr>
        <w:t>+</w:t>
      </w:r>
      <w:r>
        <w:rPr/>
        <w:t>”知识产权保护工作方案》提 </w:t>
      </w:r>
      <w:r>
        <w:rPr>
          <w:spacing w:val="-4"/>
        </w:rPr>
        <w:t>出，要发挥大数据、人工智能等信息技术在知识产权侵权假冒的在线识别、实时监测、源头追溯中的作用，建设基础数据库、</w:t>
      </w:r>
      <w:r>
        <w:rPr>
          <w:spacing w:val="-44"/>
        </w:rPr>
        <w:t> </w:t>
      </w:r>
      <w:r>
        <w:rPr>
          <w:spacing w:val="-44"/>
        </w:rPr>
      </w:r>
      <w:r>
        <w:rPr>
          <w:spacing w:val="-2"/>
        </w:rPr>
        <w:t>侵权假冒线索智能检测系统，实现智能检测系统与相关系统的对接。大数据、人工智能技术大大提高了版权内容的创作、传</w:t>
      </w:r>
      <w:r>
        <w:rPr>
          <w:spacing w:val="-66"/>
        </w:rPr>
        <w:t> </w:t>
      </w:r>
      <w:r>
        <w:rPr>
          <w:spacing w:val="-66"/>
        </w:rPr>
      </w:r>
      <w:r>
        <w:rPr>
          <w:spacing w:val="-2"/>
        </w:rPr>
        <w:t>播速度；云计算、区块链技术的应用为版权登记、确权、交易及监测维权提供了技术支持。技术创新已成为版权产业领域发</w:t>
      </w:r>
      <w:r>
        <w:rPr>
          <w:spacing w:val="-66"/>
        </w:rPr>
        <w:t> </w:t>
      </w:r>
      <w:r>
        <w:rPr>
          <w:spacing w:val="-66"/>
        </w:rPr>
      </w:r>
      <w:r>
        <w:rPr/>
        <w:t>展升级的核心驱动力。</w:t>
      </w:r>
    </w:p>
    <w:p>
      <w:pPr>
        <w:pStyle w:val="BodyText"/>
        <w:spacing w:line="477" w:lineRule="auto" w:before="54"/>
        <w:ind w:right="1132" w:firstLine="420"/>
        <w:jc w:val="both"/>
      </w:pPr>
      <w:r>
        <w:rPr/>
        <w:t>当前中国网络版权产业继续保持快速增长的同时，产业结构也更加细分和多元化，直播、音乐、文学、视频这些内容 </w:t>
      </w:r>
      <w:r>
        <w:rPr>
          <w:spacing w:val="-2"/>
        </w:rPr>
        <w:t>类业务的比例在不断提高，细分产业的结构更加多元化，用户付费比例不断提升标志着中国的网络版权产业将进入越来越重</w:t>
      </w:r>
      <w:r>
        <w:rPr>
          <w:spacing w:val="-64"/>
        </w:rPr>
        <w:t> </w:t>
      </w:r>
      <w:r>
        <w:rPr>
          <w:spacing w:val="-64"/>
        </w:rPr>
      </w:r>
      <w:r>
        <w:rPr/>
        <w:t>视内容质量的新时代。</w:t>
      </w:r>
    </w:p>
    <w:p>
      <w:pPr>
        <w:spacing w:line="240" w:lineRule="auto" w:before="7"/>
        <w:rPr>
          <w:rFonts w:ascii="宋体" w:hAnsi="宋体" w:cs="宋体" w:eastAsia="宋体" w:hint="default"/>
          <w:sz w:val="17"/>
          <w:szCs w:val="17"/>
        </w:rPr>
      </w:pPr>
    </w:p>
    <w:p>
      <w:pPr>
        <w:pStyle w:val="Heading2"/>
        <w:spacing w:line="240" w:lineRule="auto"/>
        <w:ind w:right="817"/>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817"/>
        <w:jc w:val="left"/>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17"/>
        <w:jc w:val="left"/>
        <w:rPr>
          <w:b w:val="0"/>
          <w:bCs w:val="0"/>
        </w:rPr>
      </w:pPr>
      <w:bookmarkStart w:name="三、核心竞争力分析" w:id="23"/>
      <w:bookmarkEnd w:id="23"/>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106"/>
        <w:ind w:left="574" w:right="817"/>
        <w:jc w:val="left"/>
      </w:pPr>
      <w:r>
        <w:rPr/>
        <w:t>一、版权业务</w:t>
      </w:r>
    </w:p>
    <w:p>
      <w:pPr>
        <w:spacing w:line="240" w:lineRule="auto" w:before="10"/>
        <w:rPr>
          <w:rFonts w:ascii="宋体" w:hAnsi="宋体" w:cs="宋体" w:eastAsia="宋体" w:hint="default"/>
          <w:sz w:val="17"/>
          <w:szCs w:val="17"/>
        </w:rPr>
      </w:pPr>
    </w:p>
    <w:p>
      <w:pPr>
        <w:pStyle w:val="BodyText"/>
        <w:spacing w:line="477" w:lineRule="auto"/>
        <w:ind w:left="574" w:right="1131"/>
        <w:jc w:val="left"/>
      </w:pPr>
      <w:r>
        <w:rPr/>
        <w:t>（</w:t>
      </w:r>
      <w:r>
        <w:rPr>
          <w:rFonts w:ascii="宋体" w:hAnsi="宋体" w:cs="宋体" w:eastAsia="宋体" w:hint="default"/>
        </w:rPr>
        <w:t>1</w:t>
      </w:r>
      <w:r>
        <w:rPr/>
        <w:t>）技术及资源优势： </w:t>
      </w:r>
      <w:r>
        <w:rPr>
          <w:spacing w:val="-3"/>
        </w:rPr>
        <w:t>公司一直致力研究并推进区块链技术、大数据、人工智能、智能</w:t>
      </w:r>
      <w:r>
        <w:rPr>
          <w:rFonts w:ascii="宋体" w:hAnsi="宋体" w:cs="宋体" w:eastAsia="宋体" w:hint="default"/>
          <w:spacing w:val="-3"/>
        </w:rPr>
        <w:t>AI</w:t>
      </w:r>
      <w:r>
        <w:rPr>
          <w:spacing w:val="-3"/>
        </w:rPr>
        <w:t>技术及云计算在版权领域的应用。公司的“版权家”</w:t>
      </w:r>
    </w:p>
    <w:p>
      <w:pPr>
        <w:pStyle w:val="BodyText"/>
        <w:spacing w:line="477" w:lineRule="auto" w:before="54"/>
        <w:ind w:right="1131"/>
        <w:jc w:val="both"/>
      </w:pPr>
      <w:r>
        <w:rPr/>
        <w:t>平台采取联盟链的形式，通过和</w:t>
      </w:r>
      <w:r>
        <w:rPr>
          <w:spacing w:val="-40"/>
        </w:rPr>
        <w:t> </w:t>
      </w:r>
      <w:r>
        <w:rPr>
          <w:rFonts w:ascii="宋体" w:hAnsi="宋体" w:cs="宋体" w:eastAsia="宋体" w:hint="default"/>
        </w:rPr>
        <w:t>CA</w:t>
      </w:r>
      <w:r>
        <w:rPr>
          <w:rFonts w:ascii="宋体" w:hAnsi="宋体" w:cs="宋体" w:eastAsia="宋体" w:hint="default"/>
          <w:spacing w:val="-40"/>
        </w:rPr>
        <w:t> </w:t>
      </w:r>
      <w:r>
        <w:rPr/>
        <w:t>数字认证服务、中国科学院国家授时中心可信时间服务、司法鉴定中心等具有公信力的 </w:t>
      </w:r>
      <w:r>
        <w:rPr>
          <w:spacing w:val="-2"/>
        </w:rPr>
        <w:t>机构接入，提高了版权权属和授权的法律效力。公司版权区块链系统充分利用区块链不可篡改的技术特性，客观记录作品的</w:t>
      </w:r>
      <w:r>
        <w:rPr>
          <w:spacing w:val="-65"/>
        </w:rPr>
        <w:t> </w:t>
      </w:r>
      <w:r>
        <w:rPr>
          <w:spacing w:val="-65"/>
        </w:rPr>
      </w:r>
      <w:r>
        <w:rPr>
          <w:spacing w:val="-2"/>
        </w:rPr>
        <w:t>版权信息；使用大数据支撑的智能算法，进行盗版监测和侵权取证；灵活运用智能合约机制，实现自动化的交易匹配。对连</w:t>
      </w:r>
      <w:r>
        <w:rPr>
          <w:spacing w:val="-66"/>
        </w:rPr>
        <w:t> </w:t>
      </w:r>
      <w:r>
        <w:rPr>
          <w:spacing w:val="-66"/>
        </w:rPr>
      </w:r>
      <w:r>
        <w:rPr/>
        <w:t>接产业主体、形成互信网络、提升产业整体运转效率，发挥了重要作用。</w:t>
      </w:r>
    </w:p>
    <w:p>
      <w:pPr>
        <w:pStyle w:val="BodyText"/>
        <w:spacing w:line="477" w:lineRule="auto" w:before="54"/>
        <w:ind w:right="1132" w:firstLine="420"/>
        <w:jc w:val="both"/>
      </w:pPr>
      <w:r>
        <w:rPr/>
        <w:t>公司组建并培养了具备多年技术开发及管理经验的核心技术人员团队，同时申请了多项涉及区块链技术方面的专利， 在不断加深自身发展的同时，公司不断加强外部合作，“版权家”平台继续与中国版权保护中心加深合作，助力推动</w:t>
      </w:r>
      <w:r>
        <w:rPr>
          <w:rFonts w:ascii="宋体" w:hAnsi="宋体" w:cs="宋体" w:eastAsia="宋体" w:hint="default"/>
        </w:rPr>
        <w:t>DCI</w:t>
      </w:r>
      <w:r>
        <w:rPr/>
        <w:t>体 </w:t>
      </w:r>
      <w:r>
        <w:rPr>
          <w:spacing w:val="-2"/>
        </w:rPr>
        <w:t>系应用落地，攻坚</w:t>
      </w:r>
      <w:r>
        <w:rPr>
          <w:rFonts w:ascii="宋体" w:hAnsi="宋体" w:cs="宋体" w:eastAsia="宋体" w:hint="default"/>
          <w:spacing w:val="-2"/>
        </w:rPr>
        <w:t>DCI</w:t>
      </w:r>
      <w:r>
        <w:rPr>
          <w:spacing w:val="-2"/>
        </w:rPr>
        <w:t>联合实验室。同时，公司积极参与各项技术标准的制定，诸如参与编写《信息技术</w:t>
      </w:r>
      <w:r>
        <w:rPr>
          <w:spacing w:val="9"/>
        </w:rPr>
        <w:t> </w:t>
      </w:r>
      <w:r>
        <w:rPr/>
        <w:t>区块链和分布式账</w:t>
      </w:r>
      <w:r>
        <w:rPr/>
        <w:t> 本技术参考架构》国家标准、参与编写 </w:t>
      </w:r>
      <w:r>
        <w:rPr>
          <w:rFonts w:ascii="宋体" w:hAnsi="宋体" w:cs="宋体" w:eastAsia="宋体" w:hint="default"/>
        </w:rPr>
        <w:t>ISO/TC307 </w:t>
      </w:r>
      <w:r>
        <w:rPr/>
        <w:t>《区块链与分布式账本技术》国际标准等。</w:t>
      </w:r>
    </w:p>
    <w:p>
      <w:pPr>
        <w:pStyle w:val="BodyText"/>
        <w:spacing w:line="477" w:lineRule="auto" w:before="54"/>
        <w:ind w:left="574" w:right="1128" w:hanging="105"/>
        <w:jc w:val="left"/>
      </w:pPr>
      <w:r>
        <w:rPr/>
        <w:t>（</w:t>
      </w:r>
      <w:r>
        <w:rPr>
          <w:rFonts w:ascii="宋体" w:hAnsi="宋体" w:cs="宋体" w:eastAsia="宋体" w:hint="default"/>
        </w:rPr>
        <w:t>2</w:t>
      </w:r>
      <w:r>
        <w:rPr/>
        <w:t>）覆盖全面的综合服务平台优势： </w:t>
      </w:r>
      <w:r>
        <w:rPr>
          <w:spacing w:val="-3"/>
        </w:rPr>
        <w:t>作为版权行业的综合服务企业，公司搭建的覆盖版权行业领域的多个服务平台，为不同需求的客户提供版权服务。“版</w:t>
      </w:r>
    </w:p>
    <w:p>
      <w:pPr>
        <w:pStyle w:val="BodyText"/>
        <w:spacing w:line="477" w:lineRule="auto" w:before="54"/>
        <w:ind w:right="817"/>
        <w:jc w:val="left"/>
      </w:pPr>
      <w:r>
        <w:rPr>
          <w:spacing w:val="-2"/>
        </w:rPr>
        <w:t>权家”平台基于版权区块链和人工智能技术开发的版权服务平台，面向各类文创企业和创作者个人，提供版权登记、版权存</w:t>
      </w:r>
      <w:r>
        <w:rPr>
          <w:spacing w:val="-66"/>
        </w:rPr>
        <w:t> </w:t>
      </w:r>
      <w:r>
        <w:rPr>
          <w:spacing w:val="-66"/>
        </w:rPr>
      </w:r>
      <w:r>
        <w:rPr>
          <w:spacing w:val="-2"/>
        </w:rPr>
        <w:t>证、盗版监测、侵权取证、法律维权、版权交易等综合版权服务，“一站式”解决用户的所有版权问题。“版权百科”通过</w:t>
      </w:r>
      <w:r>
        <w:rPr>
          <w:spacing w:val="-65"/>
        </w:rPr>
        <w:t> </w:t>
      </w:r>
      <w:r>
        <w:rPr>
          <w:spacing w:val="-65"/>
        </w:rPr>
      </w:r>
      <w:r>
        <w:rPr>
          <w:spacing w:val="-4"/>
        </w:rPr>
        <w:t>对内容对应的版权信息词条的收录、编辑、更新，使用户不仅可以查询到版权相关的人身权、财产权、许可使用、权利转移、</w:t>
      </w:r>
      <w:r>
        <w:rPr>
          <w:spacing w:val="-44"/>
        </w:rPr>
        <w:t> </w:t>
      </w:r>
      <w:r>
        <w:rPr>
          <w:spacing w:val="-44"/>
        </w:rPr>
      </w:r>
      <w:r>
        <w:rPr>
          <w:spacing w:val="-2"/>
        </w:rPr>
        <w:t>权利质押等基础信息，还能查询到版权的登记情况、侵权情况、法律诉讼情况等动态信息。“稿稿”平台以生产高质量原创</w:t>
      </w:r>
      <w:r>
        <w:rPr>
          <w:spacing w:val="-65"/>
        </w:rPr>
        <w:t> </w:t>
      </w:r>
      <w:r>
        <w:rPr>
          <w:spacing w:val="-65"/>
        </w:rPr>
      </w:r>
      <w:r>
        <w:rPr>
          <w:spacing w:val="-2"/>
        </w:rPr>
        <w:t>内容作为市场切入点，在内容创作者和内容需求方之间建立起系统化的内容交易通道，为内容创作者带来更多创作收入的同</w:t>
      </w:r>
      <w:r>
        <w:rPr>
          <w:spacing w:val="-64"/>
        </w:rPr>
        <w:t> </w:t>
      </w:r>
      <w:r>
        <w:rPr>
          <w:spacing w:val="-64"/>
        </w:rPr>
      </w:r>
      <w:r>
        <w:rPr>
          <w:spacing w:val="-4"/>
        </w:rPr>
        <w:t>时，也为内容需求方提供了优质原创内容的稳定来源。“就爱就玩”、“华云音乐”等平台，服务于游戏、音乐领域的客户，</w:t>
      </w:r>
      <w:r>
        <w:rPr>
          <w:spacing w:val="-44"/>
        </w:rPr>
        <w:t> </w:t>
      </w:r>
      <w:r>
        <w:rPr>
          <w:spacing w:val="-44"/>
        </w:rPr>
      </w:r>
      <w:r>
        <w:rPr>
          <w:spacing w:val="-2"/>
        </w:rPr>
        <w:t>为其提供版权运营及交易服务。未来公司将继续在自媒体原创内容、幼儿教育、文学阅读、图片版权、艺术品版权、衍生品</w:t>
      </w:r>
      <w:r>
        <w:rPr>
          <w:spacing w:val="-68"/>
        </w:rPr>
        <w:t> </w:t>
      </w:r>
      <w:r>
        <w:rPr>
          <w:spacing w:val="-68"/>
        </w:rPr>
      </w:r>
      <w:r>
        <w:rPr/>
        <w:t>开发等领域布局，覆盖数字内容全产业链。</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1664" w:lineRule="exact"/>
        <w:ind w:left="574"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5574669" cy="105670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5574669" cy="1056703"/>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1"/>
        <w:rPr>
          <w:rFonts w:ascii="宋体" w:hAnsi="宋体" w:cs="宋体" w:eastAsia="宋体" w:hint="default"/>
          <w:sz w:val="11"/>
          <w:szCs w:val="11"/>
        </w:rPr>
      </w:pPr>
    </w:p>
    <w:p>
      <w:pPr>
        <w:pStyle w:val="BodyText"/>
        <w:spacing w:line="477" w:lineRule="auto" w:before="44"/>
        <w:ind w:left="574" w:right="1152" w:hanging="60"/>
        <w:jc w:val="left"/>
      </w:pPr>
      <w:r>
        <w:rPr/>
        <w:t>（</w:t>
      </w:r>
      <w:r>
        <w:rPr>
          <w:rFonts w:ascii="宋体" w:hAnsi="宋体" w:cs="宋体" w:eastAsia="宋体" w:hint="default"/>
        </w:rPr>
        <w:t>3</w:t>
      </w:r>
      <w:r>
        <w:rPr/>
        <w:t>）内容和渠道优势 公司与包括知名艺术家、内容生产企业、原创内容平台、电信运营商、互联网平台等在内的众多的内容创作者、内容</w:t>
      </w:r>
    </w:p>
    <w:p>
      <w:pPr>
        <w:pStyle w:val="BodyText"/>
        <w:spacing w:line="240" w:lineRule="auto" w:before="54"/>
        <w:ind w:right="0"/>
        <w:jc w:val="both"/>
      </w:pPr>
      <w:r>
        <w:rPr/>
        <w:t>生产者、内容聚合平台和渠道商建立了密切合作，合作内容涵盖了阅读、游戏、音乐、视频、动漫等领域。公司先后打造了</w:t>
      </w:r>
    </w:p>
    <w:p>
      <w:pPr>
        <w:spacing w:line="240" w:lineRule="auto" w:before="10"/>
        <w:rPr>
          <w:rFonts w:ascii="宋体" w:hAnsi="宋体" w:cs="宋体" w:eastAsia="宋体" w:hint="default"/>
          <w:sz w:val="17"/>
          <w:szCs w:val="17"/>
        </w:rPr>
      </w:pPr>
    </w:p>
    <w:p>
      <w:pPr>
        <w:pStyle w:val="BodyText"/>
        <w:spacing w:line="477" w:lineRule="auto"/>
        <w:ind w:right="1131"/>
        <w:jc w:val="both"/>
      </w:pPr>
      <w:r>
        <w:rPr>
          <w:spacing w:val="-2"/>
        </w:rPr>
        <w:t>《九州</w:t>
      </w:r>
      <w:r>
        <w:rPr>
          <w:rFonts w:ascii="宋体" w:hAnsi="宋体" w:cs="宋体" w:eastAsia="宋体" w:hint="default"/>
          <w:spacing w:val="-2"/>
        </w:rPr>
        <w:t>.</w:t>
      </w:r>
      <w:r>
        <w:rPr>
          <w:spacing w:val="-2"/>
        </w:rPr>
        <w:t>丧乱之瞳》、《永夜》等作品，并在此基础上，公司参股</w:t>
      </w:r>
      <w:r>
        <w:rPr>
          <w:rFonts w:ascii="宋体" w:hAnsi="宋体" w:cs="宋体" w:eastAsia="宋体" w:hint="default"/>
          <w:spacing w:val="-2"/>
        </w:rPr>
        <w:t>45%</w:t>
      </w:r>
      <w:r>
        <w:rPr>
          <w:spacing w:val="-2"/>
        </w:rPr>
        <w:t>投资设立了以优秀编剧为核心生产故事为主线，通过全</w:t>
      </w:r>
      <w:r>
        <w:rPr>
          <w:spacing w:val="-65"/>
        </w:rPr>
        <w:t> </w:t>
      </w:r>
      <w:r>
        <w:rPr>
          <w:spacing w:val="-65"/>
        </w:rPr>
      </w:r>
      <w:r>
        <w:rPr>
          <w:spacing w:val="-2"/>
        </w:rPr>
        <w:t>民创作和受众互动，不断提升作品价值的“剧派网”，继续增资计易数据科技（上海）有限公司股权，从而为公司储备大量</w:t>
      </w:r>
      <w:r>
        <w:rPr>
          <w:spacing w:val="-66"/>
        </w:rPr>
        <w:t> </w:t>
      </w:r>
      <w:r>
        <w:rPr>
          <w:spacing w:val="-66"/>
        </w:rPr>
      </w:r>
      <w:r>
        <w:rPr>
          <w:spacing w:val="-2"/>
        </w:rPr>
        <w:t>的优质版权内容。在渠道拓展方面，公司与包括各大电信运营商、知名互联网平台等内容聚合平台和渠道商密切合作，未来</w:t>
      </w:r>
      <w:r>
        <w:rPr>
          <w:spacing w:val="-66"/>
        </w:rPr>
        <w:t> </w:t>
      </w:r>
      <w:r>
        <w:rPr>
          <w:spacing w:val="-66"/>
        </w:rPr>
      </w:r>
      <w:r>
        <w:rPr/>
        <w:t>公司将逐步在自媒体原创内容、幼儿教育、文学阅读、图片版权、艺术品版权等领域布局，覆盖数字内容全产业链。</w:t>
      </w:r>
    </w:p>
    <w:p>
      <w:pPr>
        <w:pStyle w:val="BodyText"/>
        <w:spacing w:line="477" w:lineRule="auto" w:before="54"/>
        <w:ind w:left="574" w:right="1152"/>
        <w:jc w:val="left"/>
      </w:pPr>
      <w:r>
        <w:rPr/>
        <w:t>（</w:t>
      </w:r>
      <w:r>
        <w:rPr>
          <w:rFonts w:ascii="宋体" w:hAnsi="宋体" w:cs="宋体" w:eastAsia="宋体" w:hint="default"/>
        </w:rPr>
        <w:t>4</w:t>
      </w:r>
      <w:r>
        <w:rPr/>
        <w:t>）经验丰富的完整生态服务 公司整合学术研究、技术开发、服务运营、行政司法等上下游资源，打造了内容创作、发布传播、授权开发、使用消</w:t>
      </w:r>
    </w:p>
    <w:p>
      <w:pPr>
        <w:pStyle w:val="BodyText"/>
        <w:spacing w:line="477" w:lineRule="auto" w:before="54"/>
        <w:ind w:right="1130"/>
        <w:jc w:val="both"/>
      </w:pPr>
      <w:r>
        <w:rPr>
          <w:spacing w:val="-2"/>
        </w:rPr>
        <w:t>费等完整的产业服务链条，通过自建、投资和战略合作构建了一系列版权业务实体，覆盖艺术品、新媒体、影视、文学、游</w:t>
      </w:r>
      <w:r>
        <w:rPr>
          <w:spacing w:val="-71"/>
        </w:rPr>
        <w:t> </w:t>
      </w:r>
      <w:r>
        <w:rPr>
          <w:spacing w:val="-71"/>
        </w:rPr>
      </w:r>
      <w:r>
        <w:rPr>
          <w:spacing w:val="-2"/>
        </w:rPr>
        <w:t>戏、图片、设计等行业板块，形成资源共享、业务协同的跨行业生态体系。同时，公司多年经营积累了庞大用户基础，新组</w:t>
      </w:r>
      <w:r>
        <w:rPr>
          <w:spacing w:val="-72"/>
        </w:rPr>
        <w:t> </w:t>
      </w:r>
      <w:r>
        <w:rPr>
          <w:spacing w:val="-72"/>
        </w:rPr>
      </w:r>
      <w:r>
        <w:rPr>
          <w:spacing w:val="-2"/>
        </w:rPr>
        <w:t>建了经验丰富、高效运营的经营团队，同时依托公司的版权业务平台，通过将产品与服务相结合，为客户提供定制化的营销</w:t>
      </w:r>
      <w:r>
        <w:rPr>
          <w:spacing w:val="-66"/>
        </w:rPr>
        <w:t> </w:t>
      </w:r>
      <w:r>
        <w:rPr>
          <w:spacing w:val="-66"/>
        </w:rPr>
      </w:r>
      <w:r>
        <w:rPr/>
        <w:t>服务；将技术与创意相结合，建立各式新媒体矩阵，为客户提供真正满足其需求的创意选择及营销模式。</w:t>
      </w:r>
    </w:p>
    <w:p>
      <w:pPr>
        <w:pStyle w:val="BodyText"/>
        <w:spacing w:line="477" w:lineRule="auto" w:before="54"/>
        <w:ind w:right="1131" w:firstLine="420"/>
        <w:jc w:val="both"/>
      </w:pPr>
      <w:r>
        <w:rPr/>
        <w:t>二、商务信息用纸业务，公司经过近</w:t>
      </w:r>
      <w:r>
        <w:rPr>
          <w:rFonts w:ascii="宋体" w:hAnsi="宋体" w:cs="宋体" w:eastAsia="宋体" w:hint="default"/>
        </w:rPr>
        <w:t>20</w:t>
      </w:r>
      <w:r>
        <w:rPr/>
        <w:t>年的耕耘和产品积累，已形成了良好的产品口碑及品牌效益，公司与各大客户 </w:t>
      </w:r>
      <w:r>
        <w:rPr>
          <w:spacing w:val="-2"/>
        </w:rPr>
        <w:t>保持着长期稳定的合作关系的同时，利用公司新型技术，升级标签业务，通过一体化生产体系，为客户提供满足个性化需求</w:t>
      </w:r>
      <w:r>
        <w:rPr>
          <w:spacing w:val="-66"/>
        </w:rPr>
        <w:t> </w:t>
      </w:r>
      <w:r>
        <w:rPr>
          <w:spacing w:val="-66"/>
        </w:rPr>
      </w:r>
      <w:r>
        <w:rPr/>
        <w:t>的多系列产品、技术及整体解决方案，不断提升公司产品品质及服务品质。</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817"/>
        <w:jc w:val="left"/>
        <w:rPr>
          <w:b w:val="0"/>
          <w:bCs w:val="0"/>
        </w:rPr>
      </w:pPr>
      <w:bookmarkStart w:name="_TOC_250008" w:id="24"/>
      <w:bookmarkStart w:name="第四节 经营情况讨论与分析" w:id="25"/>
      <w:r>
        <w:rPr>
          <w:b w:val="0"/>
          <w:bCs w:val="0"/>
        </w:rPr>
      </w:r>
      <w:r>
        <w:rPr/>
        <w:t>第四节</w:t>
      </w:r>
      <w:r>
        <w:rPr>
          <w:spacing w:val="-10"/>
        </w:rPr>
        <w:t> </w:t>
      </w:r>
      <w:r>
        <w:rPr/>
        <w:t>经营情况讨论与分析</w:t>
      </w:r>
      <w:bookmarkEnd w:id="2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bookmarkStart w:name="一、概述" w:id="26"/>
      <w:bookmarkEnd w:id="26"/>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817" w:firstLine="360"/>
        <w:jc w:val="left"/>
      </w:pPr>
      <w:r>
        <w:rPr>
          <w:rFonts w:ascii="宋体" w:hAnsi="宋体" w:cs="宋体" w:eastAsia="宋体" w:hint="default"/>
          <w:spacing w:val="-2"/>
        </w:rPr>
        <w:t>2018</w:t>
      </w:r>
      <w:r>
        <w:rPr>
          <w:spacing w:val="-2"/>
        </w:rPr>
        <w:t>年，公司持续推进并深耕版权服务市场，提升和完善覆盖版权管理服务、版权经营服务和版权产品服务市场的版权</w:t>
      </w:r>
      <w:r>
        <w:rPr/>
        <w:t> </w:t>
      </w:r>
      <w:r>
        <w:rPr>
          <w:spacing w:val="-4"/>
        </w:rPr>
        <w:t>业务体系和生态系统。持续追求在版权服务领域让版权实现更大价值，同时，公司将传统互联网营销服务升级至新媒体矩阵，</w:t>
      </w:r>
      <w:r>
        <w:rPr>
          <w:spacing w:val="-44"/>
        </w:rPr>
        <w:t> </w:t>
      </w:r>
      <w:r>
        <w:rPr>
          <w:spacing w:val="-44"/>
        </w:rPr>
      </w:r>
      <w:r>
        <w:rPr>
          <w:spacing w:val="-2"/>
        </w:rPr>
        <w:t>在原有营销服务的基础上，新增微视频广告投入等业务，实现产业转型和升级。商务信息用纸方面，公司持续业务发展，实</w:t>
      </w:r>
      <w:r>
        <w:rPr>
          <w:spacing w:val="-66"/>
        </w:rPr>
        <w:t> </w:t>
      </w:r>
      <w:r>
        <w:rPr>
          <w:spacing w:val="-66"/>
        </w:rPr>
      </w:r>
      <w:r>
        <w:rPr/>
        <w:t>现商务信息用纸业务的平稳发展。</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7" w:lineRule="auto"/>
        <w:ind w:left="574" w:right="5382" w:hanging="60"/>
        <w:jc w:val="left"/>
      </w:pPr>
      <w:r>
        <w:rPr/>
        <w:t>一、版权业务 </w:t>
      </w:r>
      <w:r>
        <w:rPr>
          <w:rFonts w:ascii="宋体" w:hAnsi="宋体" w:cs="宋体" w:eastAsia="宋体" w:hint="default"/>
        </w:rPr>
        <w:t>1</w:t>
      </w:r>
      <w:r>
        <w:rPr/>
        <w:t>、全面经营版权综合服务业务，构建版权市场“冰山模型”。</w:t>
      </w:r>
    </w:p>
    <w:p>
      <w:pPr>
        <w:pStyle w:val="BodyText"/>
        <w:spacing w:line="477" w:lineRule="auto" w:before="54"/>
        <w:ind w:right="1129" w:firstLine="270"/>
        <w:jc w:val="both"/>
      </w:pPr>
      <w:r>
        <w:rPr/>
        <w:t>公司经过对版权产业的深入研究和实践，深刻总结了版权产业发展的规律和趋势，创造性的将版权产业解构为：版权管 </w:t>
      </w:r>
      <w:r>
        <w:rPr>
          <w:spacing w:val="-2"/>
        </w:rPr>
        <w:t>理、版权经营、版权产品三个层次，即“版权产业冰山模型”。围绕“冰山模型”构建版权产业，将资源和产能集约化，聚</w:t>
      </w:r>
      <w:r>
        <w:rPr>
          <w:spacing w:val="-68"/>
        </w:rPr>
        <w:t> </w:t>
      </w:r>
      <w:r>
        <w:rPr>
          <w:spacing w:val="-68"/>
        </w:rPr>
      </w:r>
      <w:r>
        <w:rPr/>
        <w:t>合化，优化产业分工协作机制，完善产业生态体系。</w:t>
      </w:r>
    </w:p>
    <w:p>
      <w:pPr>
        <w:spacing w:line="5536" w:lineRule="exact"/>
        <w:ind w:left="574"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4628179" cy="3515867"/>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4628179" cy="3515867"/>
                    </a:xfrm>
                    <a:prstGeom prst="rect">
                      <a:avLst/>
                    </a:prstGeom>
                  </pic:spPr>
                </pic:pic>
              </a:graphicData>
            </a:graphic>
          </wp:inline>
        </w:drawing>
      </w:r>
      <w:r>
        <w:rPr>
          <w:rFonts w:ascii="宋体" w:hAnsi="宋体" w:cs="宋体" w:eastAsia="宋体" w:hint="default"/>
          <w:position w:val="-110"/>
          <w:sz w:val="20"/>
          <w:szCs w:val="20"/>
        </w:rPr>
      </w:r>
    </w:p>
    <w:p>
      <w:pPr>
        <w:pStyle w:val="BodyText"/>
        <w:spacing w:line="477" w:lineRule="auto" w:before="134"/>
        <w:ind w:right="1130" w:firstLine="420"/>
        <w:jc w:val="both"/>
      </w:pPr>
      <w:r>
        <w:rPr/>
        <w:t>公司通过自建、投资、合作等形式，打造了以自有平台和业务为主体，以版权大数据和版权区块链为基础平台的版权 </w:t>
      </w:r>
      <w:r>
        <w:rPr>
          <w:spacing w:val="-2"/>
        </w:rPr>
        <w:t>保护服务、版权交易服务、版权资产管理服务、以及服务垂直市场的稿件交易平台——稿稿平台、歌曲交易平台——华云音</w:t>
      </w:r>
      <w:r>
        <w:rPr>
          <w:spacing w:val="-66"/>
        </w:rPr>
        <w:t> </w:t>
      </w:r>
      <w:r>
        <w:rPr>
          <w:spacing w:val="-66"/>
        </w:rPr>
      </w:r>
      <w:r>
        <w:rPr>
          <w:spacing w:val="-2"/>
        </w:rPr>
        <w:t>乐、游戏交易平台——就爱就玩、剧本交易平台——剧派网。跨越版权管理、版权经营和版权产品三个层次，覆盖多个行业</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817"/>
        <w:jc w:val="left"/>
      </w:pPr>
      <w:r>
        <w:rPr>
          <w:spacing w:val="-2"/>
        </w:rPr>
        <w:t>和领域的产品及业务体系，产生了明显的产业协同效应和资源吸聚效应，为主营业务的持续发展奠定了基础，为新兴业务的</w:t>
      </w:r>
      <w:r>
        <w:rPr>
          <w:spacing w:val="-66"/>
        </w:rPr>
        <w:t> </w:t>
      </w:r>
      <w:r>
        <w:rPr>
          <w:spacing w:val="-66"/>
        </w:rPr>
      </w:r>
      <w:r>
        <w:rPr/>
        <w:t>孵化培育提供了土壤。</w:t>
      </w:r>
    </w:p>
    <w:p>
      <w:pPr>
        <w:pStyle w:val="BodyText"/>
        <w:spacing w:line="477" w:lineRule="auto" w:before="54"/>
        <w:ind w:left="574" w:right="1152" w:hanging="60"/>
        <w:jc w:val="left"/>
      </w:pPr>
      <w:r>
        <w:rPr>
          <w:rFonts w:ascii="宋体" w:hAnsi="宋体" w:cs="宋体" w:eastAsia="宋体" w:hint="default"/>
        </w:rPr>
        <w:t>2</w:t>
      </w:r>
      <w:r>
        <w:rPr/>
        <w:t>、加强区块链、人工智能、大数据等技术应用，优化产品结构： 报告期内，公司持续研究推进包括区块链技术、云计算、大数据及人工智能技术在版权方面的科研成果转化。 </w:t>
      </w:r>
      <w:r>
        <w:rPr>
          <w:color w:val="333333"/>
        </w:rPr>
        <w:t>基于区块链的版权存证服务，已为百万作品提供了确权服务，解决了内容创作者的痛点和难点。版权区块链首先通过</w:t>
      </w:r>
      <w:r>
        <w:rPr/>
      </w:r>
    </w:p>
    <w:p>
      <w:pPr>
        <w:pStyle w:val="BodyText"/>
        <w:spacing w:line="477" w:lineRule="auto" w:before="54"/>
        <w:ind w:right="817"/>
        <w:jc w:val="left"/>
      </w:pPr>
      <w:r>
        <w:rPr>
          <w:color w:val="333333"/>
          <w:spacing w:val="-2"/>
        </w:rPr>
        <w:t>对内容的数字摘要的计算和数字指纹提取上链，保证了内容的完整性与原创性；其次使用国家认可的数字证书机构颁发的证</w:t>
      </w:r>
      <w:r>
        <w:rPr>
          <w:color w:val="333333"/>
          <w:spacing w:val="-64"/>
        </w:rPr>
        <w:t> </w:t>
      </w:r>
      <w:r>
        <w:rPr>
          <w:color w:val="333333"/>
          <w:spacing w:val="-64"/>
        </w:rPr>
      </w:r>
      <w:r>
        <w:rPr>
          <w:color w:val="333333"/>
          <w:spacing w:val="-2"/>
        </w:rPr>
        <w:t>书提供数字签名，结合国家授时中心可信时间实现数字作品的存在性证明、权属证明、授权证明和侵权证据固定。区块链系</w:t>
      </w:r>
      <w:r>
        <w:rPr>
          <w:color w:val="333333"/>
          <w:spacing w:val="-66"/>
        </w:rPr>
        <w:t> </w:t>
      </w:r>
      <w:r>
        <w:rPr>
          <w:color w:val="333333"/>
          <w:spacing w:val="-66"/>
        </w:rPr>
      </w:r>
      <w:r>
        <w:rPr>
          <w:color w:val="333333"/>
          <w:spacing w:val="-2"/>
        </w:rPr>
        <w:t>统参与者采用完全的实名数字身份认证机制，并结合可信时间服务保证了作品的权属与存在时间。版权区块链做到将用户的</w:t>
      </w:r>
      <w:r>
        <w:rPr>
          <w:color w:val="333333"/>
          <w:spacing w:val="-64"/>
        </w:rPr>
        <w:t> </w:t>
      </w:r>
      <w:r>
        <w:rPr>
          <w:color w:val="333333"/>
          <w:spacing w:val="-64"/>
        </w:rPr>
      </w:r>
      <w:r>
        <w:rPr>
          <w:color w:val="333333"/>
          <w:spacing w:val="-4"/>
        </w:rPr>
        <w:t>整个创作过程完整记录，从而发挥区块链技术在确权、授权与维权过程中的海量、快速、即时特性，逐步实现“创作即确权、</w:t>
      </w:r>
      <w:r>
        <w:rPr>
          <w:color w:val="333333"/>
          <w:spacing w:val="-43"/>
        </w:rPr>
        <w:t> </w:t>
      </w:r>
      <w:r>
        <w:rPr>
          <w:color w:val="333333"/>
          <w:spacing w:val="-43"/>
        </w:rPr>
      </w:r>
      <w:r>
        <w:rPr>
          <w:color w:val="333333"/>
        </w:rPr>
        <w:t>使用即授权、发现即维权”。</w:t>
      </w:r>
      <w:r>
        <w:rPr/>
      </w:r>
    </w:p>
    <w:p>
      <w:pPr>
        <w:pStyle w:val="BodyText"/>
        <w:spacing w:line="477" w:lineRule="auto" w:before="54"/>
        <w:ind w:right="1131" w:firstLine="420"/>
        <w:jc w:val="both"/>
      </w:pPr>
      <w:r>
        <w:rPr>
          <w:color w:val="333333"/>
        </w:rPr>
        <w:t>版权区块链系统是基于</w:t>
      </w:r>
      <w:r>
        <w:rPr>
          <w:rFonts w:ascii="宋体" w:hAnsi="宋体" w:cs="宋体" w:eastAsia="宋体" w:hint="default"/>
          <w:color w:val="333333"/>
        </w:rPr>
        <w:t>Hyperledger</w:t>
      </w:r>
      <w:r>
        <w:rPr>
          <w:color w:val="333333"/>
        </w:rPr>
        <w:t>（超级账本）与</w:t>
      </w:r>
      <w:r>
        <w:rPr>
          <w:rFonts w:ascii="宋体" w:hAnsi="宋体" w:cs="宋体" w:eastAsia="宋体" w:hint="default"/>
          <w:color w:val="333333"/>
        </w:rPr>
        <w:t>FISCOBCOS</w:t>
      </w:r>
      <w:r>
        <w:rPr>
          <w:color w:val="333333"/>
        </w:rPr>
        <w:t>区块链平台开发，具有版权确权、盗版监测、版权维权 </w:t>
      </w:r>
      <w:r>
        <w:rPr>
          <w:color w:val="333333"/>
          <w:spacing w:val="-2"/>
        </w:rPr>
        <w:t>以及版权交易等功能的信息系统。系统通过核心层的存证合约、资产合约、交易记账合约，以及服务层对智能合约的交互和</w:t>
      </w:r>
      <w:r>
        <w:rPr>
          <w:color w:val="333333"/>
          <w:spacing w:val="-66"/>
        </w:rPr>
        <w:t> </w:t>
      </w:r>
      <w:r>
        <w:rPr>
          <w:color w:val="333333"/>
          <w:spacing w:val="-66"/>
        </w:rPr>
      </w:r>
      <w:r>
        <w:rPr>
          <w:color w:val="333333"/>
        </w:rPr>
        <w:t>调用，能够为用户提供多种版权保护功能及接口服务。</w:t>
      </w:r>
      <w:r>
        <w:rPr/>
      </w:r>
    </w:p>
    <w:p>
      <w:pPr>
        <w:pStyle w:val="BodyText"/>
        <w:spacing w:line="477" w:lineRule="auto" w:before="54"/>
        <w:ind w:right="1132" w:firstLine="510"/>
        <w:jc w:val="both"/>
      </w:pPr>
      <w:r>
        <w:rPr>
          <w:color w:val="333333"/>
          <w:spacing w:val="-2"/>
        </w:rPr>
        <w:t>“版权百科”基于版权大数据技术，采集和整理了海量的互联网数据，推出了站点跟踪、票房查询、传播分析、用户</w:t>
      </w:r>
      <w:r>
        <w:rPr>
          <w:color w:val="333333"/>
        </w:rPr>
        <w:t> 评价、搜索热度、用户画像等多维度信息服务，更好的满足了用户“一站式”获得全面信息的需求。</w:t>
      </w:r>
      <w:r>
        <w:rPr/>
      </w:r>
    </w:p>
    <w:p>
      <w:pPr>
        <w:pStyle w:val="BodyText"/>
        <w:spacing w:line="477" w:lineRule="auto" w:before="54"/>
        <w:ind w:right="1169" w:firstLine="420"/>
        <w:jc w:val="both"/>
      </w:pPr>
      <w:r>
        <w:rPr/>
        <w:t>公司参股投资九次方大数据信息集团有限公司，并与九次方大数据信息集团有限公司合资成立厦门安妮大数据科技有 限公司，利用大数据技术，共同推动“知识产权大数据中心”“知识产权云平台”“知识产权大数据交易中心”的建设。</w:t>
      </w:r>
    </w:p>
    <w:p>
      <w:pPr>
        <w:pStyle w:val="BodyText"/>
        <w:spacing w:line="477" w:lineRule="auto" w:before="54"/>
        <w:ind w:left="574" w:right="817"/>
        <w:jc w:val="left"/>
      </w:pPr>
      <w:r>
        <w:rPr>
          <w:rFonts w:ascii="宋体" w:hAnsi="宋体" w:cs="宋体" w:eastAsia="宋体" w:hint="default"/>
        </w:rPr>
        <w:t>3</w:t>
      </w:r>
      <w:r>
        <w:rPr/>
        <w:t>、深化外延合作，促进产业发展； 在不断加深自身发展的同时，公司不断加强外部合作，“版权家”平台继续与中国版权保护中心加深合作，助力推动</w:t>
      </w:r>
    </w:p>
    <w:p>
      <w:pPr>
        <w:pStyle w:val="BodyText"/>
        <w:spacing w:line="477" w:lineRule="auto" w:before="54"/>
        <w:ind w:left="574" w:right="1118" w:hanging="420"/>
        <w:jc w:val="left"/>
      </w:pPr>
      <w:r>
        <w:rPr>
          <w:rFonts w:ascii="宋体" w:hAnsi="宋体" w:cs="宋体" w:eastAsia="宋体" w:hint="default"/>
        </w:rPr>
        <w:t>DCI</w:t>
      </w:r>
      <w:r>
        <w:rPr/>
        <w:t>体系应用落地，攻坚</w:t>
      </w:r>
      <w:r>
        <w:rPr>
          <w:rFonts w:ascii="宋体" w:hAnsi="宋体" w:cs="宋体" w:eastAsia="宋体" w:hint="default"/>
        </w:rPr>
        <w:t>DCI</w:t>
      </w:r>
      <w:r>
        <w:rPr/>
        <w:t>联合实验室。 同时，为促进区块链技术的发展，公司积极参与各项区块技术标准的制定，参与编写《信息技术</w:t>
      </w:r>
      <w:r>
        <w:rPr>
          <w:spacing w:val="-56"/>
        </w:rPr>
        <w:t> </w:t>
      </w:r>
      <w:r>
        <w:rPr/>
        <w:t>区块链和分布式账本</w:t>
      </w:r>
    </w:p>
    <w:p>
      <w:pPr>
        <w:pStyle w:val="BodyText"/>
        <w:spacing w:line="477" w:lineRule="auto" w:before="54"/>
        <w:ind w:right="1122"/>
        <w:jc w:val="left"/>
      </w:pPr>
      <w:r>
        <w:rPr/>
        <w:t>技术参考架构》国家标准；参与编写 </w:t>
      </w:r>
      <w:r>
        <w:rPr>
          <w:rFonts w:ascii="宋体" w:hAnsi="宋体" w:cs="宋体" w:eastAsia="宋体" w:hint="default"/>
        </w:rPr>
        <w:t>ISO/TC307 </w:t>
      </w:r>
      <w:r>
        <w:rPr/>
        <w:t>《区块链与分布式账本技术》国际标准；作为</w:t>
      </w:r>
      <w:r>
        <w:rPr>
          <w:rFonts w:ascii="宋体" w:hAnsi="宋体" w:cs="宋体" w:eastAsia="宋体" w:hint="default"/>
        </w:rPr>
        <w:t>IEEE/P2418.2</w:t>
      </w:r>
      <w:r>
        <w:rPr/>
        <w:t>标准组秘书处 单位参与制定《区块链 数据格式规范》；牵头编写《区块链存证应用指南》团体标准并于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18</w:t>
      </w:r>
      <w:r>
        <w:rPr/>
        <w:t>日发布；参与编写</w:t>
      </w:r>
    </w:p>
    <w:p>
      <w:pPr>
        <w:pStyle w:val="BodyText"/>
        <w:spacing w:line="477" w:lineRule="auto" w:before="54"/>
        <w:ind w:left="514" w:right="817" w:hanging="360"/>
        <w:jc w:val="left"/>
      </w:pPr>
      <w:r>
        <w:rPr/>
        <w:t>《区块链智能合约实施规范》、《区块链 隐私保护规范》团体标准并于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18</w:t>
      </w:r>
      <w:r>
        <w:rPr/>
        <w:t>日发布。 </w:t>
      </w:r>
      <w:r>
        <w:rPr>
          <w:rFonts w:ascii="宋体" w:hAnsi="宋体" w:cs="宋体" w:eastAsia="宋体" w:hint="default"/>
        </w:rPr>
        <w:t>4</w:t>
      </w:r>
      <w:r>
        <w:rPr/>
        <w:t>、拓展合作渠道，储备优质版权内容 报告期内，稿稿平台以高质量的内容交易为切入点，为内容创作者与内容需求方构建起系统化的内容交易平台，目前</w:t>
      </w:r>
    </w:p>
    <w:p>
      <w:pPr>
        <w:pStyle w:val="BodyText"/>
        <w:spacing w:line="477" w:lineRule="auto" w:before="54"/>
        <w:ind w:right="1130"/>
        <w:jc w:val="both"/>
      </w:pPr>
      <w:r>
        <w:rPr>
          <w:spacing w:val="-2"/>
        </w:rPr>
        <w:t>稿稿平台已聚集了数万名资深写手，为近万家企业客户提供文字、图集、微视频等各类原创内容的同时，也为公司储备了大</w:t>
      </w:r>
      <w:r>
        <w:rPr>
          <w:spacing w:val="-65"/>
        </w:rPr>
        <w:t> </w:t>
      </w:r>
      <w:r>
        <w:rPr>
          <w:spacing w:val="-65"/>
        </w:rPr>
      </w:r>
      <w:r>
        <w:rPr>
          <w:spacing w:val="-2"/>
        </w:rPr>
        <w:t>量优质版权作品，成为媒体及商业用户的原创内容“中央厨房”。在优质版权内容储备方面，公司继续与众多知名作家、艺</w:t>
      </w:r>
      <w:r>
        <w:rPr>
          <w:spacing w:val="-66"/>
        </w:rPr>
        <w:t> </w:t>
      </w:r>
      <w:r>
        <w:rPr>
          <w:spacing w:val="-66"/>
        </w:rPr>
      </w:r>
      <w:r>
        <w:rPr>
          <w:spacing w:val="-2"/>
        </w:rPr>
        <w:t>术家、内容生产企业建立了紧密合作的同时，参与影视作品的投资制作，联合制作了《一步登天》及《决胜法庭》两部影视</w:t>
      </w:r>
      <w:r>
        <w:rPr>
          <w:spacing w:val="-72"/>
        </w:rPr>
        <w:t> </w:t>
      </w:r>
      <w:r>
        <w:rPr>
          <w:spacing w:val="-72"/>
        </w:rPr>
      </w:r>
      <w:r>
        <w:rPr/>
        <w:t>剧作品。</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74" w:right="1152" w:hanging="60"/>
        <w:jc w:val="left"/>
      </w:pPr>
      <w:r>
        <w:rPr>
          <w:rFonts w:ascii="宋体" w:hAnsi="宋体" w:cs="宋体" w:eastAsia="宋体" w:hint="default"/>
        </w:rPr>
        <w:t>5</w:t>
      </w:r>
      <w:r>
        <w:rPr/>
        <w:t>、升级互联网营销服务，打造新媒体矩阵 报告期内，公司将传统互联网营销服务升级至新媒体矩阵，以账号运营、账号营销、账号广告及电商销售为主要业务</w:t>
      </w:r>
    </w:p>
    <w:p>
      <w:pPr>
        <w:pStyle w:val="BodyText"/>
        <w:spacing w:line="477" w:lineRule="auto" w:before="54"/>
        <w:ind w:right="1129"/>
        <w:jc w:val="both"/>
      </w:pPr>
      <w:r>
        <w:rPr>
          <w:spacing w:val="-2"/>
        </w:rPr>
        <w:t>模式。目前拥有原创微信公众大号</w:t>
      </w:r>
      <w:r>
        <w:rPr>
          <w:rFonts w:ascii="宋体" w:hAnsi="宋体" w:cs="宋体" w:eastAsia="宋体" w:hint="default"/>
          <w:spacing w:val="-2"/>
        </w:rPr>
        <w:t>12</w:t>
      </w:r>
      <w:r>
        <w:rPr>
          <w:spacing w:val="-2"/>
        </w:rPr>
        <w:t>个，微博重点运营账号</w:t>
      </w:r>
      <w:r>
        <w:rPr>
          <w:rFonts w:ascii="宋体" w:hAnsi="宋体" w:cs="宋体" w:eastAsia="宋体" w:hint="default"/>
          <w:spacing w:val="-2"/>
        </w:rPr>
        <w:t>20</w:t>
      </w:r>
      <w:r>
        <w:rPr>
          <w:spacing w:val="-2"/>
        </w:rPr>
        <w:t>多个，总体覆盖粉丝量达</w:t>
      </w:r>
      <w:r>
        <w:rPr>
          <w:rFonts w:ascii="宋体" w:hAnsi="宋体" w:cs="宋体" w:eastAsia="宋体" w:hint="default"/>
          <w:spacing w:val="-2"/>
        </w:rPr>
        <w:t>4000</w:t>
      </w:r>
      <w:r>
        <w:rPr>
          <w:spacing w:val="-2"/>
        </w:rPr>
        <w:t>万以上，双微平台账号年广告投</w:t>
      </w:r>
      <w:r>
        <w:rPr>
          <w:spacing w:val="-60"/>
        </w:rPr>
        <w:t> </w:t>
      </w:r>
      <w:r>
        <w:rPr>
          <w:spacing w:val="-60"/>
        </w:rPr>
      </w:r>
      <w:r>
        <w:rPr>
          <w:spacing w:val="-2"/>
        </w:rPr>
        <w:t>放条数达</w:t>
      </w:r>
      <w:r>
        <w:rPr>
          <w:rFonts w:ascii="宋体" w:hAnsi="宋体" w:cs="宋体" w:eastAsia="宋体" w:hint="default"/>
          <w:spacing w:val="-2"/>
        </w:rPr>
        <w:t>1200</w:t>
      </w:r>
      <w:r>
        <w:rPr>
          <w:spacing w:val="-2"/>
        </w:rPr>
        <w:t>多条。通过对标市场热门爆款账号、媒体、产品、传播形式，同步新增研发自主原创</w:t>
      </w:r>
      <w:r>
        <w:rPr>
          <w:rFonts w:ascii="宋体" w:hAnsi="宋体" w:cs="宋体" w:eastAsia="宋体" w:hint="default"/>
          <w:spacing w:val="-2"/>
        </w:rPr>
        <w:t>IP</w:t>
      </w:r>
      <w:r>
        <w:rPr>
          <w:spacing w:val="-2"/>
        </w:rPr>
        <w:t>生产线，搭建起多平台</w:t>
      </w:r>
      <w:r>
        <w:rPr>
          <w:spacing w:val="-62"/>
        </w:rPr>
        <w:t> </w:t>
      </w:r>
      <w:r>
        <w:rPr>
          <w:spacing w:val="-62"/>
        </w:rPr>
      </w:r>
      <w:r>
        <w:rPr>
          <w:spacing w:val="-2"/>
        </w:rPr>
        <w:t>多渠道合作的电商平台，充分实现新媒体模式发散的多样性运营及流量变现，增强用户对于差异化和垂直化内容的吸收，开</w:t>
      </w:r>
      <w:r>
        <w:rPr>
          <w:spacing w:val="-66"/>
        </w:rPr>
        <w:t> </w:t>
      </w:r>
      <w:r>
        <w:rPr>
          <w:spacing w:val="-66"/>
        </w:rPr>
      </w:r>
      <w:r>
        <w:rPr/>
        <w:t>拓出</w:t>
      </w:r>
      <w:r>
        <w:rPr>
          <w:rFonts w:ascii="宋体" w:hAnsi="宋体" w:cs="宋体" w:eastAsia="宋体" w:hint="default"/>
        </w:rPr>
        <w:t>MCN</w:t>
      </w:r>
      <w:r>
        <w:rPr/>
        <w:t>未来发展的新方向。</w:t>
      </w:r>
    </w:p>
    <w:p>
      <w:pPr>
        <w:pStyle w:val="BodyText"/>
        <w:spacing w:line="477" w:lineRule="auto" w:before="54"/>
        <w:ind w:left="514" w:right="817"/>
        <w:jc w:val="left"/>
      </w:pPr>
      <w:r>
        <w:rPr/>
        <w:t>二、商务信息用纸业务 </w:t>
      </w:r>
      <w:r>
        <w:rPr>
          <w:spacing w:val="-2"/>
        </w:rPr>
        <w:t>公司商务信息用纸业务经过近二十年的发展，已经形成了一体化生产体系优势和多产品系列优势，通过综合个性化产品</w:t>
      </w:r>
    </w:p>
    <w:p>
      <w:pPr>
        <w:pStyle w:val="BodyText"/>
        <w:spacing w:line="477" w:lineRule="auto" w:before="54"/>
        <w:ind w:right="1130"/>
        <w:jc w:val="both"/>
      </w:pPr>
      <w:r>
        <w:rPr>
          <w:spacing w:val="-2"/>
        </w:rPr>
        <w:t>设计、应用技术开发为客户提供整体解决方案，满足客户需求。报告期内，加强层级管理，加大薪酬绩效激励作用，激发了</w:t>
      </w:r>
      <w:r>
        <w:rPr>
          <w:spacing w:val="-68"/>
        </w:rPr>
        <w:t> </w:t>
      </w:r>
      <w:r>
        <w:rPr>
          <w:spacing w:val="-68"/>
        </w:rPr>
      </w:r>
      <w:r>
        <w:rPr>
          <w:spacing w:val="-2"/>
        </w:rPr>
        <w:t>团队活力，公司商务信息用纸定制品在保持市场较强竞争力的同时实现销量稳中有升，彩票用纸产品继续保持供应</w:t>
      </w:r>
      <w:r>
        <w:rPr>
          <w:rFonts w:ascii="宋体" w:hAnsi="宋体" w:cs="宋体" w:eastAsia="宋体" w:hint="default"/>
          <w:spacing w:val="-2"/>
        </w:rPr>
        <w:t>10</w:t>
      </w:r>
      <w:r>
        <w:rPr>
          <w:spacing w:val="-2"/>
        </w:rPr>
        <w:t>个省级</w:t>
      </w:r>
      <w:r>
        <w:rPr>
          <w:spacing w:val="-62"/>
        </w:rPr>
        <w:t> </w:t>
      </w:r>
      <w:r>
        <w:rPr/>
        <w:t>彩票中心，公司标签产品持续为包括世界</w:t>
      </w:r>
      <w:r>
        <w:rPr>
          <w:rFonts w:ascii="宋体" w:hAnsi="宋体" w:cs="宋体" w:eastAsia="宋体" w:hint="default"/>
        </w:rPr>
        <w:t>500</w:t>
      </w:r>
      <w:r>
        <w:rPr/>
        <w:t>强企业在内的客户提供服务；整体商务信息用纸业务继续保持稳定盈利。</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二、主营业务分析" w:id="27"/>
      <w:bookmarkEnd w:id="2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8"/>
      <w:bookmarkEnd w:id="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9"/>
      <w:bookmarkEnd w:id="29"/>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both"/>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714,872,486.11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658,420,472.76</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纸制品及相关服务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277,014,506.76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273,086,285.64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互联网及相关服务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437,857,979.35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385,334,187.12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商务信息用纸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270,713,299.64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266,271,655.98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r>
      <w:tr>
        <w:trPr>
          <w:trHeight w:val="71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pacing w:val="-9"/>
                <w:sz w:val="18"/>
                <w:szCs w:val="18"/>
              </w:rPr>
              <w:t>互联网营销（新媒体</w:t>
            </w:r>
            <w:r>
              <w:rPr>
                <w:rFonts w:ascii="宋体" w:hAnsi="宋体" w:cs="宋体" w:eastAsia="宋体" w:hint="default"/>
                <w:sz w:val="18"/>
                <w:szCs w:val="18"/>
              </w:rPr>
              <w:t> 矩阵）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5,601,221.86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8,341,557.20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-32.85%</w:t>
            </w:r>
          </w:p>
        </w:tc>
      </w:tr>
      <w:tr>
        <w:trPr>
          <w:trHeight w:val="71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版权技术及保护业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29,615,429.64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13,552,391.08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118.53%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版权交易与增值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106,277,631.02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57,226,415.27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游戏分发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75,925,496.72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194,556,293.22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游戏虚拟货币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85,247,517.13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83,194,134.12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网络流量服务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260,494.30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28,463,396.23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129,081,132.07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5,849,056.61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6,301,207.12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6,814,629.66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4,034,417.30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4,617,584.82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512,653,949.57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473,025,288.05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58,834,615.28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40,525,383.58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118,747,031.15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118,483,592.05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20,602,472.81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21,768,624.26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w:t>
            </w:r>
          </w:p>
        </w:tc>
      </w:tr>
    </w:tbl>
    <w:p>
      <w:pPr>
        <w:pStyle w:val="BodyText"/>
        <w:spacing w:line="240" w:lineRule="auto" w:before="88"/>
        <w:ind w:right="817"/>
        <w:jc w:val="left"/>
      </w:pPr>
      <w:bookmarkStart w:name="1、报告期内，公司互联网营销（新媒体矩阵）营业收入比上年减少32.85%，主要是" w:id="31"/>
      <w:bookmarkEnd w:id="31"/>
      <w:r>
        <w:rPr/>
      </w:r>
      <w:r>
        <w:rPr>
          <w:rFonts w:ascii="宋体" w:hAnsi="宋体" w:cs="宋体" w:eastAsia="宋体" w:hint="default"/>
        </w:rPr>
        <w:t>1</w:t>
      </w:r>
      <w:r>
        <w:rPr/>
        <w:t>、报告期内，公司互联网营销（新媒体矩阵）营业收入比上年减少</w:t>
      </w:r>
      <w:r>
        <w:rPr>
          <w:spacing w:val="-46"/>
        </w:rPr>
        <w:t> </w:t>
      </w:r>
      <w:r>
        <w:rPr>
          <w:rFonts w:ascii="宋体" w:hAnsi="宋体" w:cs="宋体" w:eastAsia="宋体" w:hint="default"/>
        </w:rPr>
        <w:t>32.85%</w:t>
      </w:r>
      <w:r>
        <w:rPr/>
        <w:t>，主要是因为：市场开拓未达预期。</w:t>
      </w:r>
    </w:p>
    <w:p>
      <w:pPr>
        <w:spacing w:line="240" w:lineRule="auto" w:before="10"/>
        <w:rPr>
          <w:rFonts w:ascii="宋体" w:hAnsi="宋体" w:cs="宋体" w:eastAsia="宋体" w:hint="default"/>
          <w:sz w:val="17"/>
          <w:szCs w:val="17"/>
        </w:rPr>
      </w:pPr>
    </w:p>
    <w:p>
      <w:pPr>
        <w:pStyle w:val="BodyText"/>
        <w:spacing w:line="477" w:lineRule="auto"/>
        <w:ind w:right="1116"/>
        <w:jc w:val="left"/>
      </w:pPr>
      <w:bookmarkStart w:name="2、报告期内，公司版权技术及保护业务技术比上年增加118.53%，主要是因为：公" w:id="32"/>
      <w:bookmarkEnd w:id="32"/>
      <w:r>
        <w:rPr/>
      </w:r>
      <w:r>
        <w:rPr>
          <w:rFonts w:ascii="宋体" w:hAnsi="宋体" w:cs="宋体" w:eastAsia="宋体" w:hint="default"/>
        </w:rPr>
        <w:t>2</w:t>
      </w:r>
      <w:r>
        <w:rPr/>
        <w:t>、报告期内，公司版权技术及保护业务技术比上年增加</w:t>
      </w:r>
      <w:r>
        <w:rPr>
          <w:spacing w:val="-58"/>
        </w:rPr>
        <w:t> </w:t>
      </w:r>
      <w:r>
        <w:rPr>
          <w:rFonts w:ascii="宋体" w:hAnsi="宋体" w:cs="宋体" w:eastAsia="宋体" w:hint="default"/>
        </w:rPr>
        <w:t>118.53%</w:t>
      </w:r>
      <w:r>
        <w:rPr/>
        <w:t>，主要是因为：公司</w:t>
      </w:r>
      <w:r>
        <w:rPr>
          <w:spacing w:val="-58"/>
        </w:rPr>
        <w:t> </w:t>
      </w:r>
      <w:r>
        <w:rPr>
          <w:rFonts w:ascii="宋体" w:hAnsi="宋体" w:cs="宋体" w:eastAsia="宋体" w:hint="default"/>
        </w:rPr>
        <w:t>2018</w:t>
      </w:r>
      <w:r>
        <w:rPr>
          <w:rFonts w:ascii="宋体" w:hAnsi="宋体" w:cs="宋体" w:eastAsia="宋体" w:hint="default"/>
          <w:spacing w:val="-58"/>
        </w:rPr>
        <w:t> </w:t>
      </w:r>
      <w:r>
        <w:rPr/>
        <w:t>年度为智能体育技术开发新增收 入</w:t>
      </w:r>
      <w:r>
        <w:rPr>
          <w:spacing w:val="-46"/>
        </w:rPr>
        <w:t> </w:t>
      </w:r>
      <w:r>
        <w:rPr>
          <w:rFonts w:ascii="宋体" w:hAnsi="宋体" w:cs="宋体" w:eastAsia="宋体" w:hint="default"/>
        </w:rPr>
        <w:t>943</w:t>
      </w:r>
      <w:r>
        <w:rPr>
          <w:rFonts w:ascii="宋体" w:hAnsi="宋体" w:cs="宋体" w:eastAsia="宋体" w:hint="default"/>
          <w:spacing w:val="-46"/>
        </w:rPr>
        <w:t> </w:t>
      </w:r>
      <w:r>
        <w:rPr/>
        <w:t>万元；版权交易与增值业务比上年增加</w:t>
      </w:r>
      <w:r>
        <w:rPr>
          <w:spacing w:val="-46"/>
        </w:rPr>
        <w:t> </w:t>
      </w:r>
      <w:r>
        <w:rPr>
          <w:rFonts w:ascii="宋体" w:hAnsi="宋体" w:cs="宋体" w:eastAsia="宋体" w:hint="default"/>
        </w:rPr>
        <w:t>85.71%</w:t>
      </w:r>
      <w:r>
        <w:rPr/>
        <w:t>，主要是因为：</w:t>
      </w:r>
      <w:r>
        <w:rPr>
          <w:rFonts w:ascii="宋体" w:hAnsi="宋体" w:cs="宋体" w:eastAsia="宋体" w:hint="default"/>
        </w:rPr>
        <w:t>2018</w:t>
      </w:r>
      <w:r>
        <w:rPr>
          <w:rFonts w:ascii="宋体" w:hAnsi="宋体" w:cs="宋体" w:eastAsia="宋体" w:hint="default"/>
          <w:spacing w:val="-46"/>
        </w:rPr>
        <w:t> </w:t>
      </w:r>
      <w:r>
        <w:rPr/>
        <w:t>年度公司新增内容分发业务及音乐分发业务。 </w:t>
      </w:r>
      <w:bookmarkStart w:name="3、报告期内，公司游戏分发业务比上年减少60.98%，主要是市场及政策影响致使游" w:id="33"/>
      <w:bookmarkEnd w:id="33"/>
      <w:r>
        <w:rPr/>
      </w:r>
      <w:r>
        <w:rPr>
          <w:rFonts w:ascii="宋体" w:hAnsi="宋体" w:cs="宋体" w:eastAsia="宋体" w:hint="default"/>
          <w:spacing w:val="-1"/>
        </w:rPr>
        <w:t>3</w:t>
      </w:r>
      <w:r>
        <w:rPr>
          <w:spacing w:val="-1"/>
        </w:rPr>
        <w:t>、报告期内，公司游戏分发业务比上年减少</w:t>
      </w:r>
      <w:r>
        <w:rPr>
          <w:spacing w:val="-31"/>
        </w:rPr>
        <w:t> </w:t>
      </w:r>
      <w:r>
        <w:rPr>
          <w:rFonts w:ascii="宋体" w:hAnsi="宋体" w:cs="宋体" w:eastAsia="宋体" w:hint="default"/>
          <w:spacing w:val="-1"/>
        </w:rPr>
        <w:t>60.98%</w:t>
      </w:r>
      <w:r>
        <w:rPr>
          <w:spacing w:val="-1"/>
        </w:rPr>
        <w:t>，主要是市场及政策影响致使游戏分发业务大幅缩减。网络流量服务比</w:t>
      </w:r>
      <w:r>
        <w:rPr>
          <w:spacing w:val="-87"/>
        </w:rPr>
        <w:t> </w:t>
      </w:r>
      <w:r>
        <w:rPr>
          <w:spacing w:val="-87"/>
        </w:rPr>
      </w:r>
      <w:r>
        <w:rPr/>
        <w:t>上年减少</w:t>
      </w:r>
      <w:r>
        <w:rPr>
          <w:spacing w:val="-46"/>
        </w:rPr>
        <w:t> </w:t>
      </w:r>
      <w:r>
        <w:rPr>
          <w:rFonts w:ascii="宋体" w:hAnsi="宋体" w:cs="宋体" w:eastAsia="宋体" w:hint="default"/>
        </w:rPr>
        <w:t>99.08%</w:t>
      </w:r>
      <w:r>
        <w:rPr/>
        <w:t>，主要是因为公司根据市场环境调整减少此项业务。</w:t>
      </w:r>
    </w:p>
    <w:p>
      <w:pPr>
        <w:pStyle w:val="BodyText"/>
        <w:spacing w:line="240" w:lineRule="auto" w:before="17"/>
        <w:ind w:right="817"/>
        <w:jc w:val="left"/>
      </w:pPr>
      <w:r>
        <w:rPr>
          <w:rFonts w:ascii="Times New Roman" w:hAnsi="Times New Roman" w:cs="Times New Roman" w:eastAsia="Times New Roman" w:hint="default"/>
        </w:rPr>
        <w:t>4</w:t>
      </w:r>
      <w:r>
        <w:rPr/>
        <w:t>、报告期内，公司影视业务及大数据业务比上年增加</w:t>
      </w:r>
      <w:r>
        <w:rPr>
          <w:spacing w:val="-46"/>
        </w:rPr>
        <w:t> </w:t>
      </w:r>
      <w:r>
        <w:rPr>
          <w:rFonts w:ascii="Times New Roman" w:hAnsi="Times New Roman" w:cs="Times New Roman" w:eastAsia="Times New Roman" w:hint="default"/>
        </w:rPr>
        <w:t>100%</w:t>
      </w:r>
      <w:r>
        <w:rPr/>
        <w:t>，是因为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年公司新增上述业务。</w:t>
      </w:r>
    </w:p>
    <w:p>
      <w:pPr>
        <w:pStyle w:val="BodyText"/>
        <w:spacing w:line="240" w:lineRule="auto" w:before="103"/>
        <w:ind w:right="817"/>
        <w:jc w:val="left"/>
      </w:pPr>
      <w:r>
        <w:rPr>
          <w:rFonts w:ascii="Times New Roman" w:hAnsi="Times New Roman" w:cs="Times New Roman" w:eastAsia="Times New Roman" w:hint="default"/>
        </w:rPr>
        <w:t>5</w:t>
      </w:r>
      <w:r>
        <w:rPr/>
        <w:t>、报告期内，公司华东地区营业收入比上年增加</w:t>
      </w:r>
      <w:r>
        <w:rPr>
          <w:spacing w:val="-46"/>
        </w:rPr>
        <w:t> </w:t>
      </w:r>
      <w:r>
        <w:rPr>
          <w:rFonts w:ascii="Times New Roman" w:hAnsi="Times New Roman" w:cs="Times New Roman" w:eastAsia="Times New Roman" w:hint="default"/>
        </w:rPr>
        <w:t>45.18%</w:t>
      </w:r>
      <w:r>
        <w:rPr/>
        <w:t>，是因为</w:t>
      </w:r>
      <w:r>
        <w:rPr>
          <w:spacing w:val="-46"/>
        </w:rPr>
        <w:t> </w:t>
      </w:r>
      <w:r>
        <w:rPr>
          <w:rFonts w:ascii="Times New Roman" w:hAnsi="Times New Roman" w:cs="Times New Roman" w:eastAsia="Times New Roman" w:hint="default"/>
        </w:rPr>
        <w:t>2018 </w:t>
      </w:r>
      <w:r>
        <w:rPr/>
        <w:t>年度华东地区商务信息用纸销售额增加。</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2）占公司营业收入或营业利润10%以上的行业、产品或地区情况" w:id="34"/>
      <w:bookmarkEnd w:id="34"/>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70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纸制品及相关服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270,713,299.64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223,097,040.04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437,857,979.35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303,027,002.23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商务信息用纸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270,713,299.64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223,097,040.04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互联网数字营销</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（新媒体矩阵）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5,601,221.86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355,276.96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版权技术及保护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29,615,429.64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11,695,970.69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版权交易与增值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106,277,631.02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47,182,351.58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游戏分发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75,925,496.72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51,195,084.15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游戏虚拟货币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85,247,517.13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86,419,073.56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网络流量服务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260,494.30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129,081,132.07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100,622,641.52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5,849,056.61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5,556,603.77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4,034,417.30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2,818,795.32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512,653,949.57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355,893,230.42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58,834,615.28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52,642,406.33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112,445,824.03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97,666,850.27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20,602,472.81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17,102,759.93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-16.78%</w:t>
            </w:r>
          </w:p>
        </w:tc>
      </w:tr>
    </w:tbl>
    <w:p>
      <w:pPr>
        <w:pStyle w:val="BodyText"/>
        <w:spacing w:line="240" w:lineRule="auto" w:before="51"/>
        <w:ind w:right="81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3）公司实物销售收入是否大于劳务收入" w:id="35"/>
      <w:bookmarkEnd w:id="35"/>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商务信息用纸</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223,097,040.04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217,549,966.14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120,536,332.34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127,575,545.95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24,083,843.38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23,921,088.69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0.68%</w:t>
            </w:r>
          </w:p>
        </w:tc>
      </w:tr>
    </w:tbl>
    <w:p>
      <w:pPr>
        <w:pStyle w:val="BodyText"/>
        <w:spacing w:line="240" w:lineRule="auto" w:before="51"/>
        <w:ind w:right="817"/>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817"/>
        <w:jc w:val="left"/>
        <w:rPr>
          <w:b w:val="0"/>
          <w:bCs w:val="0"/>
        </w:rPr>
      </w:pPr>
      <w:bookmarkStart w:name="（4）公司已签订的重大销售合同截至本报告期的履行情况" w:id="36"/>
      <w:bookmarkEnd w:id="36"/>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817"/>
        <w:jc w:val="left"/>
        <w:rPr>
          <w:b w:val="0"/>
          <w:bCs w:val="0"/>
        </w:rPr>
      </w:pPr>
      <w:bookmarkStart w:name="（5）营业成本构成" w:id="37"/>
      <w:bookmarkEnd w:id="37"/>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17"/>
        <w:jc w:val="left"/>
      </w:pPr>
      <w:r>
        <w:rPr/>
        <w:t>行业分类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2835"/>
        <w:gridCol w:w="2836"/>
        <w:gridCol w:w="1066"/>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417"/>
        <w:gridCol w:w="1418"/>
        <w:gridCol w:w="1417"/>
        <w:gridCol w:w="1419"/>
        <w:gridCol w:w="1417"/>
        <w:gridCol w:w="1066"/>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24"/>
              <w:jc w:val="left"/>
              <w:rPr>
                <w:rFonts w:ascii="宋体" w:hAnsi="宋体" w:cs="宋体" w:eastAsia="宋体" w:hint="default"/>
                <w:sz w:val="18"/>
                <w:szCs w:val="18"/>
              </w:rPr>
            </w:pPr>
            <w:r>
              <w:rPr>
                <w:rFonts w:ascii="宋体" w:hAnsi="宋体" w:cs="宋体" w:eastAsia="宋体" w:hint="default"/>
                <w:sz w:val="18"/>
                <w:szCs w:val="18"/>
              </w:rPr>
              <w:t>纸制品及相关服 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189,388,194.46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183,899,374.45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419"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15,551,337.78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13,285,713.95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w:t>
            </w:r>
          </w:p>
        </w:tc>
      </w:tr>
      <w:tr>
        <w:trPr>
          <w:trHeight w:val="402" w:hRule="exact"/>
        </w:trPr>
        <w:tc>
          <w:tcPr>
            <w:tcW w:w="1419"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8,241,549.79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9,607,949.52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z w:val="18"/>
              </w:rPr>
              <w:t>-14.22%</w:t>
            </w:r>
          </w:p>
        </w:tc>
      </w:tr>
      <w:tr>
        <w:trPr>
          <w:trHeight w:val="402" w:hRule="exact"/>
        </w:trPr>
        <w:tc>
          <w:tcPr>
            <w:tcW w:w="1419"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9,915,958.01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10,756,928.22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w:t>
            </w:r>
          </w:p>
        </w:tc>
      </w:tr>
      <w:tr>
        <w:trPr>
          <w:trHeight w:val="714"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24"/>
              <w:jc w:val="left"/>
              <w:rPr>
                <w:rFonts w:ascii="宋体" w:hAnsi="宋体" w:cs="宋体" w:eastAsia="宋体" w:hint="default"/>
                <w:sz w:val="18"/>
                <w:szCs w:val="18"/>
              </w:rPr>
            </w:pPr>
            <w:r>
              <w:rPr>
                <w:rFonts w:ascii="宋体" w:hAnsi="宋体" w:cs="宋体" w:eastAsia="宋体" w:hint="default"/>
                <w:sz w:val="18"/>
                <w:szCs w:val="18"/>
              </w:rPr>
              <w:t>互联网及相关服 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22" w:right="22"/>
              <w:jc w:val="left"/>
              <w:rPr>
                <w:rFonts w:ascii="宋体" w:hAnsi="宋体" w:cs="宋体" w:eastAsia="宋体" w:hint="default"/>
                <w:sz w:val="20"/>
                <w:szCs w:val="20"/>
              </w:rPr>
            </w:pPr>
            <w:r>
              <w:rPr>
                <w:rFonts w:ascii="宋体" w:hAnsi="宋体" w:cs="宋体" w:eastAsia="宋体" w:hint="default"/>
                <w:spacing w:val="-7"/>
                <w:sz w:val="20"/>
                <w:szCs w:val="20"/>
              </w:rPr>
              <w:t>互联网营销（新</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媒体矩阵）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355,276.96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255,023.07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39.31%</w:t>
            </w:r>
          </w:p>
        </w:tc>
      </w:tr>
      <w:tr>
        <w:trPr>
          <w:trHeight w:val="714" w:hRule="exact"/>
        </w:trPr>
        <w:tc>
          <w:tcPr>
            <w:tcW w:w="1419"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22" w:right="181"/>
              <w:jc w:val="left"/>
              <w:rPr>
                <w:rFonts w:ascii="宋体" w:hAnsi="宋体" w:cs="宋体" w:eastAsia="宋体" w:hint="default"/>
                <w:sz w:val="20"/>
                <w:szCs w:val="20"/>
              </w:rPr>
            </w:pPr>
            <w:r>
              <w:rPr>
                <w:rFonts w:ascii="宋体" w:hAnsi="宋体" w:cs="宋体" w:eastAsia="宋体" w:hint="default"/>
                <w:sz w:val="20"/>
                <w:szCs w:val="20"/>
              </w:rPr>
              <w:t>版权技术及保</w:t>
            </w:r>
            <w:r>
              <w:rPr>
                <w:rFonts w:ascii="宋体" w:hAnsi="宋体" w:cs="宋体" w:eastAsia="宋体" w:hint="default"/>
                <w:w w:val="100"/>
                <w:sz w:val="20"/>
                <w:szCs w:val="20"/>
              </w:rPr>
              <w:t> </w:t>
            </w:r>
            <w:r>
              <w:rPr>
                <w:rFonts w:ascii="宋体" w:hAnsi="宋体" w:cs="宋体" w:eastAsia="宋体" w:hint="default"/>
                <w:sz w:val="20"/>
                <w:szCs w:val="20"/>
              </w:rPr>
              <w:t>护业务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11,695,970.69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3,558,492.56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228.68%</w:t>
            </w:r>
          </w:p>
        </w:tc>
      </w:tr>
      <w:tr>
        <w:trPr>
          <w:trHeight w:val="714" w:hRule="exact"/>
        </w:trPr>
        <w:tc>
          <w:tcPr>
            <w:tcW w:w="1419"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22" w:right="181"/>
              <w:jc w:val="left"/>
              <w:rPr>
                <w:rFonts w:ascii="宋体" w:hAnsi="宋体" w:cs="宋体" w:eastAsia="宋体" w:hint="default"/>
                <w:sz w:val="20"/>
                <w:szCs w:val="20"/>
              </w:rPr>
            </w:pPr>
            <w:r>
              <w:rPr>
                <w:rFonts w:ascii="宋体" w:hAnsi="宋体" w:cs="宋体" w:eastAsia="宋体" w:hint="default"/>
                <w:sz w:val="20"/>
                <w:szCs w:val="20"/>
              </w:rPr>
              <w:t>版权交易与增</w:t>
            </w:r>
            <w:r>
              <w:rPr>
                <w:rFonts w:ascii="宋体" w:hAnsi="宋体" w:cs="宋体" w:eastAsia="宋体" w:hint="default"/>
                <w:w w:val="100"/>
                <w:sz w:val="20"/>
                <w:szCs w:val="20"/>
              </w:rPr>
              <w:t> </w:t>
            </w:r>
            <w:r>
              <w:rPr>
                <w:rFonts w:ascii="宋体" w:hAnsi="宋体" w:cs="宋体" w:eastAsia="宋体" w:hint="default"/>
                <w:sz w:val="20"/>
                <w:szCs w:val="20"/>
              </w:rPr>
              <w:t>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47,182,351.58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22,331,551.63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111.28%</w:t>
            </w:r>
          </w:p>
        </w:tc>
      </w:tr>
      <w:tr>
        <w:trPr>
          <w:trHeight w:val="402" w:hRule="exact"/>
        </w:trPr>
        <w:tc>
          <w:tcPr>
            <w:tcW w:w="1419"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游戏分发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51,195,084.15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138,859,300.50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-63.13%</w:t>
            </w:r>
          </w:p>
        </w:tc>
      </w:tr>
      <w:tr>
        <w:trPr>
          <w:trHeight w:val="402" w:hRule="exact"/>
        </w:trPr>
        <w:tc>
          <w:tcPr>
            <w:tcW w:w="1419"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游戏虚拟货币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86,419,073.56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83,194,134.12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1419"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网络流量服务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28,453,962.26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419"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影视业务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100,622,641.52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419"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大数据业务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5,556,603.77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817"/>
        <w:jc w:val="left"/>
      </w:pPr>
      <w:r>
        <w:rPr/>
        <w:t>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6）报告期内合并范围是否发生变动" w:id="38"/>
      <w:bookmarkEnd w:id="38"/>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415" w:lineRule="auto"/>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10</w:t>
      </w:r>
      <w:r>
        <w:rPr>
          <w:spacing w:val="-2"/>
        </w:rPr>
        <w:t>日，本公司全资子公司北京畅元国讯科技有限公司与九次方大数据信息集团有限公司合作设立厦门安妮大数</w:t>
      </w:r>
      <w:r>
        <w:rPr>
          <w:spacing w:val="-56"/>
        </w:rPr>
        <w:t> </w:t>
      </w:r>
      <w:r>
        <w:rPr>
          <w:spacing w:val="-56"/>
        </w:rPr>
      </w:r>
      <w:r>
        <w:rPr/>
        <w:t>据科技有限公司，其中北京畅元国讯科技有限公司持股</w:t>
      </w:r>
      <w:r>
        <w:rPr>
          <w:rFonts w:ascii="宋体" w:hAnsi="宋体" w:cs="宋体" w:eastAsia="宋体" w:hint="default"/>
        </w:rPr>
        <w:t>51%</w:t>
      </w:r>
      <w:r>
        <w:rPr/>
        <w:t>，九次方大数据信息集团有限公司持股</w:t>
      </w:r>
      <w:r>
        <w:rPr>
          <w:rFonts w:ascii="宋体" w:hAnsi="宋体" w:cs="宋体" w:eastAsia="宋体" w:hint="default"/>
        </w:rPr>
        <w:t>49%</w:t>
      </w:r>
      <w:r>
        <w:rPr/>
        <w:t>，本期纳入合并范围。 </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26</w:t>
      </w:r>
      <w:r>
        <w:rPr/>
        <w:t>日，本公司全资子公司泉州安妮贸易有限公司办理工商注销手续，导致本报告期及以后合并范围变更。</w:t>
      </w:r>
    </w:p>
    <w:p>
      <w:pPr>
        <w:pStyle w:val="BodyText"/>
        <w:spacing w:line="240" w:lineRule="auto" w:before="32"/>
        <w:ind w:right="817"/>
        <w:jc w:val="left"/>
      </w:pP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15</w:t>
      </w:r>
      <w:r>
        <w:rPr/>
        <w:t>日，公司收购北京市淘智惠电子商务有限公司</w:t>
      </w:r>
      <w:r>
        <w:rPr>
          <w:rFonts w:ascii="宋体" w:hAnsi="宋体" w:cs="宋体" w:eastAsia="宋体" w:hint="default"/>
        </w:rPr>
        <w:t>100%</w:t>
      </w:r>
      <w:r>
        <w:rPr/>
        <w:t>股权。</w:t>
      </w:r>
    </w:p>
    <w:p>
      <w:pPr>
        <w:spacing w:line="240" w:lineRule="auto" w:before="13"/>
        <w:rPr>
          <w:rFonts w:ascii="宋体" w:hAnsi="宋体" w:cs="宋体" w:eastAsia="宋体" w:hint="default"/>
          <w:sz w:val="25"/>
          <w:szCs w:val="25"/>
        </w:rPr>
      </w:pPr>
    </w:p>
    <w:p>
      <w:pPr>
        <w:pStyle w:val="Heading4"/>
        <w:spacing w:line="240" w:lineRule="auto"/>
        <w:ind w:right="817"/>
        <w:jc w:val="left"/>
        <w:rPr>
          <w:b w:val="0"/>
          <w:bCs w:val="0"/>
        </w:rPr>
      </w:pPr>
      <w:bookmarkStart w:name="（7）公司报告期内业务、产品或服务发生重大变化或调整有关情况" w:id="39"/>
      <w:bookmarkEnd w:id="39"/>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817"/>
        <w:jc w:val="left"/>
        <w:rPr>
          <w:b w:val="0"/>
          <w:bCs w:val="0"/>
        </w:rPr>
      </w:pPr>
      <w:bookmarkStart w:name="（8）主要销售客户和主要供应商情况" w:id="40"/>
      <w:bookmarkEnd w:id="40"/>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284,350,574.50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817"/>
        <w:jc w:val="left"/>
      </w:pPr>
      <w:r>
        <w:rPr/>
        <w:t>注：属于同一实际控制人控制的客户应当合并列示，受同一国有资产管理机构实际控制的除外。</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1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85,247,517.13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68,160,377.36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9.53%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59,788,679.25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48,641,187.64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22,512,813.13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3.15%</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284,350,574.50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39.77%</w:t>
            </w:r>
          </w:p>
        </w:tc>
      </w:tr>
    </w:tbl>
    <w:p>
      <w:pPr>
        <w:pStyle w:val="BodyText"/>
        <w:spacing w:line="240" w:lineRule="auto" w:before="51"/>
        <w:ind w:right="817"/>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246,972,987.87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81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42,071,830.38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34,219,517.86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20,602,407.73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20,179,231.90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246,972,987.87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45.12%</w:t>
            </w:r>
          </w:p>
        </w:tc>
      </w:tr>
    </w:tbl>
    <w:p>
      <w:pPr>
        <w:pStyle w:val="BodyText"/>
        <w:spacing w:line="240" w:lineRule="auto" w:before="51"/>
        <w:ind w:right="817"/>
        <w:jc w:val="left"/>
      </w:pPr>
      <w:r>
        <w:rPr/>
        <w:t>主要供应商其他情况说明</w:t>
      </w:r>
    </w:p>
    <w:p>
      <w:pPr>
        <w:pStyle w:val="BodyText"/>
        <w:spacing w:line="240" w:lineRule="auto" w:before="117"/>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3、费用" w:id="41"/>
      <w:bookmarkEnd w:id="41"/>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61,019,489.80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42,075,248.37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年度公司加大市场开拓力度</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66,425,567.13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98,170,582.86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年度服务费用同比减少</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1,428,446.66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-402,566.82</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454.83%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年度贷款增加</w:t>
            </w:r>
          </w:p>
        </w:tc>
      </w:tr>
      <w:tr>
        <w:trPr>
          <w:trHeight w:val="46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27,030,291.64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17,346,273.61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88"/>
              <w:jc w:val="right"/>
              <w:rPr>
                <w:rFonts w:ascii="Times New Roman" w:hAnsi="Times New Roman" w:cs="Times New Roman" w:eastAsia="Times New Roman" w:hint="default"/>
                <w:sz w:val="18"/>
                <w:szCs w:val="18"/>
              </w:rPr>
            </w:pPr>
            <w:r>
              <w:rPr>
                <w:rFonts w:ascii="Times New Roman"/>
                <w:spacing w:val="-1"/>
                <w:sz w:val="18"/>
              </w:rPr>
              <w:t>55.83%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年度版权大数据投入增加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817"/>
        <w:jc w:val="left"/>
        <w:rPr>
          <w:b w:val="0"/>
          <w:bCs w:val="0"/>
        </w:rPr>
      </w:pPr>
      <w:bookmarkStart w:name="4、研发投入" w:id="42"/>
      <w:bookmarkEnd w:id="42"/>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5、现金流" w:id="43"/>
      <w:bookmarkEnd w:id="43"/>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604,146,522.58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786,389,424.62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741,887,308.07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808,699,316.98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-137,740,785.49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-22,309,892.36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-517.40%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1,310,755,523.40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1,702,908,451.07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1,370,586,537.97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1,922,488,714.80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-59,831,014.57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-219,580,263.73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47,021,584.91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52,935,897.52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61,855,368.03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67,064,102.48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-14,833,783.12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552.10%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-130,436,681.06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-257,254,982.45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49.30%</w:t>
            </w:r>
          </w:p>
        </w:tc>
      </w:tr>
    </w:tbl>
    <w:p>
      <w:pPr>
        <w:pStyle w:val="BodyText"/>
        <w:spacing w:line="240" w:lineRule="auto" w:before="51"/>
        <w:ind w:right="817"/>
        <w:jc w:val="left"/>
      </w:pPr>
      <w:r>
        <w:rPr/>
        <w:t>相关数据同比发生重大变动的主要影响因素说明</w:t>
      </w:r>
    </w:p>
    <w:p>
      <w:pPr>
        <w:pStyle w:val="BodyText"/>
        <w:spacing w:line="432" w:lineRule="auto" w:before="116"/>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经营活动产生的现金流量净额同比</w:t>
      </w:r>
      <w:r>
        <w:rPr>
          <w:rFonts w:ascii="Times New Roman" w:hAnsi="Times New Roman" w:cs="Times New Roman" w:eastAsia="Times New Roman" w:hint="default"/>
          <w:spacing w:val="-1"/>
        </w:rPr>
        <w:t>2017</w:t>
      </w:r>
      <w:r>
        <w:rPr>
          <w:spacing w:val="-1"/>
        </w:rPr>
        <w:t>年减少</w:t>
      </w:r>
      <w:r>
        <w:rPr>
          <w:rFonts w:ascii="Times New Roman" w:hAnsi="Times New Roman" w:cs="Times New Roman" w:eastAsia="Times New Roman" w:hint="default"/>
          <w:spacing w:val="-1"/>
        </w:rPr>
        <w:t>517.40%</w:t>
      </w:r>
      <w:r>
        <w:rPr>
          <w:spacing w:val="-1"/>
        </w:rPr>
        <w:t>，是因为：报告期内公司影视剧联合摄制投入</w:t>
      </w:r>
      <w:r>
        <w:rPr>
          <w:rFonts w:ascii="宋体" w:hAnsi="宋体" w:cs="宋体" w:eastAsia="宋体" w:hint="default"/>
          <w:spacing w:val="-1"/>
        </w:rPr>
        <w:t>9800</w:t>
      </w:r>
      <w:r>
        <w:rPr>
          <w:spacing w:val="-1"/>
        </w:rPr>
        <w:t>万元，</w:t>
      </w:r>
      <w:r>
        <w:rPr>
          <w:rFonts w:ascii="宋体" w:hAnsi="宋体" w:cs="宋体" w:eastAsia="宋体" w:hint="default"/>
          <w:spacing w:val="-1"/>
        </w:rPr>
        <w:t>2018</w:t>
      </w:r>
      <w:r>
        <w:rPr>
          <w:spacing w:val="-1"/>
        </w:rPr>
        <w:t>年公司</w:t>
      </w:r>
      <w:r>
        <w:rPr>
          <w:spacing w:val="-37"/>
        </w:rPr>
        <w:t> </w:t>
      </w:r>
      <w:r>
        <w:rPr/>
        <w:t>版权家大数据平台建设投入较上上年增加</w:t>
      </w:r>
      <w:r>
        <w:rPr>
          <w:rFonts w:ascii="宋体" w:hAnsi="宋体" w:cs="宋体" w:eastAsia="宋体" w:hint="default"/>
        </w:rPr>
        <w:t>3889</w:t>
      </w:r>
      <w:r>
        <w:rPr/>
        <w:t>万元。</w:t>
      </w:r>
    </w:p>
    <w:p>
      <w:pPr>
        <w:pStyle w:val="BodyText"/>
        <w:spacing w:line="451" w:lineRule="auto" w:before="88"/>
        <w:ind w:right="2637"/>
        <w:jc w:val="left"/>
      </w:pPr>
      <w:r>
        <w:rPr/>
        <w:t>投资活动产生的现金流量净额同比</w:t>
      </w:r>
      <w:r>
        <w:rPr>
          <w:rFonts w:ascii="Times New Roman" w:hAnsi="Times New Roman" w:cs="Times New Roman" w:eastAsia="Times New Roman" w:hint="default"/>
        </w:rPr>
        <w:t>2017</w:t>
      </w:r>
      <w:r>
        <w:rPr/>
        <w:t>年增加</w:t>
      </w:r>
      <w:r>
        <w:rPr>
          <w:rFonts w:ascii="Times New Roman" w:hAnsi="Times New Roman" w:cs="Times New Roman" w:eastAsia="Times New Roman" w:hint="default"/>
        </w:rPr>
        <w:t>72.75%</w:t>
      </w:r>
      <w:r>
        <w:rPr/>
        <w:t>，是因为：</w:t>
      </w:r>
      <w:r>
        <w:rPr>
          <w:rFonts w:ascii="宋体" w:hAnsi="宋体" w:cs="宋体" w:eastAsia="宋体" w:hint="default"/>
        </w:rPr>
        <w:t>2017</w:t>
      </w:r>
      <w:r>
        <w:rPr/>
        <w:t>年度理财资金</w:t>
      </w:r>
      <w:r>
        <w:rPr>
          <w:rFonts w:ascii="宋体" w:hAnsi="宋体" w:cs="宋体" w:eastAsia="宋体" w:hint="default"/>
        </w:rPr>
        <w:t>2018</w:t>
      </w:r>
      <w:r>
        <w:rPr/>
        <w:t>年度到期回收。 筹资活动现金流入同比</w:t>
      </w:r>
      <w:r>
        <w:rPr>
          <w:rFonts w:ascii="Times New Roman" w:hAnsi="Times New Roman" w:cs="Times New Roman" w:eastAsia="Times New Roman" w:hint="default"/>
        </w:rPr>
        <w:t>2017</w:t>
      </w:r>
      <w:r>
        <w:rPr/>
        <w:t>年增加</w:t>
      </w:r>
      <w:r>
        <w:rPr>
          <w:rFonts w:ascii="Times New Roman" w:hAnsi="Times New Roman" w:cs="Times New Roman" w:eastAsia="Times New Roman" w:hint="default"/>
        </w:rPr>
        <w:t>155.20%</w:t>
      </w:r>
      <w:r>
        <w:rPr/>
        <w:t>，是因为：报告期内公司贷款增加所致。 筹资活动产生的现金流量净额同比</w:t>
      </w:r>
      <w:r>
        <w:rPr>
          <w:rFonts w:ascii="Times New Roman" w:hAnsi="Times New Roman" w:cs="Times New Roman" w:eastAsia="Times New Roman" w:hint="default"/>
        </w:rPr>
        <w:t>2017</w:t>
      </w:r>
      <w:r>
        <w:rPr/>
        <w:t>年增加</w:t>
      </w:r>
      <w:r>
        <w:rPr>
          <w:rFonts w:ascii="Times New Roman" w:hAnsi="Times New Roman" w:cs="Times New Roman" w:eastAsia="Times New Roman" w:hint="default"/>
        </w:rPr>
        <w:t>552.10%</w:t>
      </w:r>
      <w:r>
        <w:rPr/>
        <w:t>，是因为：报告期内公司贷款增加所致。</w:t>
      </w:r>
    </w:p>
    <w:p>
      <w:pPr>
        <w:pStyle w:val="BodyText"/>
        <w:spacing w:line="415" w:lineRule="auto" w:before="43"/>
        <w:ind w:right="4257"/>
        <w:jc w:val="left"/>
      </w:pPr>
      <w:r>
        <w:rPr/>
        <w:t>现金及现金等价物净增加额同比</w:t>
      </w:r>
      <w:r>
        <w:rPr>
          <w:rFonts w:ascii="Times New Roman" w:hAnsi="Times New Roman" w:cs="Times New Roman" w:eastAsia="Times New Roman" w:hint="default"/>
        </w:rPr>
        <w:t>2017</w:t>
      </w:r>
      <w:r>
        <w:rPr/>
        <w:t>年增加</w:t>
      </w:r>
      <w:r>
        <w:rPr>
          <w:rFonts w:ascii="Times New Roman" w:hAnsi="Times New Roman" w:cs="Times New Roman" w:eastAsia="Times New Roman" w:hint="default"/>
        </w:rPr>
        <w:t>49.30%</w:t>
      </w:r>
      <w:r>
        <w:rPr/>
        <w:t>，是因为：上述因素综合所致。 报告期内公司经营活动产生的现金净流量与本年度净利润存在重大差异的原因说明</w:t>
      </w:r>
    </w:p>
    <w:p>
      <w:pPr>
        <w:pStyle w:val="BodyText"/>
        <w:spacing w:line="234" w:lineRule="exact"/>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17"/>
        <w:jc w:val="left"/>
      </w:pPr>
      <w:r>
        <w:rPr/>
        <w:t>报告期内公司经营活动产生的现金净流量与本年度净利润差异是因为：报告期内公司应收账款客户资金占用较上年增长。</w:t>
      </w:r>
    </w:p>
    <w:p>
      <w:pPr>
        <w:spacing w:line="240" w:lineRule="auto" w:before="2"/>
        <w:rPr>
          <w:rFonts w:ascii="宋体" w:hAnsi="宋体" w:cs="宋体" w:eastAsia="宋体" w:hint="default"/>
          <w:sz w:val="25"/>
          <w:szCs w:val="25"/>
        </w:rPr>
      </w:pPr>
    </w:p>
    <w:p>
      <w:pPr>
        <w:pStyle w:val="Heading2"/>
        <w:spacing w:line="240" w:lineRule="auto"/>
        <w:ind w:right="817"/>
        <w:jc w:val="left"/>
        <w:rPr>
          <w:b w:val="0"/>
          <w:bCs w:val="0"/>
        </w:rPr>
      </w:pPr>
      <w:bookmarkStart w:name="三、非主营业务分析" w:id="44"/>
      <w:bookmarkEnd w:id="44"/>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817"/>
        <w:jc w:val="left"/>
        <w:rPr>
          <w:b w:val="0"/>
          <w:bCs w:val="0"/>
        </w:rPr>
      </w:pPr>
      <w:bookmarkStart w:name="四、资产及负债状况分析" w:id="45"/>
      <w:bookmarkEnd w:id="45"/>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资产构成重大变动情况" w:id="46"/>
      <w:bookmarkEnd w:id="46"/>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479"/>
        <w:gridCol w:w="1276"/>
        <w:gridCol w:w="1418"/>
        <w:gridCol w:w="1274"/>
        <w:gridCol w:w="994"/>
        <w:gridCol w:w="1771"/>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755"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7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4" w:type="dxa"/>
            <w:vMerge/>
            <w:tcBorders>
              <w:left w:val="single" w:sz="4" w:space="0" w:color="000000"/>
              <w:bottom w:val="nil" w:sz="6" w:space="0" w:color="auto"/>
              <w:right w:val="single" w:sz="4" w:space="0" w:color="000000"/>
            </w:tcBorders>
            <w:shd w:val="clear" w:color="auto" w:fill="D2D2D2"/>
          </w:tcPr>
          <w:p>
            <w:pPr/>
          </w:p>
        </w:tc>
        <w:tc>
          <w:tcPr>
            <w:tcW w:w="177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178,447,300.74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311,293,298.84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322,170,665.26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115,265,187.67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8.16%</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43,371,626.46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34,783,808.78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43,550,736.61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42,081,421.07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31,971,496.43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171,859,131.22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177,123,947.42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-0.29%</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0.44%</w:t>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以公允价值计量的资产和负债" w:id="47"/>
      <w:bookmarkEnd w:id="47"/>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506" w:lineRule="auto" w:before="0"/>
        <w:ind w:left="680" w:right="1558" w:hanging="526"/>
        <w:jc w:val="left"/>
        <w:rPr>
          <w:rFonts w:ascii="Times New Roman" w:hAnsi="Times New Roman" w:cs="Times New Roman" w:eastAsia="Times New Roman" w:hint="default"/>
          <w:sz w:val="21"/>
          <w:szCs w:val="21"/>
        </w:rPr>
      </w:pPr>
      <w:r>
        <w:rPr/>
        <w:pict>
          <v:shape style="position:absolute;margin-left:56.459999pt;margin-top:53.003696pt;width:461.5pt;height:68.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2978"/>
                    <w:gridCol w:w="3118"/>
                  </w:tblGrid>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8,524,078.97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11,247,520.72</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保函保证金</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108,994.08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71,200.00</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8,633,073.05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11,318,720.72</w:t>
                        </w:r>
                      </w:p>
                    </w:tc>
                  </w:tr>
                </w:tbl>
                <w:p>
                  <w:pPr/>
                </w:p>
              </w:txbxContent>
            </v:textbox>
            <w10:wrap type="none"/>
          </v:shape>
        </w:pict>
      </w:r>
      <w:bookmarkStart w:name="3、截至报告期末的资产权利受限情况" w:id="48"/>
      <w:bookmarkEnd w:id="4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1"/>
          <w:szCs w:val="21"/>
        </w:rPr>
        <w:t>因抵押、质押或冻结等对使用有限制，以及放在境外且资金汇回受到限制的货币资金明细如下</w:t>
      </w:r>
      <w:r>
        <w:rPr>
          <w:rFonts w:ascii="Times New Roman" w:hAnsi="Times New Roman" w:cs="Times New Roman" w:eastAsia="Times New Roman" w:hint="default"/>
          <w:sz w:val="21"/>
          <w:szCs w:val="21"/>
        </w:rPr>
        <w:t>:</w:t>
      </w:r>
    </w:p>
    <w:p>
      <w:pPr>
        <w:spacing w:after="0" w:line="506"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898648"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五、投资状况分析" w:id="49"/>
      <w:bookmarkEnd w:id="49"/>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总体情况" w:id="50"/>
      <w:bookmarkEnd w:id="50"/>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4536"/>
        <w:gridCol w:w="4962"/>
        <w:gridCol w:w="4395"/>
      </w:tblGrid>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2"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111,864,100.00</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20,850,000.00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436.52%</w:t>
            </w:r>
          </w:p>
        </w:tc>
      </w:tr>
    </w:tbl>
    <w:p>
      <w:pPr>
        <w:spacing w:line="240" w:lineRule="auto" w:before="2"/>
        <w:rPr>
          <w:rFonts w:ascii="宋体" w:hAnsi="宋体" w:cs="宋体" w:eastAsia="宋体" w:hint="default"/>
          <w:sz w:val="19"/>
          <w:szCs w:val="19"/>
        </w:rPr>
      </w:pPr>
    </w:p>
    <w:p>
      <w:pPr>
        <w:pStyle w:val="Heading4"/>
        <w:spacing w:line="240" w:lineRule="auto" w:before="35"/>
        <w:ind w:left="140" w:right="0"/>
        <w:jc w:val="left"/>
        <w:rPr>
          <w:b w:val="0"/>
          <w:bCs w:val="0"/>
        </w:rPr>
      </w:pPr>
      <w:bookmarkStart w:name="2、报告期内获取的重大的股权投资情况" w:id="51"/>
      <w:bookmarkEnd w:id="51"/>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295"/>
        <w:jc w:val="right"/>
      </w:pPr>
      <w:r>
        <w:rPr/>
        <w:t>单位：元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419"/>
        <w:gridCol w:w="1134"/>
        <w:gridCol w:w="709"/>
        <w:gridCol w:w="1274"/>
        <w:gridCol w:w="994"/>
        <w:gridCol w:w="850"/>
        <w:gridCol w:w="710"/>
        <w:gridCol w:w="850"/>
        <w:gridCol w:w="851"/>
        <w:gridCol w:w="992"/>
        <w:gridCol w:w="566"/>
        <w:gridCol w:w="852"/>
        <w:gridCol w:w="850"/>
        <w:gridCol w:w="993"/>
        <w:gridCol w:w="992"/>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1" w:right="59"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北京至美数码防 伪印务有限公司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生产、销售印 刷品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深圳市微梦想网 络技术有限公司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北京永信嘉创网 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7"/>
                <w:sz w:val="18"/>
                <w:szCs w:val="18"/>
              </w:rPr>
              <w:t>熊灿、杨</w:t>
            </w:r>
            <w:r>
              <w:rPr>
                <w:rFonts w:ascii="宋体" w:hAnsi="宋体" w:cs="宋体" w:eastAsia="宋体" w:hint="default"/>
                <w:sz w:val="18"/>
                <w:szCs w:val="18"/>
              </w:rPr>
              <w:t> 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4"/>
              <w:jc w:val="left"/>
              <w:rPr>
                <w:rFonts w:ascii="宋体" w:hAnsi="宋体" w:cs="宋体" w:eastAsia="宋体" w:hint="default"/>
                <w:sz w:val="18"/>
                <w:szCs w:val="18"/>
              </w:rPr>
            </w:pPr>
            <w:r>
              <w:rPr>
                <w:rFonts w:ascii="宋体" w:hAnsi="宋体" w:cs="宋体" w:eastAsia="宋体" w:hint="default"/>
                <w:sz w:val="18"/>
                <w:szCs w:val="18"/>
              </w:rPr>
              <w:t>九次方大数据信 息集团有限公司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大数据开发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5"/>
              <w:jc w:val="left"/>
              <w:rPr>
                <w:rFonts w:ascii="宋体" w:hAnsi="宋体" w:cs="宋体" w:eastAsia="宋体" w:hint="default"/>
                <w:sz w:val="18"/>
                <w:szCs w:val="18"/>
              </w:rPr>
            </w:pPr>
            <w:r>
              <w:rPr>
                <w:rFonts w:ascii="宋体" w:hAnsi="宋体" w:cs="宋体" w:eastAsia="宋体" w:hint="default"/>
                <w:sz w:val="18"/>
                <w:szCs w:val="18"/>
              </w:rPr>
              <w:t>王叁寿 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20"/>
              <w:jc w:val="both"/>
              <w:rPr>
                <w:rFonts w:ascii="宋体" w:hAnsi="宋体" w:cs="宋体" w:eastAsia="宋体" w:hint="default"/>
                <w:sz w:val="18"/>
                <w:szCs w:val="18"/>
              </w:rPr>
            </w:pPr>
            <w:r>
              <w:rPr>
                <w:rFonts w:ascii="宋体" w:hAnsi="宋体" w:cs="宋体" w:eastAsia="宋体" w:hint="default"/>
                <w:sz w:val="18"/>
                <w:szCs w:val="18"/>
              </w:rPr>
              <w:t>《厦门安妮 股份有限公 司对外投资 </w:t>
            </w:r>
            <w:r>
              <w:rPr>
                <w:rFonts w:ascii="宋体" w:hAnsi="宋体" w:cs="宋体" w:eastAsia="宋体" w:hint="default"/>
                <w:spacing w:val="-24"/>
                <w:sz w:val="18"/>
                <w:szCs w:val="18"/>
              </w:rPr>
              <w:t>公告》（公告</w:t>
            </w:r>
            <w:r>
              <w:rPr>
                <w:rFonts w:ascii="宋体" w:hAnsi="宋体" w:cs="宋体" w:eastAsia="宋体" w:hint="default"/>
                <w:sz w:val="18"/>
                <w:szCs w:val="18"/>
              </w:rPr>
              <w:t> 编号：</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2018-054</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headerReference w:type="default" r:id="rId16"/>
          <w:footerReference w:type="default" r:id="rId17"/>
          <w:pgSz w:w="16840" w:h="11910" w:orient="landscape"/>
          <w:pgMar w:header="867" w:footer="979" w:top="1060" w:bottom="1160" w:left="1300" w:right="1240"/>
          <w:pgNumType w:start="24"/>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19"/>
        <w:gridCol w:w="1134"/>
        <w:gridCol w:w="709"/>
        <w:gridCol w:w="1274"/>
        <w:gridCol w:w="994"/>
        <w:gridCol w:w="850"/>
        <w:gridCol w:w="710"/>
        <w:gridCol w:w="850"/>
        <w:gridCol w:w="851"/>
        <w:gridCol w:w="992"/>
        <w:gridCol w:w="566"/>
        <w:gridCol w:w="852"/>
        <w:gridCol w:w="850"/>
        <w:gridCol w:w="993"/>
        <w:gridCol w:w="992"/>
      </w:tblGrid>
      <w:tr>
        <w:trPr>
          <w:trHeight w:val="1665" w:hRule="exact"/>
        </w:trPr>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64"/>
              <w:jc w:val="left"/>
              <w:rPr>
                <w:rFonts w:ascii="宋体" w:hAnsi="宋体" w:cs="宋体" w:eastAsia="宋体" w:hint="default"/>
                <w:sz w:val="18"/>
                <w:szCs w:val="18"/>
              </w:rPr>
            </w:pPr>
            <w:r>
              <w:rPr>
                <w:rFonts w:ascii="宋体" w:hAnsi="宋体" w:cs="宋体" w:eastAsia="宋体" w:hint="default"/>
                <w:sz w:val="18"/>
                <w:szCs w:val="18"/>
              </w:rPr>
              <w:t>计易数据科技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 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科技推广与 应用服务业</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增资</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33.76%</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上海嵩 投网络 科技有 限公司 等</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北京市淘智惠电 子商务有限公司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知识产权服 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111,864,100.00</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20" w:right="0"/>
        <w:jc w:val="left"/>
        <w:rPr>
          <w:b w:val="0"/>
          <w:bCs w:val="0"/>
        </w:rPr>
      </w:pPr>
      <w:bookmarkStart w:name="3、报告期内正在进行的重大的非股权投资情况" w:id="52"/>
      <w:bookmarkEnd w:id="52"/>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20" w:right="0"/>
        <w:jc w:val="left"/>
        <w:rPr>
          <w:b w:val="0"/>
          <w:bCs w:val="0"/>
        </w:rPr>
      </w:pPr>
      <w:bookmarkStart w:name="4、以公允价值计量的金融资产" w:id="53"/>
      <w:bookmarkEnd w:id="53"/>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20" w:right="0"/>
        <w:jc w:val="left"/>
        <w:rPr>
          <w:b w:val="0"/>
          <w:bCs w:val="0"/>
        </w:rPr>
      </w:pPr>
      <w:bookmarkStart w:name="5、募集资金使用情况" w:id="54"/>
      <w:bookmarkEnd w:id="54"/>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20" w:right="0"/>
        <w:jc w:val="left"/>
        <w:rPr>
          <w:b w:val="0"/>
          <w:bCs w:val="0"/>
        </w:rPr>
      </w:pPr>
      <w:bookmarkStart w:name="（1）募集资金总体使用情况" w:id="55"/>
      <w:bookmarkEnd w:id="55"/>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95"/>
        <w:jc w:val="right"/>
      </w:pPr>
      <w:r>
        <w:rPr/>
        <w:t>单位：万元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3251"/>
        <w:gridCol w:w="2268"/>
        <w:gridCol w:w="1418"/>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尚未使用募集资金总额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7" w:right="48" w:hanging="990"/>
              <w:jc w:val="left"/>
              <w:rPr>
                <w:rFonts w:ascii="宋体" w:hAnsi="宋体" w:cs="宋体" w:eastAsia="宋体" w:hint="default"/>
                <w:sz w:val="18"/>
                <w:szCs w:val="18"/>
              </w:rPr>
            </w:pPr>
            <w:r>
              <w:rPr>
                <w:rFonts w:ascii="宋体" w:hAnsi="宋体" w:cs="宋体" w:eastAsia="宋体" w:hint="default"/>
                <w:sz w:val="18"/>
                <w:szCs w:val="18"/>
              </w:rPr>
              <w:t>尚未使用募集资金用途及去 向</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3" w:hanging="181"/>
              <w:jc w:val="left"/>
              <w:rPr>
                <w:rFonts w:ascii="宋体" w:hAnsi="宋体" w:cs="宋体" w:eastAsia="宋体" w:hint="default"/>
                <w:sz w:val="18"/>
                <w:szCs w:val="18"/>
              </w:rPr>
            </w:pPr>
            <w:r>
              <w:rPr>
                <w:rFonts w:ascii="宋体" w:hAnsi="宋体" w:cs="宋体" w:eastAsia="宋体" w:hint="default"/>
                <w:sz w:val="18"/>
                <w:szCs w:val="18"/>
              </w:rPr>
              <w:t>闲置两年以上募 集资金金额</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32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left="0" w:right="122"/>
        <w:jc w:val="right"/>
      </w:pPr>
      <w:r>
        <w:rPr/>
        <w:pict>
          <v:shape style="position:absolute;margin-left:71.760002pt;margin-top:-171.808273pt;width:695.4pt;height:378.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3251"/>
                    <w:gridCol w:w="2268"/>
                    <w:gridCol w:w="1419"/>
                  </w:tblGrid>
                  <w:tr>
                    <w:trPr>
                      <w:trHeight w:val="2601" w:hRule="exact"/>
                    </w:trPr>
                    <w:tc>
                      <w:tcPr>
                        <w:tcW w:w="8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tc>
                    <w:tc>
                      <w:tcPr>
                        <w:tcW w:w="86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97,665</w:t>
                        </w:r>
                      </w:p>
                    </w:tc>
                    <w:tc>
                      <w:tcPr>
                        <w:tcW w:w="8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10,508.22</w:t>
                        </w:r>
                      </w:p>
                    </w:tc>
                    <w:tc>
                      <w:tcPr>
                        <w:tcW w:w="8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21,450.07</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82,650.94</w:t>
                        </w:r>
                      </w:p>
                    </w:tc>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66,50.94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万元存放于募集资 金专用账户中，使用暂时闲 置的募集资金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购买银行理财产品，使用暂 时闲置的募集资金 </w:t>
                        </w:r>
                        <w:r>
                          <w:rPr>
                            <w:rFonts w:ascii="Times New Roman" w:hAnsi="Times New Roman" w:cs="Times New Roman" w:eastAsia="Times New Roman" w:hint="default"/>
                            <w:sz w:val="18"/>
                            <w:szCs w:val="18"/>
                          </w:rPr>
                          <w:t>44,000 </w:t>
                        </w:r>
                        <w:r>
                          <w:rPr>
                            <w:rFonts w:ascii="宋体" w:hAnsi="宋体" w:cs="宋体" w:eastAsia="宋体" w:hint="default"/>
                            <w:sz w:val="18"/>
                            <w:szCs w:val="18"/>
                          </w:rPr>
                          <w:t>万元购买结构性存款。使用 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 动资金。</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10,508.22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21,450.07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82,650.94</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8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47" w:hRule="exact"/>
                    </w:trPr>
                    <w:tc>
                      <w:tcPr>
                        <w:tcW w:w="1389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中国证券监督管理委员会《关于核准厦门安妮股份有限公司向杨超等发行股份购买资产并募集配套资金的批复》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核准，公司非公开发行</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55,834,729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 发行价格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999,999,996.39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元，扣除承销保荐费、律师费、审计费等发行费用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23,349,999.92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976,649,996.47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w:t>
                        </w:r>
                      </w:p>
                      <w:p>
                        <w:pPr>
                          <w:pStyle w:val="TableParagraph"/>
                          <w:spacing w:line="309" w:lineRule="auto" w:before="13"/>
                          <w:ind w:left="22" w:right="45"/>
                          <w:jc w:val="both"/>
                          <w:rPr>
                            <w:rFonts w:ascii="宋体" w:hAnsi="宋体" w:cs="宋体" w:eastAsia="宋体" w:hint="default"/>
                            <w:sz w:val="18"/>
                            <w:szCs w:val="18"/>
                          </w:rPr>
                        </w:pPr>
                        <w:r>
                          <w:rPr>
                            <w:rFonts w:ascii="宋体" w:hAnsi="宋体" w:cs="宋体" w:eastAsia="宋体" w:hint="default"/>
                            <w:sz w:val="18"/>
                            <w:szCs w:val="18"/>
                          </w:rPr>
                          <w:t>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日存入厦门银行股份有限公司海沧支行的募集资金专户。该募集资金业经立信会计师事务所（特殊普通合伙）出具的信会师报字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310900 </w:t>
                        </w:r>
                        <w:r>
                          <w:rPr>
                            <w:rFonts w:ascii="宋体" w:hAnsi="宋体" w:cs="宋体" w:eastAsia="宋体" w:hint="default"/>
                            <w:sz w:val="18"/>
                            <w:szCs w:val="18"/>
                          </w:rPr>
                          <w:t>号验资 </w:t>
                        </w:r>
                        <w:r>
                          <w:rPr>
                            <w:rFonts w:ascii="宋体" w:hAnsi="宋体" w:cs="宋体" w:eastAsia="宋体" w:hint="default"/>
                            <w:spacing w:val="-2"/>
                            <w:sz w:val="18"/>
                            <w:szCs w:val="18"/>
                          </w:rPr>
                          <w:t>报告审验确认。公司第四届董事会第十三次会议审议通过了《关于公司使用部分募集资金暂时补充流动资金的议案》，同意在不影响募集资金项目正常进行的前提下使用闲置募</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万元暂时补充流动资金，使用期限不超过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年度第二次临时股东大会审议通过了《关于使用部分闲置募集资金购买银行理财产品的议案》，同意</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公司使用不超过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万元闲置募集资金购买安全性高、流动性好、有保本约定的一年以内的短期银行理财产品，在上述额度内，资金可以在一年内进行滚动使用。公司第四届</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董事会第十七次会议及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年年度股东大会审议通过</w:t>
                        </w:r>
                        <w:r>
                          <w:rPr>
                            <w:rFonts w:ascii="宋体" w:hAnsi="宋体" w:cs="宋体" w:eastAsia="宋体" w:hint="default"/>
                            <w:spacing w:val="-35"/>
                            <w:sz w:val="18"/>
                            <w:szCs w:val="18"/>
                          </w:rPr>
                          <w:t>了</w:t>
                        </w:r>
                        <w:r>
                          <w:rPr>
                            <w:rFonts w:ascii="宋体" w:hAnsi="宋体" w:cs="宋体" w:eastAsia="宋体" w:hint="default"/>
                            <w:sz w:val="18"/>
                            <w:szCs w:val="18"/>
                          </w:rPr>
                          <w:t>《关于公司继续使用部分闲置募集资金购买银行理财产品的议案</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同意公司继续使用不超过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买安全性高、流动性好、有保本约定的一年以内的短期银行理财产品或结构性存款，在上述额度内，资金可以在一年内进行滚动使用。公司第四届董事会第十九次会议及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年度第一次临时股东大会审议通过了《关于公司使用部分闲置募集资金购买券商收益凭证的议案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万元闲置募集资金购买券商收益凭证，在上述额</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度内，资金可以在一年内进行滚动使用。本次使用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万元闲置募集资金购买券商收益凭证的额度纳入前期经审批的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万元的额度范围内。公司第四届董事会第二十一</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次会议审议通过了《关于公司继续使用部分闲置募集资金暂时补充流动资金的议案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万元暂时用于补充流动资金，使用期限自公司董事会审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议批准之日起不超过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日，公司使用暂时闲置的募集资金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万元购买银行理财产品，使用暂时闲置的募集资金 </w:t>
                        </w:r>
                        <w:r>
                          <w:rPr>
                            <w:rFonts w:ascii="Times New Roman" w:hAnsi="Times New Roman" w:cs="Times New Roman" w:eastAsia="Times New Roman" w:hint="default"/>
                            <w:sz w:val="18"/>
                            <w:szCs w:val="18"/>
                          </w:rPr>
                          <w:t>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万元购买结构性存款。</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公司实际使用金额为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万元暂时补充流动资金。报告期内，公司使用募集总额为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10,508.22 </w:t>
                        </w:r>
                        <w:r>
                          <w:rPr>
                            <w:rFonts w:ascii="宋体" w:hAnsi="宋体" w:cs="宋体" w:eastAsia="宋体" w:hint="default"/>
                            <w:sz w:val="18"/>
                            <w:szCs w:val="18"/>
                          </w:rPr>
                          <w:t>万元，累计使用募集资金为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21,450.07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35"/>
        <w:ind w:left="120" w:right="0"/>
        <w:jc w:val="left"/>
        <w:rPr>
          <w:b w:val="0"/>
          <w:bCs w:val="0"/>
        </w:rPr>
      </w:pPr>
      <w:bookmarkStart w:name="（2）募集资金承诺项目情况" w:id="56"/>
      <w:bookmarkEnd w:id="56"/>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215"/>
        <w:jc w:val="right"/>
      </w:pPr>
      <w:r>
        <w:rPr/>
        <w:t>单位：万元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844"/>
        <w:gridCol w:w="1134"/>
        <w:gridCol w:w="992"/>
        <w:gridCol w:w="992"/>
        <w:gridCol w:w="1134"/>
        <w:gridCol w:w="1418"/>
        <w:gridCol w:w="1276"/>
        <w:gridCol w:w="1559"/>
        <w:gridCol w:w="1134"/>
        <w:gridCol w:w="992"/>
        <w:gridCol w:w="1418"/>
      </w:tblGrid>
      <w:tr>
        <w:trPr>
          <w:trHeight w:val="36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承诺投资项目和超募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是否已变更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募集资金承</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调整后投资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本报告期投</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截至期末累计投</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截至期末投资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项目达到预定可使</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本报告期实</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是否达到预</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项目可行性是否</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44"/>
        <w:gridCol w:w="1130"/>
        <w:gridCol w:w="996"/>
        <w:gridCol w:w="992"/>
        <w:gridCol w:w="1134"/>
        <w:gridCol w:w="1418"/>
        <w:gridCol w:w="1279"/>
        <w:gridCol w:w="1551"/>
        <w:gridCol w:w="1142"/>
        <w:gridCol w:w="988"/>
        <w:gridCol w:w="1419"/>
      </w:tblGrid>
      <w:tr>
        <w:trPr>
          <w:trHeight w:val="689" w:hRule="exact"/>
        </w:trPr>
        <w:tc>
          <w:tcPr>
            <w:tcW w:w="184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11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351" w:right="76" w:hanging="27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99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诺投资总额</w:t>
            </w: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1"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入金额</w:t>
            </w:r>
            <w:r>
              <w:rPr>
                <w:rFonts w:ascii="Times New Roman" w:hAnsi="Times New Roman" w:cs="Times New Roman" w:eastAsia="Times New Roman" w:hint="default"/>
                <w:sz w:val="18"/>
                <w:szCs w:val="18"/>
              </w:rPr>
              <w:t>(2)</w:t>
            </w:r>
          </w:p>
        </w:tc>
        <w:tc>
          <w:tcPr>
            <w:tcW w:w="127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
              <w:jc w:val="right"/>
              <w:rPr>
                <w:rFonts w:ascii="Times New Roman" w:hAnsi="Times New Roman" w:cs="Times New Roman" w:eastAsia="Times New Roman" w:hint="default"/>
                <w:sz w:val="18"/>
                <w:szCs w:val="18"/>
              </w:rPr>
            </w:pPr>
            <w:r>
              <w:rPr>
                <w:rFonts w:ascii="宋体" w:hAnsi="宋体" w:cs="宋体" w:eastAsia="宋体" w:hint="default"/>
                <w:sz w:val="18"/>
                <w:szCs w:val="18"/>
              </w:rPr>
              <w:t>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55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用状态日期</w:t>
            </w:r>
          </w:p>
        </w:tc>
        <w:tc>
          <w:tcPr>
            <w:tcW w:w="11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9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计效益</w:t>
            </w:r>
          </w:p>
        </w:tc>
        <w:tc>
          <w:tcPr>
            <w:tcW w:w="141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发生重大变化</w:t>
            </w:r>
          </w:p>
        </w:tc>
      </w:tr>
      <w:tr>
        <w:trPr>
          <w:trHeight w:val="402" w:hRule="exact"/>
        </w:trPr>
        <w:tc>
          <w:tcPr>
            <w:tcW w:w="138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支付收购畅元国讯现 金对价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10,725.65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4,289.62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10,725.65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版权大数据平台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6,218.60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10,724.42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12.47%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6"/>
              <w:jc w:val="right"/>
              <w:rPr>
                <w:rFonts w:ascii="Times New Roman" w:hAnsi="Times New Roman" w:cs="Times New Roman" w:eastAsia="Times New Roman" w:hint="default"/>
                <w:sz w:val="18"/>
                <w:szCs w:val="18"/>
              </w:rPr>
            </w:pPr>
            <w:r>
              <w:rPr>
                <w:rFonts w:ascii="Times New Roman"/>
                <w:sz w:val="18"/>
              </w:rPr>
              <w:t>--</w:t>
            </w:r>
          </w:p>
        </w:tc>
        <w:tc>
          <w:tcPr>
            <w:tcW w:w="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96,725.65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96,725.65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10,508.22</w:t>
            </w:r>
          </w:p>
        </w:tc>
        <w:tc>
          <w:tcPr>
            <w:tcW w:w="141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21,450.07</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42" w:type="dxa"/>
            <w:tcBorders>
              <w:top w:val="single" w:sz="4" w:space="0" w:color="000000"/>
              <w:left w:val="single" w:sz="13" w:space="0" w:color="D2D2D2"/>
              <w:bottom w:val="single" w:sz="4" w:space="0" w:color="000000"/>
              <w:right w:val="single" w:sz="13" w:space="0" w:color="D2D2D2"/>
            </w:tcBorders>
          </w:tcPr>
          <w:p>
            <w:pP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38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6"/>
              <w:jc w:val="right"/>
              <w:rPr>
                <w:rFonts w:ascii="Times New Roman" w:hAnsi="Times New Roman" w:cs="Times New Roman" w:eastAsia="Times New Roman" w:hint="default"/>
                <w:sz w:val="18"/>
                <w:szCs w:val="18"/>
              </w:rPr>
            </w:pPr>
            <w:r>
              <w:rPr>
                <w:rFonts w:ascii="Times New Roman"/>
                <w:sz w:val="18"/>
              </w:rPr>
              <w:t>--</w:t>
            </w:r>
          </w:p>
        </w:tc>
        <w:tc>
          <w:tcPr>
            <w:tcW w:w="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6"/>
              <w:jc w:val="right"/>
              <w:rPr>
                <w:rFonts w:ascii="Times New Roman" w:hAnsi="Times New Roman" w:cs="Times New Roman" w:eastAsia="Times New Roman" w:hint="default"/>
                <w:sz w:val="18"/>
                <w:szCs w:val="18"/>
              </w:rPr>
            </w:pPr>
            <w:r>
              <w:rPr>
                <w:rFonts w:ascii="Times New Roman"/>
                <w:sz w:val="18"/>
              </w:rPr>
              <w:t>--</w:t>
            </w:r>
          </w:p>
        </w:tc>
        <w:tc>
          <w:tcPr>
            <w:tcW w:w="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6"/>
              <w:jc w:val="right"/>
              <w:rPr>
                <w:rFonts w:ascii="Times New Roman" w:hAnsi="Times New Roman" w:cs="Times New Roman" w:eastAsia="Times New Roman" w:hint="default"/>
                <w:sz w:val="18"/>
                <w:szCs w:val="18"/>
              </w:rPr>
            </w:pPr>
            <w:r>
              <w:rPr>
                <w:rFonts w:ascii="Times New Roman"/>
                <w:sz w:val="18"/>
              </w:rPr>
              <w:t>--</w:t>
            </w:r>
          </w:p>
        </w:tc>
        <w:tc>
          <w:tcPr>
            <w:tcW w:w="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42" w:type="dxa"/>
            <w:tcBorders>
              <w:top w:val="single" w:sz="4" w:space="0" w:color="000000"/>
              <w:left w:val="single" w:sz="13" w:space="0" w:color="D2D2D2"/>
              <w:bottom w:val="single" w:sz="4" w:space="0" w:color="000000"/>
              <w:right w:val="single" w:sz="13" w:space="0" w:color="D2D2D2"/>
            </w:tcBorders>
          </w:tcPr>
          <w:p>
            <w:pP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6"/>
              <w:jc w:val="right"/>
              <w:rPr>
                <w:rFonts w:ascii="Times New Roman" w:hAnsi="Times New Roman" w:cs="Times New Roman" w:eastAsia="Times New Roman" w:hint="default"/>
                <w:sz w:val="18"/>
                <w:szCs w:val="18"/>
              </w:rPr>
            </w:pPr>
            <w:r>
              <w:rPr>
                <w:rFonts w:ascii="Times New Roman"/>
                <w:sz w:val="18"/>
              </w:rPr>
              <w:t>--</w:t>
            </w:r>
          </w:p>
        </w:tc>
        <w:tc>
          <w:tcPr>
            <w:tcW w:w="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96,725.65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96,725.65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10,508.22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21,450.07</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4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1205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22"/>
              <w:jc w:val="left"/>
              <w:rPr>
                <w:rFonts w:ascii="宋体" w:hAnsi="宋体" w:cs="宋体" w:eastAsia="宋体" w:hint="default"/>
                <w:sz w:val="18"/>
                <w:szCs w:val="18"/>
              </w:rPr>
            </w:pPr>
            <w:r>
              <w:rPr>
                <w:rFonts w:ascii="宋体" w:hAnsi="宋体" w:cs="宋体" w:eastAsia="宋体" w:hint="default"/>
                <w:spacing w:val="-1"/>
                <w:sz w:val="18"/>
                <w:szCs w:val="18"/>
              </w:rPr>
              <w:t>版权大数据平台目前仍在建设中，未达到计划进度主要是因为虽然近几年国内知识产权发展加快，但是市场对于数字版权付费的认知及意识习惯的养成仍</w:t>
            </w:r>
            <w:r>
              <w:rPr>
                <w:rFonts w:ascii="宋体" w:hAnsi="宋体" w:cs="宋体" w:eastAsia="宋体" w:hint="default"/>
                <w:sz w:val="18"/>
                <w:szCs w:val="18"/>
              </w:rPr>
              <w:t> 需一定过程，公司结合实际情况放缓资金投入，谨慎合理使用募集资金。</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1205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6"/>
              <w:ind w:left="22" w:right="22"/>
              <w:jc w:val="left"/>
              <w:rPr>
                <w:rFonts w:ascii="宋体" w:hAnsi="宋体" w:cs="宋体" w:eastAsia="宋体" w:hint="default"/>
                <w:sz w:val="18"/>
                <w:szCs w:val="18"/>
              </w:rPr>
            </w:pPr>
            <w:r>
              <w:rPr>
                <w:rFonts w:ascii="宋体" w:hAnsi="宋体" w:cs="宋体" w:eastAsia="宋体" w:hint="default"/>
                <w:spacing w:val="-2"/>
                <w:sz w:val="18"/>
                <w:szCs w:val="18"/>
              </w:rPr>
              <w:t>超募资金的金额、用途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及使用进展情况</w:t>
            </w:r>
          </w:p>
        </w:tc>
        <w:tc>
          <w:tcPr>
            <w:tcW w:w="1205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0"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0" w:type="dxa"/>
            <w:gridSpan w:val="10"/>
            <w:vMerge w:val="restart"/>
            <w:tcBorders>
              <w:top w:val="single" w:sz="4" w:space="0" w:color="000000"/>
              <w:left w:val="single" w:sz="13" w:space="0" w:color="D2D2D2"/>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3"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12050" w:type="dxa"/>
            <w:gridSpan w:val="10"/>
            <w:vMerge/>
            <w:tcBorders>
              <w:left w:val="single" w:sz="13" w:space="0" w:color="D2D2D2"/>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12050" w:type="dxa"/>
            <w:gridSpan w:val="10"/>
            <w:tcBorders>
              <w:top w:val="single" w:sz="4" w:space="0" w:color="000000"/>
              <w:left w:val="single" w:sz="13" w:space="0" w:color="D2D2D2"/>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44"/>
        <w:gridCol w:w="12050"/>
      </w:tblGrid>
      <w:tr>
        <w:trPr>
          <w:trHeight w:val="819" w:hRule="exact"/>
        </w:trPr>
        <w:tc>
          <w:tcPr>
            <w:tcW w:w="184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7"/>
              <w:ind w:left="22" w:right="1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120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67" w:hRule="exact"/>
        </w:trPr>
        <w:tc>
          <w:tcPr>
            <w:tcW w:w="1844" w:type="dxa"/>
            <w:vMerge/>
            <w:tcBorders>
              <w:left w:val="single" w:sz="4" w:space="0" w:color="000000"/>
              <w:bottom w:val="single" w:sz="4" w:space="0" w:color="FFFFFF"/>
              <w:right w:val="single" w:sz="4" w:space="0" w:color="000000"/>
            </w:tcBorders>
            <w:shd w:val="clear" w:color="auto" w:fill="D2D2D2"/>
          </w:tcPr>
          <w:p>
            <w:pPr/>
          </w:p>
        </w:tc>
        <w:tc>
          <w:tcPr>
            <w:tcW w:w="1205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召开的第四届董事会第三次会议审议通过了《关于使用部分闲置募集资金暂时补充流动资金的议案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，同意公司使用闲置募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万元暂时用于补充流动资金，使用期限自公司董事会。上述募集资金于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日全部归还并存入公司募集资金专用账户。</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召开的第四届董事会第十三次会议审议通过了《关于公司继续使用部分闲置募集资金暂时补充流动资金的议案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w:t>
            </w:r>
          </w:p>
          <w:p>
            <w:pPr>
              <w:pStyle w:val="TableParagraph"/>
              <w:spacing w:line="302" w:lineRule="auto" w:before="63"/>
              <w:ind w:left="22" w:right="91"/>
              <w:jc w:val="left"/>
              <w:rPr>
                <w:rFonts w:ascii="宋体" w:hAnsi="宋体" w:cs="宋体" w:eastAsia="宋体" w:hint="default"/>
                <w:sz w:val="18"/>
                <w:szCs w:val="18"/>
              </w:rPr>
            </w:pPr>
            <w:r>
              <w:rPr>
                <w:rFonts w:ascii="宋体" w:hAnsi="宋体" w:cs="宋体" w:eastAsia="宋体" w:hint="default"/>
                <w:sz w:val="18"/>
                <w:szCs w:val="18"/>
              </w:rPr>
              <w:t>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万元暂时用于补充流动资金，使用期限自公司董事会审议批准之日起不超过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个月。上述募集资金于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 还并存入公司募集资金专用账户。</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开的第四届董事会第二十一次会议审议通过了《关于公司继续使用部分闲置募集资金暂时补充流动资金的议案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万元暂时用于补充流动资金，使用期限自公司董事会审议批准之日起不超过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日本公司实际使用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804" w:hRule="exact"/>
        </w:trPr>
        <w:tc>
          <w:tcPr>
            <w:tcW w:w="184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95"/>
              <w:ind w:left="22" w:right="18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120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66,509,397.86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存放于公司募集资金专用账户及募投公司银行账户。</w:t>
            </w:r>
          </w:p>
        </w:tc>
      </w:tr>
      <w:tr>
        <w:trPr>
          <w:trHeight w:val="395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189"/>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、公司第四届董事会第三次会议审议及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年度第四次临时股东大会审议通过了《关于公司使用部分闲置募集资金购买银行理财产品的议案</w:t>
            </w:r>
            <w:r>
              <w:rPr>
                <w:rFonts w:ascii="宋体" w:hAnsi="宋体" w:cs="宋体" w:eastAsia="宋体" w:hint="default"/>
                <w:spacing w:val="-90"/>
                <w:sz w:val="18"/>
                <w:szCs w:val="18"/>
              </w:rPr>
              <w:t>》</w:t>
            </w:r>
            <w:r>
              <w:rPr>
                <w:rFonts w:ascii="宋体" w:hAnsi="宋体" w:cs="宋体" w:eastAsia="宋体" w:hint="default"/>
                <w:sz w:val="18"/>
                <w:szCs w:val="18"/>
              </w:rPr>
              <w:t>，同意公</w:t>
            </w:r>
          </w:p>
          <w:p>
            <w:pPr>
              <w:pStyle w:val="TableParagraph"/>
              <w:spacing w:line="240" w:lineRule="auto" w:before="61"/>
              <w:ind w:left="22" w:right="-43"/>
              <w:jc w:val="left"/>
              <w:rPr>
                <w:rFonts w:ascii="宋体" w:hAnsi="宋体" w:cs="宋体" w:eastAsia="宋体" w:hint="default"/>
                <w:sz w:val="18"/>
                <w:szCs w:val="18"/>
              </w:rPr>
            </w:pPr>
            <w:r>
              <w:rPr>
                <w:rFonts w:ascii="宋体" w:hAnsi="宋体" w:cs="宋体" w:eastAsia="宋体" w:hint="default"/>
                <w:sz w:val="18"/>
                <w:szCs w:val="18"/>
              </w:rPr>
              <w:t>司使用不超过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万元闲置募集资金购买安全性高、流动性好、有保本约定的一年以内的短期银行理财产品。上述募集资金分别于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日全部归还并存入公司募集资金专用账户。</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、公司第四届董事会第十三次会议及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年度第二次临时股东大会审议通过了《关于公司继续使用部分闲置募集资金购买银行理财产品的议案</w:t>
            </w:r>
            <w:r>
              <w:rPr>
                <w:rFonts w:ascii="宋体" w:hAnsi="宋体" w:cs="宋体" w:eastAsia="宋体" w:hint="default"/>
                <w:spacing w:val="-90"/>
                <w:sz w:val="18"/>
                <w:szCs w:val="18"/>
              </w:rPr>
              <w:t>》</w:t>
            </w:r>
            <w:r>
              <w:rPr>
                <w:rFonts w:ascii="宋体" w:hAnsi="宋体" w:cs="宋体" w:eastAsia="宋体" w:hint="default"/>
                <w:sz w:val="18"/>
                <w:szCs w:val="18"/>
              </w:rPr>
              <w:t>，同意</w:t>
            </w:r>
          </w:p>
          <w:p>
            <w:pPr>
              <w:pStyle w:val="TableParagraph"/>
              <w:spacing w:line="302" w:lineRule="auto" w:before="63"/>
              <w:ind w:left="22" w:right="90"/>
              <w:jc w:val="left"/>
              <w:rPr>
                <w:rFonts w:ascii="宋体" w:hAnsi="宋体" w:cs="宋体" w:eastAsia="宋体" w:hint="default"/>
                <w:sz w:val="18"/>
                <w:szCs w:val="18"/>
              </w:rPr>
            </w:pPr>
            <w:r>
              <w:rPr>
                <w:rFonts w:ascii="宋体" w:hAnsi="宋体" w:cs="宋体" w:eastAsia="宋体" w:hint="default"/>
                <w:sz w:val="18"/>
                <w:szCs w:val="18"/>
              </w:rPr>
              <w:t>公司继续使用不超过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万元闲置募集资金购买安全性高、流动性好、有保本约定的一年以内的短期银行理财产品，在上述额度内，资金可以在一年 内进行滚动使用。</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、公司第四届董事会第十七次会议及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年年度股东大会审议通过了《关于公司继续使用部分闲置募集资金购买银行理财产品的议案</w:t>
            </w:r>
            <w:r>
              <w:rPr>
                <w:rFonts w:ascii="宋体" w:hAnsi="宋体" w:cs="宋体" w:eastAsia="宋体" w:hint="default"/>
                <w:spacing w:val="-90"/>
                <w:sz w:val="18"/>
                <w:szCs w:val="18"/>
              </w:rPr>
              <w:t>》</w:t>
            </w:r>
            <w:r>
              <w:rPr>
                <w:rFonts w:ascii="宋体" w:hAnsi="宋体" w:cs="宋体" w:eastAsia="宋体" w:hint="default"/>
                <w:sz w:val="18"/>
                <w:szCs w:val="18"/>
              </w:rPr>
              <w:t>，同意公司继续</w:t>
            </w:r>
          </w:p>
          <w:p>
            <w:pPr>
              <w:pStyle w:val="TableParagraph"/>
              <w:spacing w:line="302" w:lineRule="auto" w:before="63"/>
              <w:ind w:left="22" w:right="91"/>
              <w:jc w:val="left"/>
              <w:rPr>
                <w:rFonts w:ascii="宋体" w:hAnsi="宋体" w:cs="宋体" w:eastAsia="宋体" w:hint="default"/>
                <w:sz w:val="18"/>
                <w:szCs w:val="18"/>
              </w:rPr>
            </w:pPr>
            <w:r>
              <w:rPr>
                <w:rFonts w:ascii="宋体" w:hAnsi="宋体" w:cs="宋体" w:eastAsia="宋体" w:hint="default"/>
                <w:sz w:val="18"/>
                <w:szCs w:val="18"/>
              </w:rPr>
              <w:t>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万元闲置募集资金购买安全性高、流动性好、有保本约定的一年以内的短期银行理财产品或结构性存款，在上述额度内，资金可以在 一年内进行滚动使用。</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、公司第四届董事会第十九次会议及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年度第一次临时股东大会审议通过了《关于公司使用部分闲置募集资金购买券商收益凭证的议案</w:t>
            </w:r>
            <w:r>
              <w:rPr>
                <w:rFonts w:ascii="宋体" w:hAnsi="宋体" w:cs="宋体" w:eastAsia="宋体" w:hint="default"/>
                <w:spacing w:val="-90"/>
                <w:sz w:val="18"/>
                <w:szCs w:val="18"/>
              </w:rPr>
              <w:t>》</w:t>
            </w:r>
            <w:r>
              <w:rPr>
                <w:rFonts w:ascii="宋体" w:hAnsi="宋体" w:cs="宋体" w:eastAsia="宋体" w:hint="default"/>
                <w:sz w:val="18"/>
                <w:szCs w:val="18"/>
              </w:rPr>
              <w:t>，同意公司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万元闲置募集资金购买券商收益凭证，在上述额度内，资金可以在一年内进行滚动使用。本次使用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万元闲置募集资金购买券商</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收益凭证的额度纳入前期经审批的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万元的额度范围内。</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p>
    <w:p>
      <w:pPr>
        <w:spacing w:line="405"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701.7pt;height:20.3pt;mso-position-horizontal-relative:char;mso-position-vertical-relative:line" coordorigin="0,0" coordsize="14034,406">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style="position:absolute;left:42;top:38;width:1834;height:353" coordorigin="42,38" coordsize="1834,353">
              <v:shape style="position:absolute;left:42;top:38;width:1834;height:353" coordorigin="42,38" coordsize="1834,353" path="m42,391l1876,391,1876,38,42,38,42,391xe" filled="true" fillcolor="#d2d2d2" stroked="false">
                <v:path arrowok="t"/>
                <v:fill type="solid"/>
              </v:shape>
            </v:group>
            <v:group style="position:absolute;left:42;top:34;width:1834;height:2" coordorigin="42,34" coordsize="1834,2">
              <v:shape style="position:absolute;left:42;top:34;width:1834;height:2" coordorigin="42,34" coordsize="1834,0" path="m42,34l1876,34e" filled="false" stroked="true" strokeweight=".48pt" strokecolor="#000000">
                <v:path arrowok="t"/>
              </v:shape>
            </v:group>
            <v:group style="position:absolute;left:1886;top:34;width:12041;height:2" coordorigin="1886,34" coordsize="12041,2">
              <v:shape style="position:absolute;left:1886;top:34;width:12041;height:2" coordorigin="1886,34" coordsize="12041,0" path="m1886,34l13926,34e" filled="false" stroked="true" strokeweight=".48pt" strokecolor="#000000">
                <v:path arrowok="t"/>
              </v:shape>
            </v:group>
            <v:group style="position:absolute;left:37;top:29;width:2;height:372" coordorigin="37,29" coordsize="2,372">
              <v:shape style="position:absolute;left:37;top:29;width:2;height:372" coordorigin="37,29" coordsize="0,372" path="m37,29l37,401e" filled="false" stroked="true" strokeweight=".48pt" strokecolor="#000000">
                <v:path arrowok="t"/>
              </v:shape>
            </v:group>
            <v:group style="position:absolute;left:42;top:396;width:1834;height:2" coordorigin="42,396" coordsize="1834,2">
              <v:shape style="position:absolute;left:42;top:396;width:1834;height:2" coordorigin="42,396" coordsize="1834,0" path="m42,396l1876,396e" filled="false" stroked="true" strokeweight=".48pt" strokecolor="#000000">
                <v:path arrowok="t"/>
              </v:shape>
            </v:group>
            <v:group style="position:absolute;left:1881;top:29;width:2;height:372" coordorigin="1881,29" coordsize="2,372">
              <v:shape style="position:absolute;left:1881;top:29;width:2;height:372" coordorigin="1881,29" coordsize="0,372" path="m1881,29l1881,401e" filled="false" stroked="true" strokeweight=".48pt" strokecolor="#000000">
                <v:path arrowok="t"/>
              </v:shape>
            </v:group>
            <v:group style="position:absolute;left:1886;top:396;width:12041;height:2" coordorigin="1886,396" coordsize="12041,2">
              <v:shape style="position:absolute;left:1886;top:396;width:12041;height:2" coordorigin="1886,396" coordsize="12041,0" path="m1886,396l13926,396e" filled="false" stroked="true" strokeweight=".48pt" strokecolor="#000000">
                <v:path arrowok="t"/>
              </v:shape>
            </v:group>
            <v:group style="position:absolute;left:13931;top:29;width:2;height:372" coordorigin="13931,29" coordsize="2,372">
              <v:shape style="position:absolute;left:13931;top:29;width:2;height:372" coordorigin="13931,29" coordsize="0,372" path="m13931,29l13931,401e" filled="false" stroked="true" strokeweight=".47998pt" strokecolor="#000000">
                <v:path arrowok="t"/>
              </v:shape>
              <v:shape style="position:absolute;left:1881;top:19;width:12050;height:377" type="#_x0000_t202" filled="false" stroked="false">
                <v:textbox inset="0,0,0,0">
                  <w:txbxContent>
                    <w:p>
                      <w:pPr>
                        <w:spacing w:before="31"/>
                        <w:ind w:left="27"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日，公司使用暂时闲置的募集资金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万元购买银行理财产品，使用暂时闲置的募集资金 </w:t>
                      </w:r>
                      <w:r>
                        <w:rPr>
                          <w:rFonts w:ascii="Times New Roman" w:hAnsi="Times New Roman" w:cs="Times New Roman" w:eastAsia="Times New Roman" w:hint="default"/>
                          <w:sz w:val="18"/>
                          <w:szCs w:val="18"/>
                        </w:rPr>
                        <w:t>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万元购买结构性存款。</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6"/>
        <w:rPr>
          <w:rFonts w:ascii="Times New Roman" w:hAnsi="Times New Roman" w:cs="Times New Roman" w:eastAsia="Times New Roman" w:hint="default"/>
          <w:sz w:val="21"/>
          <w:szCs w:val="21"/>
        </w:rPr>
      </w:pPr>
    </w:p>
    <w:p>
      <w:pPr>
        <w:pStyle w:val="Heading4"/>
        <w:spacing w:line="240" w:lineRule="auto" w:before="35"/>
        <w:ind w:left="140" w:right="10658"/>
        <w:jc w:val="left"/>
        <w:rPr>
          <w:b w:val="0"/>
          <w:bCs w:val="0"/>
        </w:rPr>
      </w:pPr>
      <w:bookmarkStart w:name="（3）募集资金变更项目情况" w:id="57"/>
      <w:bookmarkEnd w:id="57"/>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0" w:right="10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left="140" w:right="10658"/>
        <w:jc w:val="left"/>
        <w:rPr>
          <w:b w:val="0"/>
          <w:bCs w:val="0"/>
        </w:rPr>
      </w:pPr>
      <w:bookmarkStart w:name="六、重大资产和股权出售" w:id="58"/>
      <w:bookmarkEnd w:id="58"/>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0658"/>
        <w:jc w:val="left"/>
        <w:rPr>
          <w:b w:val="0"/>
          <w:bCs w:val="0"/>
        </w:rPr>
      </w:pPr>
      <w:bookmarkStart w:name="1、出售重大资产情况" w:id="59"/>
      <w:bookmarkEnd w:id="59"/>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0" w:right="11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left="140" w:right="10658"/>
        <w:jc w:val="left"/>
        <w:rPr>
          <w:b w:val="0"/>
          <w:bCs w:val="0"/>
        </w:rPr>
      </w:pPr>
      <w:bookmarkStart w:name="2、出售重大股权情况" w:id="60"/>
      <w:bookmarkEnd w:id="60"/>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10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40" w:right="10658"/>
        <w:jc w:val="left"/>
        <w:rPr>
          <w:b w:val="0"/>
          <w:bCs w:val="0"/>
        </w:rPr>
      </w:pPr>
      <w:bookmarkStart w:name="七、主要控股参股公司分析" w:id="61"/>
      <w:bookmarkEnd w:id="61"/>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79" w:top="1060" w:bottom="1160" w:left="1300" w:right="1300"/>
        </w:sectPr>
      </w:pPr>
    </w:p>
    <w:p>
      <w:pPr>
        <w:pStyle w:val="BodyText"/>
        <w:spacing w:line="240" w:lineRule="auto" w:before="44"/>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40"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700" w:left="1300" w:right="1300"/>
          <w:cols w:num="2" w:equalWidth="0">
            <w:col w:w="4835" w:space="8307"/>
            <w:col w:w="1098"/>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694"/>
        <w:gridCol w:w="1276"/>
        <w:gridCol w:w="2268"/>
        <w:gridCol w:w="1418"/>
        <w:gridCol w:w="1277"/>
        <w:gridCol w:w="1274"/>
        <w:gridCol w:w="1276"/>
        <w:gridCol w:w="1277"/>
        <w:gridCol w:w="113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纸张加工、本册制造、包装 用品加工、其他印刷品印制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239,133,718.38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109,619,700.66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192,865,203.09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2,667,530.84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1,814,801.24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安妮（香港）有限公司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纸制品贸易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4600000</w:t>
            </w:r>
            <w:r>
              <w:rPr>
                <w:rFonts w:ascii="宋体" w:hAnsi="宋体" w:cs="宋体" w:eastAsia="宋体" w:hint="default"/>
                <w:sz w:val="18"/>
                <w:szCs w:val="18"/>
              </w:rPr>
              <w:t>（美元）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79,625,775.77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16,276,022.12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72,785,426.90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1,812,625.46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2,104,353.40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北京至美数码防伪印务有限公司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生产、销售印刷品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91,135,070.49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18,302,623.02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14,397,029.21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-5,522,377.41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-5,522,371.72</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700" w:left="1300" w:right="1300"/>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4"/>
        <w:gridCol w:w="1276"/>
        <w:gridCol w:w="2268"/>
        <w:gridCol w:w="1418"/>
        <w:gridCol w:w="1277"/>
        <w:gridCol w:w="1274"/>
        <w:gridCol w:w="1276"/>
        <w:gridCol w:w="1277"/>
        <w:gridCol w:w="1134"/>
      </w:tblGrid>
      <w:tr>
        <w:trPr>
          <w:trHeight w:val="416" w:hRule="exact"/>
        </w:trPr>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北京联移合通科技有限公司</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技术推广服务。</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47,469,105.66</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46,933,795.42</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-220,919.71</w:t>
            </w:r>
            <w:r>
              <w:rPr>
                <w:rFonts w:ascii="Times New Roman"/>
                <w:sz w:val="18"/>
              </w:rPr>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-220,919.71</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深圳市微梦想网络技术有限公司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7,613,655.00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2,449,959.89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5,601,221.86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-6,313,567.16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-5,369,361.44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厦门千实物业管理有限公司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5,573,955.71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5,499,585.94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322,500.75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133,934.75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133,934.75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厦门恒千物业管理有限公司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48,960,000.00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50,003,538.56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47,179,534.88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2,792,814.50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-1,422,959.37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-1,422,959.37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北京畅元国讯科技有限公司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13,571,400.00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419,878,487.44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267,633,697.74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432,171,318.56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91,679,285.78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91,762,059.76</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厦门安妮知识产权服务有限公司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版权业务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111,847,164.56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85,243,388.26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2,986,104.39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-59,309,346.10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-59,302,100.0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厦门版全家科技有限公司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8,273.05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-1,726.95</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北京市淘智慧电子商务有限公司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257,386.78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250,006.20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w:t>
            </w:r>
          </w:p>
        </w:tc>
      </w:tr>
    </w:tbl>
    <w:p>
      <w:pPr>
        <w:pStyle w:val="BodyText"/>
        <w:spacing w:line="240" w:lineRule="auto" w:before="51"/>
        <w:ind w:left="120" w:right="0"/>
        <w:jc w:val="left"/>
      </w:pPr>
      <w:r>
        <w:rPr/>
        <w:t>报告期内取得和处置子公司的情况</w:t>
      </w:r>
    </w:p>
    <w:p>
      <w:pPr>
        <w:pStyle w:val="BodyText"/>
        <w:spacing w:line="240" w:lineRule="auto" w:before="117"/>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3189"/>
        <w:gridCol w:w="3332"/>
        <w:gridCol w:w="7372"/>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7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北京市淘智惠电子商务有限公司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7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淘智惠资产规模、经营规模较小，不对公司整体经营产生影响。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泉州安妮贸易有限公司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工商注销</w:t>
            </w:r>
          </w:p>
        </w:tc>
        <w:tc>
          <w:tcPr>
            <w:tcW w:w="7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泉州安妮经营规模较小，不对公司整体经营产生影响。</w:t>
            </w:r>
          </w:p>
        </w:tc>
      </w:tr>
    </w:tbl>
    <w:p>
      <w:pPr>
        <w:pStyle w:val="BodyText"/>
        <w:spacing w:line="240" w:lineRule="auto" w:before="51"/>
        <w:ind w:left="120" w:right="0"/>
        <w:jc w:val="left"/>
      </w:pPr>
      <w:r>
        <w:rPr/>
        <w:t>主要控股参股公司情况说明</w:t>
      </w:r>
    </w:p>
    <w:p>
      <w:pPr>
        <w:spacing w:after="0" w:line="240" w:lineRule="auto"/>
        <w:jc w:val="left"/>
        <w:sectPr>
          <w:pgSz w:w="16840" w:h="11910" w:orient="landscape"/>
          <w:pgMar w:header="867" w:footer="979" w:top="1060" w:bottom="1160" w:left="1320" w:right="1320"/>
        </w:sectPr>
      </w:pPr>
    </w:p>
    <w:p>
      <w:pPr>
        <w:spacing w:line="240" w:lineRule="auto" w:before="9"/>
        <w:rPr>
          <w:rFonts w:ascii="宋体" w:hAnsi="宋体" w:cs="宋体" w:eastAsia="宋体" w:hint="default"/>
          <w:sz w:val="19"/>
          <w:szCs w:val="19"/>
        </w:rPr>
      </w:pPr>
    </w:p>
    <w:p>
      <w:pPr>
        <w:pStyle w:val="Heading2"/>
        <w:spacing w:line="240" w:lineRule="auto" w:before="26"/>
        <w:ind w:right="817"/>
        <w:jc w:val="left"/>
        <w:rPr>
          <w:b w:val="0"/>
          <w:bCs w:val="0"/>
        </w:rPr>
      </w:pPr>
      <w:bookmarkStart w:name="八、公司控制的结构化主体情况" w:id="62"/>
      <w:bookmarkEnd w:id="62"/>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17"/>
        <w:jc w:val="left"/>
        <w:rPr>
          <w:b w:val="0"/>
          <w:bCs w:val="0"/>
        </w:rPr>
      </w:pPr>
      <w:bookmarkStart w:name="九、公司未来发展的展望" w:id="63"/>
      <w:bookmarkEnd w:id="63"/>
      <w:r>
        <w:rPr>
          <w:b w:val="0"/>
          <w:bCs w:val="0"/>
        </w:rPr>
      </w:r>
      <w:r>
        <w:rPr/>
        <w:t>九、公司未来发展的展望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85" w:right="1141" w:hanging="12"/>
        <w:jc w:val="left"/>
      </w:pPr>
      <w:r>
        <w:rPr/>
        <w:t>一、公司发展战略及年度经营计划： 安妮股份将以“让版权实现更大价值”为使命，继续深耕版权服务市场，针对互联网环境下，内容的创作、传播、使</w:t>
      </w:r>
    </w:p>
    <w:p>
      <w:pPr>
        <w:pStyle w:val="BodyText"/>
        <w:spacing w:line="477" w:lineRule="auto" w:before="54"/>
        <w:ind w:right="1032"/>
        <w:jc w:val="left"/>
      </w:pPr>
      <w:r>
        <w:rPr>
          <w:spacing w:val="-2"/>
        </w:rPr>
        <w:t>用等过程，具有海量化、快速化、分散化的特点，利用区块链、大数据、云计算及人工智能等技术，通过联合产业链上下游</w:t>
      </w:r>
      <w:r>
        <w:rPr>
          <w:spacing w:val="-72"/>
        </w:rPr>
        <w:t> </w:t>
      </w:r>
      <w:r>
        <w:rPr>
          <w:spacing w:val="-72"/>
        </w:rPr>
      </w:r>
      <w:r>
        <w:rPr>
          <w:spacing w:val="-2"/>
        </w:rPr>
        <w:t>资源，以“创作即确权”、“使用即授权”、“发现即维权”的产品和业务发展理念，打造贯穿不同平台、覆盖内容全生命</w:t>
      </w:r>
      <w:r>
        <w:rPr>
          <w:spacing w:val="-66"/>
        </w:rPr>
        <w:t> </w:t>
      </w:r>
      <w:r>
        <w:rPr>
          <w:spacing w:val="-66"/>
        </w:rPr>
      </w:r>
      <w:r>
        <w:rPr>
          <w:spacing w:val="-2"/>
        </w:rPr>
        <w:t>周期的互联网版权管理和运营机制，提升和完善覆盖版权管理服务、版权经营服务和版权产品服务市场的版权业务体系和生</w:t>
      </w:r>
      <w:r>
        <w:rPr>
          <w:spacing w:val="-64"/>
        </w:rPr>
        <w:t> </w:t>
      </w:r>
      <w:r>
        <w:rPr>
          <w:spacing w:val="-64"/>
        </w:rPr>
      </w:r>
      <w:r>
        <w:rPr/>
        <w:t>态系统，真正实现版权确权、授权、维权的简单化、即时化、低成本化，从而有效降低版权保护成本，提升版权流通效率， 为版权的创作者和使用者带来更多收益。</w:t>
      </w:r>
    </w:p>
    <w:p>
      <w:pPr>
        <w:pStyle w:val="BodyText"/>
        <w:spacing w:line="477" w:lineRule="auto" w:before="54"/>
        <w:ind w:right="1140" w:firstLine="432"/>
        <w:jc w:val="left"/>
      </w:pPr>
      <w:r>
        <w:rPr/>
        <w:t>公司持续追求在版权服务领域让版权实现更大价值，力争将公司建设成为产品丰富、专业领域的国内领先的版权综合 服务提供商。</w:t>
      </w:r>
    </w:p>
    <w:p>
      <w:pPr>
        <w:pStyle w:val="BodyText"/>
        <w:spacing w:line="477" w:lineRule="auto" w:before="54"/>
        <w:ind w:left="574" w:right="817"/>
        <w:jc w:val="left"/>
      </w:pPr>
      <w:r>
        <w:rPr>
          <w:rFonts w:ascii="宋体" w:hAnsi="宋体" w:cs="宋体" w:eastAsia="宋体" w:hint="default"/>
        </w:rPr>
        <w:t>1. </w:t>
      </w:r>
      <w:r>
        <w:rPr/>
        <w:t>围绕版权家品牌，聚焦核心业务，夯实核心竞争力； </w:t>
      </w:r>
      <w:r>
        <w:rPr>
          <w:spacing w:val="-2"/>
        </w:rPr>
        <w:t>公司将抓住有利的战略机遇期，全面聚焦版权服务的核心业务，通过打造平台、技术等核心能力，推动业务高速增长。</w:t>
      </w:r>
    </w:p>
    <w:p>
      <w:pPr>
        <w:pStyle w:val="BodyText"/>
        <w:spacing w:line="477" w:lineRule="auto" w:before="54"/>
        <w:ind w:right="817"/>
        <w:jc w:val="left"/>
      </w:pPr>
      <w:r>
        <w:rPr>
          <w:spacing w:val="-2"/>
        </w:rPr>
        <w:t>持续优化版权家服务平台，以版权保护为起点，形成版权登记、版权存证、版权交易、</w:t>
      </w:r>
      <w:r>
        <w:rPr>
          <w:rFonts w:ascii="宋体" w:hAnsi="宋体" w:cs="宋体" w:eastAsia="宋体" w:hint="default"/>
          <w:spacing w:val="-2"/>
        </w:rPr>
        <w:t>IP</w:t>
      </w:r>
      <w:r>
        <w:rPr>
          <w:spacing w:val="-2"/>
        </w:rPr>
        <w:t>孵化为一体的综合服务平台，并打</w:t>
      </w:r>
      <w:r>
        <w:rPr>
          <w:spacing w:val="-65"/>
        </w:rPr>
        <w:t> </w:t>
      </w:r>
      <w:r>
        <w:rPr>
          <w:spacing w:val="-65"/>
        </w:rPr>
      </w:r>
      <w:r>
        <w:rPr/>
        <w:t>通与版权百科、稿稿平台等其他平台的链接，持续打造版权业务体系和生态系统。</w:t>
      </w:r>
    </w:p>
    <w:p>
      <w:pPr>
        <w:pStyle w:val="BodyText"/>
        <w:spacing w:line="477" w:lineRule="auto" w:before="54"/>
        <w:ind w:left="574" w:right="817"/>
        <w:jc w:val="left"/>
      </w:pPr>
      <w:r>
        <w:rPr>
          <w:rFonts w:ascii="宋体" w:hAnsi="宋体" w:cs="宋体" w:eastAsia="宋体" w:hint="default"/>
        </w:rPr>
        <w:t>2.</w:t>
      </w:r>
      <w:r>
        <w:rPr/>
        <w:t>持续加大区块链等技术创新投入，提升版权服务综合平台的用户体验； 区块链、大数据、云计算及人工智能等技术在版权领域的应用与结合有着天然结合因素和巨大发展潜力，基于版权区</w:t>
      </w:r>
    </w:p>
    <w:p>
      <w:pPr>
        <w:pStyle w:val="BodyText"/>
        <w:spacing w:line="477" w:lineRule="auto" w:before="54"/>
        <w:ind w:right="817"/>
        <w:jc w:val="left"/>
      </w:pPr>
      <w:r>
        <w:rPr>
          <w:spacing w:val="-2"/>
        </w:rPr>
        <w:t>块链技术、云计算、大数据等技术的服务平台“版权家”，以区块链底层技术为基础，利用了区块链不可伪造特性，可以相</w:t>
      </w:r>
      <w:r>
        <w:rPr>
          <w:spacing w:val="-66"/>
        </w:rPr>
        <w:t> </w:t>
      </w:r>
      <w:r>
        <w:rPr>
          <w:spacing w:val="-66"/>
        </w:rPr>
      </w:r>
      <w:r>
        <w:rPr>
          <w:spacing w:val="-4"/>
        </w:rPr>
        <w:t>对客观的记录作品的创作信息，以低成本和高效率为海量作品提供版权存证。从版权登记、版权保护到版权交易、版权运营，</w:t>
      </w:r>
      <w:r>
        <w:rPr>
          <w:spacing w:val="-46"/>
        </w:rPr>
        <w:t> </w:t>
      </w:r>
      <w:r>
        <w:rPr>
          <w:spacing w:val="-46"/>
        </w:rPr>
      </w:r>
      <w:r>
        <w:rPr/>
        <w:t>为版权人提供一站式的版权服务。版权家作为第三方存证平台，版权区块链于</w:t>
      </w:r>
      <w:r>
        <w:rPr>
          <w:rFonts w:ascii="宋体" w:hAnsi="宋体" w:cs="宋体" w:eastAsia="宋体" w:hint="default"/>
        </w:rPr>
        <w:t>2019</w:t>
      </w:r>
      <w:r>
        <w:rPr/>
        <w:t>年</w:t>
      </w:r>
      <w:r>
        <w:rPr>
          <w:rFonts w:ascii="宋体" w:hAnsi="宋体" w:cs="宋体" w:eastAsia="宋体" w:hint="default"/>
        </w:rPr>
        <w:t>3</w:t>
      </w:r>
      <w:r>
        <w:rPr/>
        <w:t>月跨链接入北京互联网法院天平链系</w:t>
      </w:r>
      <w:r>
        <w:rPr>
          <w:spacing w:val="-82"/>
        </w:rPr>
        <w:t> </w:t>
      </w:r>
      <w:r>
        <w:rPr>
          <w:spacing w:val="-82"/>
        </w:rPr>
      </w:r>
      <w:r>
        <w:rPr>
          <w:spacing w:val="-2"/>
        </w:rPr>
        <w:t>统，未来公司将逐步加强与司法机构的服务合作。</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日，北京互联网法院首例采用“天平链”电子证据判决的侵害</w:t>
      </w:r>
      <w:r>
        <w:rPr>
          <w:spacing w:val="-59"/>
        </w:rPr>
        <w:t> </w:t>
      </w:r>
      <w:r>
        <w:rPr>
          <w:spacing w:val="-59"/>
        </w:rPr>
      </w:r>
      <w:r>
        <w:rPr/>
        <w:t>作品信息网络传播权纠纷案下达一审判决。 版权家作为本案中的第三方区块链存证平台，为本案提供了重要电子证据。</w:t>
      </w:r>
    </w:p>
    <w:p>
      <w:pPr>
        <w:pStyle w:val="BodyText"/>
        <w:spacing w:line="477" w:lineRule="auto" w:before="54"/>
        <w:ind w:left="574" w:right="1152"/>
        <w:jc w:val="left"/>
      </w:pPr>
      <w:r>
        <w:rPr>
          <w:rFonts w:ascii="宋体" w:hAnsi="宋体" w:cs="宋体" w:eastAsia="宋体" w:hint="default"/>
        </w:rPr>
        <w:t>3.</w:t>
      </w:r>
      <w:r>
        <w:rPr/>
        <w:t>加强外延战略合作，拓展版权服务市场 公司将继续为中国版权保护中心提供服务，在战略合作的框架内，共建</w:t>
      </w:r>
      <w:r>
        <w:rPr>
          <w:rFonts w:ascii="宋体" w:hAnsi="宋体" w:cs="宋体" w:eastAsia="宋体" w:hint="default"/>
        </w:rPr>
        <w:t>DCI</w:t>
      </w:r>
      <w:r>
        <w:rPr/>
        <w:t>联合实验室，共同推动</w:t>
      </w:r>
      <w:r>
        <w:rPr>
          <w:rFonts w:ascii="宋体" w:hAnsi="宋体" w:cs="宋体" w:eastAsia="宋体" w:hint="default"/>
        </w:rPr>
        <w:t>DCI</w:t>
      </w:r>
      <w:r>
        <w:rPr/>
        <w:t>体系应用落地，</w:t>
      </w:r>
    </w:p>
    <w:p>
      <w:pPr>
        <w:pStyle w:val="BodyText"/>
        <w:spacing w:line="477" w:lineRule="auto" w:before="54"/>
        <w:ind w:left="574" w:right="1112" w:hanging="420"/>
        <w:jc w:val="left"/>
      </w:pPr>
      <w:r>
        <w:rPr/>
        <w:t>为广大的权利人提供版权梳理、版权登记、侵权预警、盗版监测、侵权取证、版权和解、维权诉讼等服务。 公司将艺术衍生品的版权保护纳入业务范畴，与北京艾米塔艺术基金会展开合作，就俄罗斯</w:t>
      </w:r>
      <w:r>
        <w:rPr>
          <w:spacing w:val="-50"/>
        </w:rPr>
        <w:t> </w:t>
      </w:r>
      <w:r>
        <w:rPr/>
        <w:t>“冬宫”</w:t>
      </w:r>
      <w:r>
        <w:rPr>
          <w:rFonts w:ascii="宋体" w:hAnsi="宋体" w:cs="宋体" w:eastAsia="宋体" w:hint="default"/>
        </w:rPr>
        <w:t>IP</w:t>
      </w:r>
      <w:r>
        <w:rPr/>
        <w:t>的开发和利用</w:t>
      </w:r>
    </w:p>
    <w:p>
      <w:pPr>
        <w:pStyle w:val="BodyText"/>
        <w:spacing w:line="477" w:lineRule="auto" w:before="54"/>
        <w:ind w:right="817"/>
        <w:jc w:val="left"/>
      </w:pPr>
      <w:r>
        <w:rPr>
          <w:spacing w:val="-2"/>
        </w:rPr>
        <w:t>进行深入探讨，在此基础上就推动冬宫</w:t>
      </w:r>
      <w:r>
        <w:rPr>
          <w:rFonts w:ascii="宋体" w:hAnsi="宋体" w:cs="宋体" w:eastAsia="宋体" w:hint="default"/>
          <w:spacing w:val="-2"/>
        </w:rPr>
        <w:t>IP</w:t>
      </w:r>
      <w:r>
        <w:rPr>
          <w:spacing w:val="-2"/>
        </w:rPr>
        <w:t>资源在国内的传播与价值开发展开一系列的合作，开拓艺术衍生品版权市场，通过</w:t>
      </w:r>
      <w:r>
        <w:rPr>
          <w:spacing w:val="-64"/>
        </w:rPr>
        <w:t> </w:t>
      </w:r>
      <w:r>
        <w:rPr>
          <w:spacing w:val="-64"/>
        </w:rPr>
      </w:r>
      <w:r>
        <w:rPr/>
        <w:t>全球顶尖的艺术品</w:t>
      </w:r>
      <w:r>
        <w:rPr>
          <w:rFonts w:ascii="宋体" w:hAnsi="宋体" w:cs="宋体" w:eastAsia="宋体" w:hint="default"/>
        </w:rPr>
        <w:t>IP</w:t>
      </w:r>
      <w:r>
        <w:rPr/>
        <w:t>资源，拓展</w:t>
      </w:r>
      <w:r>
        <w:rPr>
          <w:rFonts w:ascii="宋体" w:hAnsi="宋体" w:cs="宋体" w:eastAsia="宋体" w:hint="default"/>
        </w:rPr>
        <w:t>IP</w:t>
      </w:r>
      <w:r>
        <w:rPr/>
        <w:t>开发与授权业务。</w:t>
      </w:r>
    </w:p>
    <w:p>
      <w:pPr>
        <w:spacing w:after="0" w:line="477" w:lineRule="auto"/>
        <w:jc w:val="left"/>
        <w:sectPr>
          <w:headerReference w:type="default" r:id="rId18"/>
          <w:footerReference w:type="default" r:id="rId19"/>
          <w:pgSz w:w="11910" w:h="16840"/>
          <w:pgMar w:header="877" w:footer="979" w:top="1100" w:bottom="1160" w:left="980" w:right="0"/>
          <w:pgNumType w:start="31"/>
        </w:sectPr>
      </w:pPr>
    </w:p>
    <w:p>
      <w:pPr>
        <w:spacing w:line="240" w:lineRule="auto" w:before="11"/>
        <w:rPr>
          <w:rFonts w:ascii="宋体" w:hAnsi="宋体" w:cs="宋体" w:eastAsia="宋体" w:hint="default"/>
          <w:sz w:val="27"/>
          <w:szCs w:val="27"/>
        </w:rPr>
      </w:pPr>
    </w:p>
    <w:p>
      <w:pPr>
        <w:pStyle w:val="BodyText"/>
        <w:spacing w:line="477" w:lineRule="auto" w:before="44"/>
        <w:ind w:right="1152" w:firstLine="420"/>
        <w:jc w:val="left"/>
      </w:pPr>
      <w:r>
        <w:rPr/>
        <w:t>公司将与北京文化产权交易中心合作，共同探索利用互联网技术推进文化产业版权服务方式及运营模式的创新，引导 文化要素有序流动，促进产业核心资源有效配置，推动版权资源的优化整合，充分实现文化产业版权资源价值的最大化。</w:t>
      </w:r>
    </w:p>
    <w:p>
      <w:pPr>
        <w:pStyle w:val="BodyText"/>
        <w:spacing w:line="240" w:lineRule="auto" w:before="54"/>
        <w:ind w:left="574" w:right="817"/>
        <w:jc w:val="left"/>
      </w:pPr>
      <w:r>
        <w:rPr/>
        <w:t>二、可能面临的风险及应对措施</w:t>
      </w:r>
    </w:p>
    <w:p>
      <w:pPr>
        <w:spacing w:line="240" w:lineRule="auto" w:before="10"/>
        <w:rPr>
          <w:rFonts w:ascii="宋体" w:hAnsi="宋体" w:cs="宋体" w:eastAsia="宋体" w:hint="default"/>
          <w:sz w:val="17"/>
          <w:szCs w:val="17"/>
        </w:rPr>
      </w:pPr>
    </w:p>
    <w:p>
      <w:pPr>
        <w:pStyle w:val="BodyText"/>
        <w:spacing w:line="477" w:lineRule="auto"/>
        <w:ind w:left="574" w:right="1152"/>
        <w:jc w:val="left"/>
      </w:pPr>
      <w:r>
        <w:rPr/>
        <w:t>（一）、版权业务开展不及预期的风险 公司将版权业务作为公司的核心业务，持续推进募集资金投资项目“版权大数据平台建设项目”的建设。报告期内，</w:t>
      </w:r>
    </w:p>
    <w:p>
      <w:pPr>
        <w:pStyle w:val="BodyText"/>
        <w:spacing w:line="477" w:lineRule="auto" w:before="54"/>
        <w:ind w:left="574" w:right="4092" w:hanging="420"/>
        <w:jc w:val="left"/>
      </w:pPr>
      <w:r>
        <w:rPr/>
        <w:t>公司版权业务的推进取得很大的进展。但同时，版权业务仍然存在如下发展的风险： </w:t>
      </w:r>
      <w:r>
        <w:rPr>
          <w:rFonts w:ascii="宋体" w:hAnsi="宋体" w:cs="宋体" w:eastAsia="宋体" w:hint="default"/>
        </w:rPr>
        <w:t>1</w:t>
      </w:r>
      <w:r>
        <w:rPr/>
        <w:t>、募投项目的实施效果与收益未达预期的风险：</w:t>
      </w:r>
    </w:p>
    <w:p>
      <w:pPr>
        <w:pStyle w:val="BodyText"/>
        <w:spacing w:line="477" w:lineRule="auto" w:before="54"/>
        <w:ind w:right="1133" w:firstLine="270"/>
        <w:jc w:val="both"/>
      </w:pPr>
      <w:r>
        <w:rPr/>
        <w:t>公司前期对版权大数据平台建设项目的可行性进行了充分论证，对募集资金投资项目进行了财务测算，综合评价了项目 </w:t>
      </w:r>
      <w:r>
        <w:rPr>
          <w:spacing w:val="-2"/>
        </w:rPr>
        <w:t>的风险与收益。但是，前述募集资金投资项目的实际实施效果以及收益受到诸多因素的影响，上述措施仍然不能保证前述募</w:t>
      </w:r>
      <w:r>
        <w:rPr>
          <w:spacing w:val="-66"/>
        </w:rPr>
        <w:t> </w:t>
      </w:r>
      <w:r>
        <w:rPr>
          <w:spacing w:val="-66"/>
        </w:rPr>
      </w:r>
      <w:r>
        <w:rPr>
          <w:spacing w:val="-2"/>
        </w:rPr>
        <w:t>投项目的收益，不能完全规避相关风险，因此前述募集资金投资项目的实施效果与收益存在一定的不确定性。公司将在募集</w:t>
      </w:r>
      <w:r>
        <w:rPr>
          <w:spacing w:val="-66"/>
        </w:rPr>
        <w:t> </w:t>
      </w:r>
      <w:r>
        <w:rPr>
          <w:spacing w:val="-66"/>
        </w:rPr>
      </w:r>
      <w:r>
        <w:rPr/>
        <w:t>资金投入过程中，充分论证、科学决策、谨慎投资，不断完善公司内容风险控制机制，降低投资失误风险。</w:t>
      </w:r>
    </w:p>
    <w:p>
      <w:pPr>
        <w:pStyle w:val="BodyText"/>
        <w:spacing w:line="477" w:lineRule="auto" w:before="54"/>
        <w:ind w:left="574" w:right="1152"/>
        <w:jc w:val="left"/>
      </w:pPr>
      <w:r>
        <w:rPr>
          <w:rFonts w:ascii="宋体" w:hAnsi="宋体" w:cs="宋体" w:eastAsia="宋体" w:hint="default"/>
        </w:rPr>
        <w:t>2</w:t>
      </w:r>
      <w:r>
        <w:rPr/>
        <w:t>、与合作方合作关系不稳定的风险 公司与电信运营商、互联网平台、内容生产企业之间保持了良好的合作关系，公司为合作伙伴提供版权审核、版权登</w:t>
      </w:r>
    </w:p>
    <w:p>
      <w:pPr>
        <w:pStyle w:val="BodyText"/>
        <w:spacing w:line="477" w:lineRule="auto" w:before="54"/>
        <w:ind w:right="1133"/>
        <w:jc w:val="both"/>
      </w:pPr>
      <w:r>
        <w:rPr>
          <w:spacing w:val="-2"/>
        </w:rPr>
        <w:t>记、盗版维权、内容分发、版权孵化等服务，而这些合作平台同时也是公司版权内容交易服务的重要渠道。若公司未来与合</w:t>
      </w:r>
      <w:r>
        <w:rPr>
          <w:spacing w:val="-66"/>
        </w:rPr>
        <w:t> </w:t>
      </w:r>
      <w:r>
        <w:rPr>
          <w:spacing w:val="-66"/>
        </w:rPr>
      </w:r>
      <w:r>
        <w:rPr>
          <w:spacing w:val="-2"/>
        </w:rPr>
        <w:t>作出现不稳定的情况，将影响公司未来的盈利能力。公司将通过与合作方持续建立合作共赢的业务合作关系，并持续增加合</w:t>
      </w:r>
      <w:r>
        <w:rPr>
          <w:spacing w:val="-66"/>
        </w:rPr>
        <w:t> </w:t>
      </w:r>
      <w:r>
        <w:rPr>
          <w:spacing w:val="-66"/>
        </w:rPr>
      </w:r>
      <w:r>
        <w:rPr/>
        <w:t>作平台和渠道数目来规避风险。</w:t>
      </w:r>
    </w:p>
    <w:p>
      <w:pPr>
        <w:pStyle w:val="BodyText"/>
        <w:spacing w:line="477" w:lineRule="auto" w:before="54"/>
        <w:ind w:left="604" w:right="817" w:hanging="30"/>
        <w:jc w:val="left"/>
      </w:pPr>
      <w:r>
        <w:rPr/>
        <w:t>（二）、商誉减值风险 </w:t>
      </w:r>
      <w:r>
        <w:rPr>
          <w:spacing w:val="-2"/>
        </w:rPr>
        <w:t>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日，公司投资并购产生的商誉剩余账面价值为</w:t>
      </w:r>
      <w:r>
        <w:rPr>
          <w:rFonts w:ascii="宋体" w:hAnsi="宋体" w:cs="宋体" w:eastAsia="宋体" w:hint="default"/>
          <w:spacing w:val="-2"/>
        </w:rPr>
        <w:t>74111.03</w:t>
      </w:r>
      <w:r>
        <w:rPr>
          <w:spacing w:val="-2"/>
        </w:rPr>
        <w:t>万元。如果投资并购的子公司业绩未达预期，</w:t>
      </w:r>
    </w:p>
    <w:p>
      <w:pPr>
        <w:pStyle w:val="BodyText"/>
        <w:spacing w:line="477" w:lineRule="auto" w:before="54"/>
        <w:ind w:right="1131"/>
        <w:jc w:val="both"/>
      </w:pPr>
      <w:r>
        <w:rPr>
          <w:spacing w:val="-2"/>
        </w:rPr>
        <w:t>将可能形成商誉减值，从而影响公司当期损益。公司通过跟踪关注并购子公司的经营情况及行业趋势，通过业务、管理、等</w:t>
      </w:r>
      <w:r>
        <w:rPr>
          <w:spacing w:val="-67"/>
        </w:rPr>
        <w:t> </w:t>
      </w:r>
      <w:r>
        <w:rPr>
          <w:spacing w:val="-67"/>
        </w:rPr>
      </w:r>
      <w:r>
        <w:rPr>
          <w:spacing w:val="-2"/>
        </w:rPr>
        <w:t>方面的协同共进加强内部子公司管理，强化投后管理管控，整合资源积极发挥持续竞争力，保障并购子公司稳健发展，将商</w:t>
      </w:r>
      <w:r>
        <w:rPr>
          <w:spacing w:val="-66"/>
        </w:rPr>
        <w:t> </w:t>
      </w:r>
      <w:r>
        <w:rPr>
          <w:spacing w:val="-66"/>
        </w:rPr>
      </w:r>
      <w:r>
        <w:rPr/>
        <w:t>誉对公司未来业绩影响程度及风险逐步降低。公司将不断提升核心竞争力，提升畅元国讯经营业绩。降低商誉减值风险。</w:t>
      </w:r>
    </w:p>
    <w:p>
      <w:pPr>
        <w:pStyle w:val="BodyText"/>
        <w:spacing w:line="477" w:lineRule="auto" w:before="54"/>
        <w:ind w:left="680" w:right="817" w:hanging="106"/>
        <w:jc w:val="left"/>
      </w:pPr>
      <w:r>
        <w:rPr/>
        <w:t>（三）、子公司业绩承诺的风险 </w:t>
      </w:r>
      <w:r>
        <w:rPr>
          <w:spacing w:val="-2"/>
        </w:rPr>
        <w:t>公司</w:t>
      </w:r>
      <w:r>
        <w:rPr>
          <w:rFonts w:ascii="宋体" w:hAnsi="宋体" w:cs="宋体" w:eastAsia="宋体" w:hint="default"/>
          <w:spacing w:val="-2"/>
        </w:rPr>
        <w:t>2016</w:t>
      </w:r>
      <w:r>
        <w:rPr>
          <w:spacing w:val="-2"/>
        </w:rPr>
        <w:t>年以发行股份及现金支付方式，收购了畅元国讯</w:t>
      </w:r>
      <w:r>
        <w:rPr>
          <w:rFonts w:ascii="宋体" w:hAnsi="宋体" w:cs="宋体" w:eastAsia="宋体" w:hint="default"/>
          <w:spacing w:val="-2"/>
        </w:rPr>
        <w:t>100%</w:t>
      </w:r>
      <w:r>
        <w:rPr>
          <w:spacing w:val="-2"/>
        </w:rPr>
        <w:t>股权。为保护上市公司全体股东利益，全体交易对方承</w:t>
      </w:r>
    </w:p>
    <w:p>
      <w:pPr>
        <w:pStyle w:val="BodyText"/>
        <w:spacing w:line="477" w:lineRule="auto" w:before="54"/>
        <w:ind w:right="1132"/>
        <w:jc w:val="both"/>
      </w:pPr>
      <w:r>
        <w:rPr>
          <w:spacing w:val="-2"/>
        </w:rPr>
        <w:t>诺：畅元国讯</w:t>
      </w:r>
      <w:r>
        <w:rPr>
          <w:rFonts w:ascii="宋体" w:hAnsi="宋体" w:cs="宋体" w:eastAsia="宋体" w:hint="default"/>
          <w:spacing w:val="-2"/>
        </w:rPr>
        <w:t>2016</w:t>
      </w:r>
      <w:r>
        <w:rPr>
          <w:spacing w:val="-2"/>
        </w:rPr>
        <w:t>年、</w:t>
      </w:r>
      <w:r>
        <w:rPr>
          <w:rFonts w:ascii="宋体" w:hAnsi="宋体" w:cs="宋体" w:eastAsia="宋体" w:hint="default"/>
          <w:spacing w:val="-2"/>
        </w:rPr>
        <w:t>2017</w:t>
      </w:r>
      <w:r>
        <w:rPr>
          <w:spacing w:val="-2"/>
        </w:rPr>
        <w:t>年、</w:t>
      </w:r>
      <w:r>
        <w:rPr>
          <w:rFonts w:ascii="宋体" w:hAnsi="宋体" w:cs="宋体" w:eastAsia="宋体" w:hint="default"/>
          <w:spacing w:val="-2"/>
        </w:rPr>
        <w:t>2018</w:t>
      </w:r>
      <w:r>
        <w:rPr>
          <w:spacing w:val="-2"/>
        </w:rPr>
        <w:t>年三个会计年度经审计合并报表扣除非经常性损益后归属于母公司所有者的净利润分别</w:t>
      </w:r>
      <w:r>
        <w:rPr>
          <w:spacing w:val="-54"/>
        </w:rPr>
        <w:t> </w:t>
      </w:r>
      <w:r>
        <w:rPr/>
        <w:t>为</w:t>
      </w:r>
      <w:r>
        <w:rPr>
          <w:rFonts w:ascii="宋体" w:hAnsi="宋体" w:cs="宋体" w:eastAsia="宋体" w:hint="default"/>
        </w:rPr>
        <w:t>7,600</w:t>
      </w:r>
      <w:r>
        <w:rPr/>
        <w:t>万元人民币、</w:t>
      </w:r>
      <w:r>
        <w:rPr>
          <w:rFonts w:ascii="宋体" w:hAnsi="宋体" w:cs="宋体" w:eastAsia="宋体" w:hint="default"/>
        </w:rPr>
        <w:t>10,000</w:t>
      </w:r>
      <w:r>
        <w:rPr/>
        <w:t>万元人民币、</w:t>
      </w:r>
      <w:r>
        <w:rPr>
          <w:rFonts w:ascii="宋体" w:hAnsi="宋体" w:cs="宋体" w:eastAsia="宋体" w:hint="default"/>
        </w:rPr>
        <w:t>13,000</w:t>
      </w:r>
      <w:r>
        <w:rPr/>
        <w:t>万元人民币。</w:t>
      </w:r>
    </w:p>
    <w:p>
      <w:pPr>
        <w:pStyle w:val="BodyText"/>
        <w:spacing w:line="477" w:lineRule="auto" w:before="54"/>
        <w:ind w:right="1152" w:firstLine="420"/>
        <w:jc w:val="left"/>
      </w:pPr>
      <w:r>
        <w:rPr/>
        <w:t>畅元国讯三年业绩承诺期结束，</w:t>
      </w:r>
      <w:r>
        <w:rPr>
          <w:rFonts w:ascii="宋体" w:hAnsi="宋体" w:cs="宋体" w:eastAsia="宋体" w:hint="default"/>
        </w:rPr>
        <w:t>2016</w:t>
      </w:r>
      <w:r>
        <w:rPr/>
        <w:t>年完成业绩承诺，</w:t>
      </w:r>
      <w:r>
        <w:rPr>
          <w:rFonts w:ascii="宋体" w:hAnsi="宋体" w:cs="宋体" w:eastAsia="宋体" w:hint="default"/>
        </w:rPr>
        <w:t>2017</w:t>
      </w:r>
      <w:r>
        <w:rPr/>
        <w:t>年扣非后实现净利润</w:t>
      </w:r>
      <w:r>
        <w:rPr>
          <w:rFonts w:ascii="宋体" w:hAnsi="宋体" w:cs="宋体" w:eastAsia="宋体" w:hint="default"/>
        </w:rPr>
        <w:t>6,155.71</w:t>
      </w:r>
      <w:r>
        <w:rPr/>
        <w:t>万元，</w:t>
      </w:r>
      <w:r>
        <w:rPr>
          <w:rFonts w:ascii="宋体" w:hAnsi="宋体" w:cs="宋体" w:eastAsia="宋体" w:hint="default"/>
        </w:rPr>
        <w:t>2018</w:t>
      </w:r>
      <w:r>
        <w:rPr/>
        <w:t>年扣非后实现净 利润</w:t>
      </w:r>
      <w:r>
        <w:rPr>
          <w:rFonts w:ascii="宋体" w:hAnsi="宋体" w:cs="宋体" w:eastAsia="宋体" w:hint="default"/>
        </w:rPr>
        <w:t>9,229.69</w:t>
      </w:r>
      <w:r>
        <w:rPr/>
        <w:t>万元。公司将按照购买协议的约定及相关法律法规并结合公司实际情况执行。</w:t>
      </w:r>
    </w:p>
    <w:p>
      <w:pPr>
        <w:pStyle w:val="BodyText"/>
        <w:spacing w:line="477" w:lineRule="auto" w:before="54"/>
        <w:ind w:left="604" w:right="1122" w:hanging="30"/>
        <w:jc w:val="left"/>
      </w:pPr>
      <w:r>
        <w:rPr/>
        <w:t>（四）、人才管理的风险： 版权业务已经成为上市公司重要的业务组成部分之一，公司目前已经拥有稳定的版权服务管理团队和人才储备库，同</w:t>
      </w:r>
    </w:p>
    <w:p>
      <w:pPr>
        <w:pStyle w:val="BodyText"/>
        <w:spacing w:line="240" w:lineRule="auto" w:before="54"/>
        <w:ind w:right="0"/>
        <w:jc w:val="both"/>
      </w:pPr>
      <w:r>
        <w:rPr/>
        <w:t>时通过专业的人才管理措施稳定和壮大优秀人才队伍</w:t>
      </w:r>
      <w:r>
        <w:rPr>
          <w:spacing w:val="-82"/>
        </w:rPr>
        <w:t>，</w:t>
      </w:r>
      <w:r>
        <w:rPr/>
        <w:t>但与公司发展战略和发展目标的要求相比目前人才储备规模仍有待进</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1"/>
        <w:jc w:val="both"/>
      </w:pPr>
      <w:r>
        <w:rPr>
          <w:spacing w:val="-2"/>
        </w:rPr>
        <w:t>一步加强。公司将积极采取多种人才管理措施，加强激励措施，加强公司人才储备，减少核心专业人才变动给公司经营业务</w:t>
      </w:r>
      <w:r>
        <w:rPr>
          <w:spacing w:val="-66"/>
        </w:rPr>
        <w:t> </w:t>
      </w:r>
      <w:r>
        <w:rPr>
          <w:spacing w:val="-66"/>
        </w:rPr>
      </w:r>
      <w:r>
        <w:rPr>
          <w:spacing w:val="-2"/>
        </w:rPr>
        <w:t>带来的负面影响。同时上市公司对畅元国讯的业务管理高度重视，根据畅元国讯的实际情况建立相应的业务管理模式。公司</w:t>
      </w:r>
      <w:r>
        <w:rPr>
          <w:spacing w:val="-66"/>
        </w:rPr>
        <w:t> </w:t>
      </w:r>
      <w:r>
        <w:rPr>
          <w:spacing w:val="-66"/>
        </w:rPr>
      </w:r>
      <w:r>
        <w:rPr>
          <w:spacing w:val="-2"/>
        </w:rPr>
        <w:t>建立健全版权事业管理层，将畅元国讯纳入上市公司子公司管理体系，持续促进上市公司和版权业务板块在业务、资源、文</w:t>
      </w:r>
      <w:r>
        <w:rPr>
          <w:spacing w:val="-66"/>
        </w:rPr>
        <w:t> </w:t>
      </w:r>
      <w:r>
        <w:rPr>
          <w:spacing w:val="-66"/>
        </w:rPr>
      </w:r>
      <w:r>
        <w:rPr/>
        <w:t>化等方面的融合，充分发挥上市公司和版权业务板块之间的协同效应。</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十、接待调研、沟通、采访等活动" w:id="64"/>
      <w:bookmarkEnd w:id="64"/>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5"/>
      <w:bookmarkEnd w:id="65"/>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投资者关系活动记录表</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投资者关系活动记录表</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20180705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投资者关系活动记录表</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投资者关系活动记录表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723"/>
        <w:jc w:val="center"/>
        <w:rPr>
          <w:b w:val="0"/>
          <w:bCs w:val="0"/>
        </w:rPr>
      </w:pPr>
      <w:bookmarkStart w:name="_TOC_250007" w:id="66"/>
      <w:bookmarkStart w:name="第五节 重要事项" w:id="67"/>
      <w:r>
        <w:rPr>
          <w:b w:val="0"/>
          <w:bCs w:val="0"/>
        </w:rPr>
      </w:r>
      <w:r>
        <w:rPr/>
        <w:t>第五节</w:t>
      </w:r>
      <w:r>
        <w:rPr>
          <w:spacing w:val="-5"/>
        </w:rPr>
        <w:t> </w:t>
      </w:r>
      <w:r>
        <w:rPr/>
        <w:t>重要事项</w:t>
      </w:r>
      <w:bookmarkEnd w:id="6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17"/>
        <w:jc w:val="left"/>
        <w:rPr>
          <w:b w:val="0"/>
          <w:bCs w:val="0"/>
        </w:rPr>
      </w:pPr>
      <w:bookmarkStart w:name="一、公司普通股利润分配及资本公积金转增股本情况" w:id="68"/>
      <w:bookmarkEnd w:id="68"/>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t>报告期内普通股利润分配政策，特别是现金分红政策的制定、执行或调整情况</w:t>
      </w:r>
    </w:p>
    <w:p>
      <w:pPr>
        <w:pStyle w:val="BodyText"/>
        <w:spacing w:line="240" w:lineRule="auto" w:before="117"/>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17"/>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right="81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年度利润分配方案为：本年度利润不分配，结转下一年度；不以资本公积转增股本。</w:t>
      </w:r>
    </w:p>
    <w:p>
      <w:pPr>
        <w:pStyle w:val="BodyText"/>
        <w:spacing w:line="300" w:lineRule="auto" w:before="63"/>
        <w:ind w:right="112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年度利润分配方案为：本年度利润不分配，结转下一年度；以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日股本数为基数，以资本公积金转增股 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13"/>
        <w:ind w:right="81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年度利润分配方案为：本年度利润不分配，结转下一年度；不以资本公积转增股本。</w:t>
      </w:r>
    </w:p>
    <w:p>
      <w:pPr>
        <w:spacing w:line="240" w:lineRule="auto" w:before="5"/>
        <w:rPr>
          <w:rFonts w:ascii="宋体" w:hAnsi="宋体" w:cs="宋体" w:eastAsia="宋体" w:hint="default"/>
          <w:sz w:val="28"/>
          <w:szCs w:val="28"/>
        </w:rPr>
      </w:pPr>
    </w:p>
    <w:p>
      <w:pPr>
        <w:pStyle w:val="BodyText"/>
        <w:spacing w:line="240" w:lineRule="auto" w:before="44"/>
        <w:ind w:right="817"/>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070"/>
        <w:gridCol w:w="1320"/>
        <w:gridCol w:w="1197"/>
        <w:gridCol w:w="1196"/>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1320"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1187"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 w:right="24"/>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0" w:right="78"/>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32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070"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1187"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75,525,209.45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-365,071,834.92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11,659,531.44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27"/>
          <w:szCs w:val="27"/>
        </w:rPr>
      </w:pPr>
    </w:p>
    <w:p>
      <w:pPr>
        <w:pStyle w:val="BodyText"/>
        <w:spacing w:line="240" w:lineRule="auto" w:before="44"/>
        <w:ind w:right="817"/>
        <w:jc w:val="left"/>
      </w:pPr>
      <w:r>
        <w:rPr/>
        <w:t>公司报告期内盈利且母公司可供普通股股东分配利润为正但未提出普通股现金红利分配预案</w:t>
      </w:r>
    </w:p>
    <w:p>
      <w:pPr>
        <w:pStyle w:val="BodyText"/>
        <w:spacing w:line="240" w:lineRule="auto" w:before="117"/>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二、本报告期利润分配及资本公积金转增股本预案情况" w:id="69"/>
      <w:bookmarkEnd w:id="69"/>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after="0" w:line="338" w:lineRule="auto"/>
        <w:jc w:val="left"/>
        <w:sectPr>
          <w:pgSz w:w="11910" w:h="16840"/>
          <w:pgMar w:header="877" w:footer="979" w:top="1100" w:bottom="1160" w:left="980" w:right="0"/>
        </w:sectPr>
      </w:pPr>
    </w:p>
    <w:p>
      <w:pPr>
        <w:pStyle w:val="Heading2"/>
        <w:spacing w:line="240" w:lineRule="auto" w:before="30"/>
        <w:ind w:left="140" w:right="10658"/>
        <w:jc w:val="left"/>
        <w:rPr>
          <w:b w:val="0"/>
          <w:bCs w:val="0"/>
        </w:rPr>
      </w:pPr>
      <w:r>
        <w:rPr/>
        <w:pict>
          <v:group style="position:absolute;margin-left:70.5pt;margin-top:2.255627pt;width:701pt;height:.1pt;mso-position-horizontal-relative:page;mso-position-vertical-relative:paragraph;z-index:-89855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70"/>
      <w:bookmarkEnd w:id="70"/>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218"/>
        <w:jc w:val="left"/>
        <w:rPr>
          <w:b w:val="0"/>
          <w:bCs w:val="0"/>
        </w:rPr>
      </w:pPr>
      <w:bookmarkStart w:name="1、公司实际控制人、股东、关联方、收购人以及公司等承诺相关方在报告期内履行完毕及" w:id="71"/>
      <w:bookmarkEnd w:id="71"/>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10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836"/>
        <w:gridCol w:w="1126"/>
        <w:gridCol w:w="1126"/>
        <w:gridCol w:w="5829"/>
        <w:gridCol w:w="1134"/>
        <w:gridCol w:w="851"/>
        <w:gridCol w:w="99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429"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张杰、林旭曦</w:t>
            </w:r>
          </w:p>
        </w:tc>
        <w:tc>
          <w:tcPr>
            <w:tcW w:w="1126" w:type="dxa"/>
            <w:vMerge w:val="restart"/>
            <w:tcBorders>
              <w:top w:val="single" w:sz="4" w:space="0" w:color="000000"/>
              <w:left w:val="single" w:sz="4" w:space="0" w:color="000000"/>
              <w:right w:val="single" w:sz="4" w:space="0" w:color="000000"/>
            </w:tcBorders>
          </w:tcPr>
          <w:p>
            <w:pPr/>
          </w:p>
        </w:tc>
        <w:tc>
          <w:tcPr>
            <w:tcW w:w="5829" w:type="dxa"/>
            <w:vMerge w:val="restart"/>
            <w:tcBorders>
              <w:top w:val="single" w:sz="4" w:space="0" w:color="000000"/>
              <w:left w:val="single" w:sz="4" w:space="0" w:color="000000"/>
              <w:right w:val="single" w:sz="4" w:space="0" w:color="000000"/>
            </w:tcBorders>
          </w:tcPr>
          <w:p>
            <w:pPr>
              <w:pStyle w:val="TableParagraph"/>
              <w:spacing w:line="314" w:lineRule="auto" w:before="52"/>
              <w:ind w:left="23" w:right="2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、自本承诺函签署之日起，本人及本人控制的公司均未生产、开发任何与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股份公司及其下属子公司生产的产品及构成竞争或可能构成竞争的产品， 未直接或间接经营任何与股份公司及其下属子公司经营的业务构成竞争或 可能构成竞争的业务，也未参与投资任何与股份公司及其下属子公司生产 的产品或经营的业务构成竞争或可能构成竞争的其他企业。</w:t>
            </w:r>
          </w:p>
          <w:p>
            <w:pPr>
              <w:pStyle w:val="TableParagraph"/>
              <w:spacing w:line="314" w:lineRule="auto" w:before="59"/>
              <w:ind w:left="23" w:right="2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、自本承诺函签署之日起，本人及本人控制的公司将不生产、开发任何与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股份公司及其下属子公司生产的产品构成竞争或可能构成竞争的产品，不 直接或间接经营任何与股份公司及其下属子公司经营的业务构成竞争或可 能构成竞争的业务，也不参与投资任何与股份公司及其下属子公司生产的 产品或经营的业务构成竞争或可能构成竞争的其他企业。</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9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582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142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82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1923"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17" w:right="89"/>
              <w:jc w:val="both"/>
              <w:rPr>
                <w:rFonts w:ascii="宋体" w:hAnsi="宋体" w:cs="宋体" w:eastAsia="宋体" w:hint="default"/>
                <w:sz w:val="18"/>
                <w:szCs w:val="18"/>
              </w:rPr>
            </w:pPr>
            <w:r>
              <w:rPr>
                <w:rFonts w:ascii="宋体" w:hAnsi="宋体" w:cs="宋体" w:eastAsia="宋体" w:hint="default"/>
                <w:sz w:val="18"/>
                <w:szCs w:val="18"/>
              </w:rPr>
              <w:t>杨超</w:t>
            </w:r>
            <w:r>
              <w:rPr>
                <w:rFonts w:ascii="Times New Roman" w:hAnsi="Times New Roman" w:cs="Times New Roman" w:eastAsia="Times New Roman" w:hint="default"/>
                <w:sz w:val="18"/>
                <w:szCs w:val="18"/>
              </w:rPr>
              <w:t>;</w:t>
            </w:r>
            <w:r>
              <w:rPr>
                <w:rFonts w:ascii="宋体" w:hAnsi="宋体" w:cs="宋体" w:eastAsia="宋体" w:hint="default"/>
                <w:sz w:val="18"/>
                <w:szCs w:val="18"/>
              </w:rPr>
              <w:t>雷建</w:t>
            </w:r>
            <w:r>
              <w:rPr>
                <w:rFonts w:ascii="Times New Roman" w:hAnsi="Times New Roman" w:cs="Times New Roman" w:eastAsia="Times New Roman" w:hint="default"/>
                <w:sz w:val="18"/>
                <w:szCs w:val="18"/>
              </w:rPr>
              <w:t>;</w:t>
            </w:r>
            <w:r>
              <w:rPr>
                <w:rFonts w:ascii="宋体" w:hAnsi="宋体" w:cs="宋体" w:eastAsia="宋体" w:hint="default"/>
                <w:sz w:val="18"/>
                <w:szCs w:val="18"/>
              </w:rPr>
              <w:t>陈 兆滨</w:t>
            </w:r>
            <w:r>
              <w:rPr>
                <w:rFonts w:ascii="Times New Roman" w:hAnsi="Times New Roman" w:cs="Times New Roman" w:eastAsia="Times New Roman" w:hint="default"/>
                <w:sz w:val="18"/>
                <w:szCs w:val="18"/>
              </w:rPr>
              <w:t>;</w:t>
            </w:r>
            <w:r>
              <w:rPr>
                <w:rFonts w:ascii="宋体" w:hAnsi="宋体" w:cs="宋体" w:eastAsia="宋体" w:hint="default"/>
                <w:sz w:val="18"/>
                <w:szCs w:val="18"/>
              </w:rPr>
              <w:t>毛智才</w:t>
            </w:r>
            <w:r>
              <w:rPr>
                <w:rFonts w:ascii="Times New Roman" w:hAnsi="Times New Roman" w:cs="Times New Roman" w:eastAsia="Times New Roman" w:hint="default"/>
                <w:sz w:val="18"/>
                <w:szCs w:val="18"/>
              </w:rPr>
              <w:t>; </w:t>
            </w:r>
            <w:r>
              <w:rPr>
                <w:rFonts w:ascii="宋体" w:hAnsi="宋体" w:cs="宋体" w:eastAsia="宋体" w:hint="default"/>
                <w:sz w:val="18"/>
                <w:szCs w:val="18"/>
              </w:rPr>
              <w:t>鲁武英</w:t>
            </w:r>
            <w:r>
              <w:rPr>
                <w:rFonts w:ascii="Times New Roman" w:hAnsi="Times New Roman" w:cs="Times New Roman" w:eastAsia="Times New Roman" w:hint="default"/>
                <w:sz w:val="18"/>
                <w:szCs w:val="18"/>
              </w:rPr>
              <w:t>;</w:t>
            </w:r>
            <w:r>
              <w:rPr>
                <w:rFonts w:ascii="宋体" w:hAnsi="宋体" w:cs="宋体" w:eastAsia="宋体" w:hint="default"/>
                <w:sz w:val="18"/>
                <w:szCs w:val="18"/>
              </w:rPr>
              <w:t>江勇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829"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杨超所获股份分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批解锁：其中杨超所获股份的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锁定期为自股份发行 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年实现利润承诺；所获股份的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锁定期为自股份发行并上市之日起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2"/>
                <w:sz w:val="18"/>
                <w:szCs w:val="18"/>
              </w:rPr>
              <w:t>月</w:t>
            </w:r>
            <w:r>
              <w:rPr>
                <w:rFonts w:ascii="宋体" w:hAnsi="宋体" w:cs="宋体" w:eastAsia="宋体" w:hint="default"/>
                <w:spacing w:val="-90"/>
                <w:sz w:val="18"/>
                <w:szCs w:val="18"/>
              </w:rPr>
              <w:t>；</w:t>
            </w:r>
            <w:r>
              <w:rPr>
                <w:rFonts w:ascii="宋体" w:hAnsi="宋体" w:cs="宋体" w:eastAsia="宋体" w:hint="default"/>
                <w:sz w:val="18"/>
                <w:szCs w:val="18"/>
              </w:rPr>
              <w:t>占其本次交易所获股份的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锁定期为自股份发行并上市之日起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2"/>
                <w:sz w:val="18"/>
                <w:szCs w:val="18"/>
              </w:rPr>
              <w:t>月</w:t>
            </w:r>
            <w:r>
              <w:rPr>
                <w:rFonts w:ascii="宋体" w:hAnsi="宋体" w:cs="宋体" w:eastAsia="宋体" w:hint="default"/>
                <w:spacing w:val="-90"/>
                <w:sz w:val="18"/>
                <w:szCs w:val="18"/>
              </w:rPr>
              <w:t>；</w:t>
            </w:r>
            <w:r>
              <w:rPr>
                <w:rFonts w:ascii="宋体" w:hAnsi="宋体" w:cs="宋体" w:eastAsia="宋体" w:hint="default"/>
                <w:sz w:val="18"/>
                <w:szCs w:val="18"/>
              </w:rPr>
              <w:t>占其本次交易所获股份的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锁定期为自股份发行并上市之日起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个月。雷建所获股份分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批解锁：其</w:t>
            </w:r>
            <w:r>
              <w:rPr>
                <w:rFonts w:ascii="宋体" w:hAnsi="宋体" w:cs="宋体" w:eastAsia="宋体" w:hint="default"/>
                <w:sz w:val="18"/>
                <w:szCs w:val="18"/>
              </w:rPr>
              <w:t> 中雷建所获股份的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锁定期为自股份发行并上市之日起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个月且标的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年实现利润承诺；所获股份的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锁定期为自股份发行并上市之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个月；其余股份（占其本次交易所获股份的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）锁定期为自股 份发行并上市之日起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个月。陈兆滨、鲁武英、毛智才、江勇所获股份的</w:t>
            </w:r>
          </w:p>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锁定期为自股份发行并上市之日起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4" w:lineRule="auto"/>
              <w:ind w:left="22" w:right="47"/>
              <w:jc w:val="both"/>
              <w:rPr>
                <w:rFonts w:ascii="宋体" w:hAnsi="宋体" w:cs="宋体" w:eastAsia="宋体" w:hint="default"/>
                <w:sz w:val="18"/>
                <w:szCs w:val="18"/>
              </w:rPr>
            </w:pPr>
            <w:r>
              <w:rPr>
                <w:rFonts w:ascii="宋体" w:hAnsi="宋体" w:cs="宋体" w:eastAsia="宋体" w:hint="default"/>
                <w:sz w:val="18"/>
                <w:szCs w:val="18"/>
              </w:rPr>
              <w:t>杨超为四 年，雷建</w:t>
            </w:r>
            <w:r>
              <w:rPr>
                <w:rFonts w:ascii="Times New Roman" w:hAnsi="Times New Roman" w:cs="Times New Roman" w:eastAsia="Times New Roman" w:hint="default"/>
                <w:sz w:val="18"/>
                <w:szCs w:val="18"/>
              </w:rPr>
              <w:t>; </w:t>
            </w:r>
            <w:r>
              <w:rPr>
                <w:rFonts w:ascii="宋体" w:hAnsi="宋体" w:cs="宋体" w:eastAsia="宋体" w:hint="default"/>
                <w:sz w:val="18"/>
                <w:szCs w:val="18"/>
              </w:rPr>
              <w:t>陈兆滨</w:t>
            </w:r>
            <w:r>
              <w:rPr>
                <w:rFonts w:ascii="Times New Roman" w:hAnsi="Times New Roman" w:cs="Times New Roman" w:eastAsia="Times New Roman" w:hint="default"/>
                <w:sz w:val="18"/>
                <w:szCs w:val="18"/>
              </w:rPr>
              <w:t>;</w:t>
            </w:r>
            <w:r>
              <w:rPr>
                <w:rFonts w:ascii="宋体" w:hAnsi="宋体" w:cs="宋体" w:eastAsia="宋体" w:hint="default"/>
                <w:sz w:val="18"/>
                <w:szCs w:val="18"/>
              </w:rPr>
              <w:t>毛 智才</w:t>
            </w:r>
            <w:r>
              <w:rPr>
                <w:rFonts w:ascii="Times New Roman" w:hAnsi="Times New Roman" w:cs="Times New Roman" w:eastAsia="Times New Roman" w:hint="default"/>
                <w:sz w:val="18"/>
                <w:szCs w:val="18"/>
              </w:rPr>
              <w:t>;</w:t>
            </w:r>
            <w:r>
              <w:rPr>
                <w:rFonts w:ascii="宋体" w:hAnsi="宋体" w:cs="宋体" w:eastAsia="宋体" w:hint="default"/>
                <w:sz w:val="18"/>
                <w:szCs w:val="18"/>
              </w:rPr>
              <w:t>鲁武 英</w:t>
            </w:r>
            <w:r>
              <w:rPr>
                <w:rFonts w:ascii="Times New Roman" w:hAnsi="Times New Roman" w:cs="Times New Roman" w:eastAsia="Times New Roman" w:hint="default"/>
                <w:sz w:val="18"/>
                <w:szCs w:val="18"/>
              </w:rPr>
              <w:t>;</w:t>
            </w:r>
            <w:r>
              <w:rPr>
                <w:rFonts w:ascii="宋体" w:hAnsi="宋体" w:cs="宋体" w:eastAsia="宋体" w:hint="default"/>
                <w:sz w:val="18"/>
                <w:szCs w:val="18"/>
              </w:rPr>
              <w:t>江勇为 三年</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582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896"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82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杨超</w:t>
            </w:r>
            <w:r>
              <w:rPr>
                <w:rFonts w:ascii="Times New Roman" w:hAnsi="Times New Roman" w:cs="Times New Roman" w:eastAsia="Times New Roman" w:hint="default"/>
                <w:sz w:val="18"/>
                <w:szCs w:val="18"/>
              </w:rPr>
              <w:t>;</w:t>
            </w:r>
            <w:r>
              <w:rPr>
                <w:rFonts w:ascii="宋体" w:hAnsi="宋体" w:cs="宋体" w:eastAsia="宋体" w:hint="default"/>
                <w:sz w:val="18"/>
                <w:szCs w:val="18"/>
              </w:rPr>
              <w:t>雷建</w:t>
            </w:r>
            <w:r>
              <w:rPr>
                <w:rFonts w:ascii="Times New Roman" w:hAnsi="Times New Roman" w:cs="Times New Roman" w:eastAsia="Times New Roman" w:hint="default"/>
                <w:sz w:val="18"/>
                <w:szCs w:val="18"/>
              </w:rPr>
              <w:t>;</w:t>
            </w:r>
            <w:r>
              <w:rPr>
                <w:rFonts w:ascii="宋体" w:hAnsi="宋体" w:cs="宋体" w:eastAsia="宋体" w:hint="default"/>
                <w:sz w:val="18"/>
                <w:szCs w:val="18"/>
              </w:rPr>
              <w:t>陈 兆滨</w:t>
            </w:r>
            <w:r>
              <w:rPr>
                <w:rFonts w:ascii="Times New Roman" w:hAnsi="Times New Roman" w:cs="Times New Roman" w:eastAsia="Times New Roman" w:hint="default"/>
                <w:sz w:val="18"/>
                <w:szCs w:val="18"/>
              </w:rPr>
              <w:t>;</w:t>
            </w:r>
            <w:r>
              <w:rPr>
                <w:rFonts w:ascii="宋体" w:hAnsi="宋体" w:cs="宋体" w:eastAsia="宋体" w:hint="default"/>
                <w:sz w:val="18"/>
                <w:szCs w:val="18"/>
              </w:rPr>
              <w:t>毛智才</w:t>
            </w:r>
            <w:r>
              <w:rPr>
                <w:rFonts w:ascii="Times New Roman" w:hAnsi="Times New Roman" w:cs="Times New Roman" w:eastAsia="Times New Roman" w:hint="default"/>
                <w:sz w:val="18"/>
                <w:szCs w:val="18"/>
              </w:rPr>
              <w:t>; </w:t>
            </w:r>
            <w:r>
              <w:rPr>
                <w:rFonts w:ascii="宋体" w:hAnsi="宋体" w:cs="宋体" w:eastAsia="宋体" w:hint="default"/>
                <w:sz w:val="18"/>
                <w:szCs w:val="18"/>
              </w:rPr>
              <w:t>鲁武英</w:t>
            </w:r>
            <w:r>
              <w:rPr>
                <w:rFonts w:ascii="Times New Roman" w:hAnsi="Times New Roman" w:cs="Times New Roman" w:eastAsia="Times New Roman" w:hint="default"/>
                <w:sz w:val="18"/>
                <w:szCs w:val="18"/>
              </w:rPr>
              <w:t>;</w:t>
            </w:r>
            <w:r>
              <w:rPr>
                <w:rFonts w:ascii="宋体" w:hAnsi="宋体" w:cs="宋体" w:eastAsia="宋体" w:hint="default"/>
                <w:sz w:val="18"/>
                <w:szCs w:val="18"/>
              </w:rPr>
              <w:t>江勇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5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杨超、雷建、陈兆滨、鲁武英、毛智才、江勇签署了《发行股份支付现金 </w:t>
            </w:r>
            <w:r>
              <w:rPr>
                <w:rFonts w:ascii="宋体" w:hAnsi="宋体" w:cs="宋体" w:eastAsia="宋体" w:hint="default"/>
                <w:spacing w:val="-6"/>
                <w:sz w:val="18"/>
                <w:szCs w:val="18"/>
              </w:rPr>
              <w:t>购买资产协议》及《发行股份支付现金购买资产协议之补充协议》，相关业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绩补偿及股权回购均已约定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headerReference w:type="default" r:id="rId20"/>
          <w:footerReference w:type="default" r:id="rId21"/>
          <w:pgSz w:w="16840" w:h="11910" w:orient="landscape"/>
          <w:pgMar w:header="867" w:footer="979" w:top="1060" w:bottom="1160" w:left="1300" w:right="1300"/>
          <w:pgNumType w:start="35"/>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1126"/>
        <w:gridCol w:w="1126"/>
        <w:gridCol w:w="5829"/>
        <w:gridCol w:w="1134"/>
        <w:gridCol w:w="851"/>
        <w:gridCol w:w="995"/>
      </w:tblGrid>
      <w:tr>
        <w:trPr>
          <w:trHeight w:val="6657"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林旭曦</w:t>
            </w:r>
            <w:r>
              <w:rPr>
                <w:rFonts w:ascii="Times New Roman" w:hAnsi="Times New Roman" w:cs="Times New Roman" w:eastAsia="Times New Roman" w:hint="default"/>
                <w:sz w:val="18"/>
                <w:szCs w:val="18"/>
              </w:rPr>
              <w:t>;</w:t>
            </w:r>
            <w:r>
              <w:rPr>
                <w:rFonts w:ascii="宋体" w:hAnsi="宋体" w:cs="宋体" w:eastAsia="宋体" w:hint="default"/>
                <w:sz w:val="18"/>
                <w:szCs w:val="18"/>
              </w:rPr>
              <w:t>张杰</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829"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51"/>
              <w:ind w:left="23" w:right="21"/>
              <w:jc w:val="both"/>
              <w:rPr>
                <w:rFonts w:ascii="宋体" w:hAnsi="宋体" w:cs="宋体" w:eastAsia="宋体" w:hint="default"/>
                <w:sz w:val="18"/>
                <w:szCs w:val="18"/>
              </w:rPr>
            </w:pPr>
            <w:r>
              <w:rPr>
                <w:rFonts w:ascii="宋体" w:hAnsi="宋体" w:cs="宋体" w:eastAsia="宋体" w:hint="default"/>
                <w:spacing w:val="-6"/>
                <w:sz w:val="18"/>
                <w:szCs w:val="18"/>
              </w:rPr>
              <w:t>（一）《关于避免同业竞争的承诺函》：</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本人确认并保证目前本人控制的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安妮股份除外的其他企业不会直接或间接经营任何与畅元国讯经营的业务 构成竞争或可能构成竞争的业务，亦不会投资任何与畅元国讯经营的业务 构成竞争或可能构成竞争的其他企业；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本人保证将努力促使与本人关系 密切的家庭成员不直接或间接从事、参与或投资与畅元国讯经营相竞争的 任何经营活动。</w:t>
            </w:r>
            <w:r>
              <w:rPr>
                <w:rFonts w:ascii="Times New Roman" w:hAnsi="Times New Roman" w:cs="Times New Roman" w:eastAsia="Times New Roman" w:hint="default"/>
                <w:sz w:val="18"/>
                <w:szCs w:val="18"/>
              </w:rPr>
              <w:t>3.</w:t>
            </w:r>
            <w:r>
              <w:rPr>
                <w:rFonts w:ascii="宋体" w:hAnsi="宋体" w:cs="宋体" w:eastAsia="宋体" w:hint="default"/>
                <w:sz w:val="18"/>
                <w:szCs w:val="18"/>
              </w:rPr>
              <w:t>本人保证将赔偿安妮股份因本人违反承诺而遭受或产生 </w:t>
            </w:r>
            <w:r>
              <w:rPr>
                <w:rFonts w:ascii="宋体" w:hAnsi="宋体" w:cs="宋体" w:eastAsia="宋体" w:hint="default"/>
                <w:spacing w:val="-11"/>
                <w:sz w:val="18"/>
                <w:szCs w:val="18"/>
              </w:rPr>
              <w:t>的任何损失或开支。（二）《关于减少和避免关联交易的承诺》：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、本次交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易完成后，本人及本人控制的其他企业与上市公司之间将尽量减少、避免 关联交易。在进行确有必要且无法规避的关联交易时，保证按市场化原则 和公允价格进行公平操作，按相关法律、法规、规章等规范性文件及上市 公司章程的规定履行关联交易的决策程序及信息披露义务，并保证以市场 公允价格与上市公司及下属子公司进行交易，不利用该等交易从事任何损 害上市公司及下属子公司利益的行为。本人保证不会通过关联交易损害上 市公司及其他股东的合法权益。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、本人承诺不利用上市公司控股股东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 际控制人地位及重大影响，谋求上市公司及下属子公司在业务合作等方面 给予本人及本人投资的其他企业优于市场第三方的权利，或谋求与上市公 司及下属子公司达成交易的优先权利，损害上市公司及其他股东的合法利 </w:t>
            </w:r>
            <w:r>
              <w:rPr>
                <w:rFonts w:ascii="宋体" w:hAnsi="宋体" w:cs="宋体" w:eastAsia="宋体" w:hint="default"/>
                <w:spacing w:val="-3"/>
                <w:sz w:val="18"/>
                <w:szCs w:val="18"/>
              </w:rPr>
              <w:t>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、本人将杜绝一切非法占用上市公司的资金、资产的行为，在任何情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1"/>
                <w:sz w:val="18"/>
                <w:szCs w:val="18"/>
              </w:rPr>
              <w:t>况下，不要求上市公司向本人及其关联方。（三）、《关于避免资金占用、关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联担保的承诺函》：在本次交易后不会占用上市公司的资金或要求其为本人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及本人投资的其他企业提供担保，否则，应承担个别及连带责任</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0"/>
              <w:ind w:left="23" w:right="89"/>
              <w:jc w:val="both"/>
              <w:rPr>
                <w:rFonts w:ascii="宋体" w:hAnsi="宋体" w:cs="宋体" w:eastAsia="宋体" w:hint="default"/>
                <w:sz w:val="18"/>
                <w:szCs w:val="18"/>
              </w:rPr>
            </w:pPr>
            <w:r>
              <w:rPr>
                <w:rFonts w:ascii="宋体" w:hAnsi="宋体" w:cs="宋体" w:eastAsia="宋体" w:hint="default"/>
                <w:sz w:val="18"/>
                <w:szCs w:val="18"/>
              </w:rPr>
              <w:t>杨超</w:t>
            </w:r>
            <w:r>
              <w:rPr>
                <w:rFonts w:ascii="Times New Roman" w:hAnsi="Times New Roman" w:cs="Times New Roman" w:eastAsia="Times New Roman" w:hint="default"/>
                <w:sz w:val="18"/>
                <w:szCs w:val="18"/>
              </w:rPr>
              <w:t>;</w:t>
            </w:r>
            <w:r>
              <w:rPr>
                <w:rFonts w:ascii="宋体" w:hAnsi="宋体" w:cs="宋体" w:eastAsia="宋体" w:hint="default"/>
                <w:sz w:val="18"/>
                <w:szCs w:val="18"/>
              </w:rPr>
              <w:t>陈兆滨</w:t>
            </w:r>
            <w:r>
              <w:rPr>
                <w:rFonts w:ascii="Times New Roman" w:hAnsi="Times New Roman" w:cs="Times New Roman" w:eastAsia="Times New Roman" w:hint="default"/>
                <w:sz w:val="18"/>
                <w:szCs w:val="18"/>
              </w:rPr>
              <w:t>; </w:t>
            </w:r>
            <w:r>
              <w:rPr>
                <w:rFonts w:ascii="宋体" w:hAnsi="宋体" w:cs="宋体" w:eastAsia="宋体" w:hint="default"/>
                <w:sz w:val="18"/>
                <w:szCs w:val="18"/>
              </w:rPr>
              <w:t>鲁武英</w:t>
            </w:r>
            <w:r>
              <w:rPr>
                <w:rFonts w:ascii="Times New Roman" w:hAnsi="Times New Roman" w:cs="Times New Roman" w:eastAsia="Times New Roman" w:hint="default"/>
                <w:sz w:val="18"/>
                <w:szCs w:val="18"/>
              </w:rPr>
              <w:t>;</w:t>
            </w:r>
            <w:r>
              <w:rPr>
                <w:rFonts w:ascii="宋体" w:hAnsi="宋体" w:cs="宋体" w:eastAsia="宋体" w:hint="default"/>
                <w:sz w:val="18"/>
                <w:szCs w:val="18"/>
              </w:rPr>
              <w:t>毛智 才</w:t>
            </w:r>
            <w:r>
              <w:rPr>
                <w:rFonts w:ascii="Times New Roman" w:hAnsi="Times New Roman" w:cs="Times New Roman" w:eastAsia="Times New Roman" w:hint="default"/>
                <w:sz w:val="18"/>
                <w:szCs w:val="18"/>
              </w:rPr>
              <w:t>;</w:t>
            </w:r>
            <w:r>
              <w:rPr>
                <w:rFonts w:ascii="宋体" w:hAnsi="宋体" w:cs="宋体" w:eastAsia="宋体" w:hint="default"/>
                <w:sz w:val="18"/>
                <w:szCs w:val="18"/>
              </w:rPr>
              <w:t>雷建</w:t>
            </w:r>
            <w:r>
              <w:rPr>
                <w:rFonts w:ascii="Times New Roman" w:hAnsi="Times New Roman" w:cs="Times New Roman" w:eastAsia="Times New Roman" w:hint="default"/>
                <w:sz w:val="18"/>
                <w:szCs w:val="18"/>
              </w:rPr>
              <w:t>;</w:t>
            </w:r>
            <w:r>
              <w:rPr>
                <w:rFonts w:ascii="宋体" w:hAnsi="宋体" w:cs="宋体" w:eastAsia="宋体" w:hint="default"/>
                <w:sz w:val="18"/>
                <w:szCs w:val="18"/>
              </w:rPr>
              <w:t>江勇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both"/>
              <w:rPr>
                <w:rFonts w:ascii="宋体" w:hAnsi="宋体" w:cs="宋体" w:eastAsia="宋体" w:hint="default"/>
                <w:sz w:val="18"/>
                <w:szCs w:val="18"/>
              </w:rPr>
            </w:pPr>
            <w:r>
              <w:rPr>
                <w:rFonts w:ascii="宋体" w:hAnsi="宋体" w:cs="宋体" w:eastAsia="宋体" w:hint="default"/>
                <w:spacing w:val="-6"/>
                <w:sz w:val="18"/>
                <w:szCs w:val="18"/>
              </w:rPr>
              <w:t>（一）《关于避免资金占用、关联担保的承诺函》：在本次交易后不会占用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畅元国讯的资金或要求其为本人及本人投资的其他企业提供担保，否则， </w:t>
            </w:r>
            <w:r>
              <w:rPr>
                <w:rFonts w:ascii="宋体" w:hAnsi="宋体" w:cs="宋体" w:eastAsia="宋体" w:hint="default"/>
                <w:spacing w:val="-8"/>
                <w:sz w:val="18"/>
                <w:szCs w:val="18"/>
              </w:rPr>
              <w:t>应承担个别及连带责任。（二）《关于避免同业竞争的承诺函》：</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、本次交</w:t>
            </w:r>
            <w:r>
              <w:rPr>
                <w:rFonts w:ascii="宋体" w:hAnsi="宋体" w:cs="宋体" w:eastAsia="宋体" w:hint="default"/>
                <w:spacing w:val="-88"/>
                <w:sz w:val="18"/>
                <w:szCs w:val="18"/>
              </w:rPr>
              <w:t> </w:t>
            </w:r>
            <w:r>
              <w:rPr>
                <w:rFonts w:ascii="宋体" w:hAnsi="宋体" w:cs="宋体" w:eastAsia="宋体" w:hint="default"/>
                <w:sz w:val="18"/>
                <w:szCs w:val="18"/>
              </w:rPr>
              <w:t>易完成后，在本公司持有安妮股份股票期间，本公司及本公司控制的企业 不会直接或间接经营任何与畅元国讯、安妮股份及其其他下属公司经营的 业务构成竞争或可能构成竞争的业务，亦不会投资任何与畅元国讯、安妮 股份及其其他下属公司经营的业务构成竞争或可能构成竞争的其他企业；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、本次交易完成后，在本公司持有安妮股份股票期间，如本公司及本公司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控制的企业的现有业务或该等企业为进一步拓展业务范围，与安妮股份及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严格履行中</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260" w:left="1320" w:right="13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1126"/>
        <w:gridCol w:w="1126"/>
        <w:gridCol w:w="5829"/>
        <w:gridCol w:w="1134"/>
        <w:gridCol w:w="851"/>
        <w:gridCol w:w="992"/>
      </w:tblGrid>
      <w:tr>
        <w:trPr>
          <w:trHeight w:val="6930" w:hRule="exact"/>
        </w:trPr>
        <w:tc>
          <w:tcPr>
            <w:tcW w:w="283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829"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其下属公司经营的业务产生竞争，则本公司及本公司控制的企业将采取包 括但不限于停止经营产生竞争的业务、将产生竞争的业务纳入安妮股份或 者转让给无关联关系第三方等合法方式，使本公司及本公司控制的企业不 </w:t>
            </w:r>
            <w:r>
              <w:rPr>
                <w:rFonts w:ascii="宋体" w:hAnsi="宋体" w:cs="宋体" w:eastAsia="宋体" w:hint="default"/>
                <w:spacing w:val="-11"/>
                <w:sz w:val="18"/>
                <w:szCs w:val="18"/>
              </w:rPr>
              <w:t>再从事与安妮股份主营业务相同或类似的业务，以避免同业竞争。（三）《关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于减少及规范关联交易的承诺函》：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、在本次交易之前，任一股权转让方</w:t>
            </w:r>
            <w:r>
              <w:rPr>
                <w:rFonts w:ascii="宋体" w:hAnsi="宋体" w:cs="宋体" w:eastAsia="宋体" w:hint="default"/>
                <w:spacing w:val="-81"/>
                <w:sz w:val="18"/>
                <w:szCs w:val="18"/>
              </w:rPr>
              <w:t> </w:t>
            </w:r>
            <w:r>
              <w:rPr>
                <w:rFonts w:ascii="宋体" w:hAnsi="宋体" w:cs="宋体" w:eastAsia="宋体" w:hint="default"/>
                <w:spacing w:val="-3"/>
                <w:sz w:val="18"/>
                <w:szCs w:val="18"/>
              </w:rPr>
              <w:t>与安妮股份不存在关联交易。本次交易亦不构成关联交易。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成后，股权转让方及其控制的企业将尽可能减少与安妮股份及其下属子公 司的关联交易，不会利用自身作为安妮股份股东之地位谋求与安妮股份在 业务合作等方面给予优于市场第三方的权利；不会利用自身作为安妮股份 </w:t>
            </w:r>
            <w:r>
              <w:rPr>
                <w:rFonts w:ascii="宋体" w:hAnsi="宋体" w:cs="宋体" w:eastAsia="宋体" w:hint="default"/>
                <w:spacing w:val="-3"/>
                <w:sz w:val="18"/>
                <w:szCs w:val="18"/>
              </w:rPr>
              <w:t>股东之地位谋求与安妮股份达成交易的优先权利。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、若发生必要且不可避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免的关联交易，股权转让方及其控制的企业将与安妮股份及其下属子公司 按照公平、公允、等价有偿等原则依法签订协议，履行合法程序，并将按 照有关法律法规和《厦门安妮股份有限公司章程》等内控制度的规定履行 信息披露义务及相关内部决策、报批程序，关联交易价格依照与无关联关 系的独立第三方进行相同或相似交易时的价格确定，保证关联交易价格具 有公允性，亦不利用该等交易从事任何损害安妮股份及安妮股份其他股东 </w:t>
            </w:r>
            <w:r>
              <w:rPr>
                <w:rFonts w:ascii="宋体" w:hAnsi="宋体" w:cs="宋体" w:eastAsia="宋体" w:hint="default"/>
                <w:spacing w:val="-3"/>
                <w:sz w:val="18"/>
                <w:szCs w:val="18"/>
              </w:rPr>
              <w:t>的合法权益的行为。</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、若违反上述声明和保证，股权转让方将对分别、且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共同地前述行为而给安妮股份造成的损失向安妮股份进行赔偿。股权转让 方保证将依照《厦门安妮股份有限公司章程》的规定参加股东大会，平等 地行使相应权利，承担相应义务，不利用股东地位谋取不正当利益，不利 用关联交易非法转移安妮股份及其下属公司的资金、利润，保证不损害安 妮股份其他股东的合法权益。</w:t>
            </w: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82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5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left"/>
              <w:rPr>
                <w:rFonts w:ascii="宋体" w:hAnsi="宋体" w:cs="宋体" w:eastAsia="宋体" w:hint="default"/>
                <w:sz w:val="18"/>
                <w:szCs w:val="18"/>
              </w:rPr>
            </w:pPr>
            <w:r>
              <w:rPr>
                <w:rFonts w:ascii="宋体" w:hAnsi="宋体" w:cs="宋体" w:eastAsia="宋体" w:hint="default"/>
                <w:sz w:val="18"/>
                <w:szCs w:val="18"/>
              </w:rPr>
              <w:t>不为激励对象依本激励计划获取有关股票期权或限制性股票提供贷款以及 其他任何形式的财务资助，包括为其贷款提供担保。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1"/>
              <w:jc w:val="left"/>
              <w:rPr>
                <w:rFonts w:ascii="宋体" w:hAnsi="宋体" w:cs="宋体" w:eastAsia="宋体" w:hint="default"/>
                <w:sz w:val="18"/>
                <w:szCs w:val="18"/>
              </w:rPr>
            </w:pPr>
            <w:r>
              <w:rPr>
                <w:rFonts w:ascii="宋体" w:hAnsi="宋体" w:cs="宋体" w:eastAsia="宋体" w:hint="default"/>
                <w:sz w:val="18"/>
                <w:szCs w:val="18"/>
              </w:rPr>
              <w:t>公司股权激 励对象</w:t>
            </w:r>
          </w:p>
        </w:tc>
        <w:tc>
          <w:tcPr>
            <w:tcW w:w="1126" w:type="dxa"/>
            <w:tcBorders>
              <w:top w:val="single" w:sz="4" w:space="0" w:color="000000"/>
              <w:left w:val="single" w:sz="4" w:space="0" w:color="000000"/>
              <w:bottom w:val="single" w:sz="4" w:space="0" w:color="000000"/>
              <w:right w:val="single" w:sz="4" w:space="0" w:color="000000"/>
            </w:tcBorders>
          </w:tcPr>
          <w:p>
            <w:pPr/>
          </w:p>
        </w:tc>
        <w:tc>
          <w:tcPr>
            <w:tcW w:w="5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若公司因信息披露文件中有虚假记载、误导性陈述或者重大遗漏，导致不 符合授予权益或行使权益安排的，激励对象自相关信息披露文件被确认存 在虚假记载、误导性陈述或者重大遗漏后，将由股权激励计划所获得的全 部利益返还公司。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严格履行中</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r>
        <w:rPr/>
        <w:pict>
          <v:group style="position:absolute;margin-left:618.039978pt;margin-top:133.940002pt;width:56.25pt;height:25.4pt;mso-position-horizontal-relative:page;mso-position-vertical-relative:page;z-index:-898528" coordorigin="12361,2679" coordsize="1125,508">
            <v:group style="position:absolute;left:12361;top:3030;width:1125;height:156" coordorigin="12361,3030" coordsize="1125,156">
              <v:shape style="position:absolute;left:12361;top:3030;width:1125;height:156" coordorigin="12361,3030" coordsize="1125,156" path="m12361,3186l13485,3186,13485,3030,12361,3030,12361,3186xe" filled="true" fillcolor="#ffffff" stroked="false">
                <v:path arrowok="t"/>
                <v:fill type="solid"/>
              </v:shape>
            </v:group>
            <v:group style="position:absolute;left:12384;top:2679;width:1078;height:352" coordorigin="12384,2679" coordsize="1078,352">
              <v:shape style="position:absolute;left:12384;top:2679;width:1078;height:352" coordorigin="12384,2679" coordsize="1078,352" path="m12384,3030l13461,3030,13461,2679,12384,2679,12384,303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1126"/>
        <w:gridCol w:w="1126"/>
        <w:gridCol w:w="5829"/>
        <w:gridCol w:w="1134"/>
        <w:gridCol w:w="851"/>
        <w:gridCol w:w="992"/>
      </w:tblGrid>
      <w:tr>
        <w:trPr>
          <w:trHeight w:val="1041" w:hRule="exact"/>
        </w:trPr>
        <w:tc>
          <w:tcPr>
            <w:tcW w:w="2836"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15" w:space="0" w:color="000000"/>
              <w:left w:val="single" w:sz="4" w:space="0" w:color="000000"/>
              <w:bottom w:val="single" w:sz="4" w:space="0" w:color="000000"/>
              <w:right w:val="single" w:sz="4" w:space="0" w:color="000000"/>
            </w:tcBorders>
          </w:tcPr>
          <w:p>
            <w:pPr/>
          </w:p>
        </w:tc>
        <w:tc>
          <w:tcPr>
            <w:tcW w:w="5829"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51"/>
              <w:ind w:left="23"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年在公司盈利且现金流满足公司正常经营和长期发展的前提 下，公司最近三年以现金方式累计分配的利润不少于最近三年实现的年均 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许志强等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股份增持</w:t>
            </w:r>
          </w:p>
        </w:tc>
        <w:tc>
          <w:tcPr>
            <w:tcW w:w="5829"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3" w:right="9"/>
              <w:jc w:val="both"/>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日起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个月内，根据中国证监会和深圳证券交易所的</w:t>
            </w:r>
            <w:r>
              <w:rPr>
                <w:rFonts w:ascii="宋体" w:hAnsi="宋体" w:cs="宋体" w:eastAsia="宋体" w:hint="default"/>
                <w:sz w:val="18"/>
                <w:szCs w:val="18"/>
              </w:rPr>
              <w:t> 有关规定，拟通过深圳证券交易所证券交易系统（包括但不限于集中竞价 和大宗交易）在二级市场增持公司股份，合计增持金额不低于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03" w:lineRule="exact"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许志强等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126" w:type="dxa"/>
            <w:tcBorders>
              <w:top w:val="single" w:sz="4" w:space="0" w:color="000000"/>
              <w:left w:val="single" w:sz="4" w:space="0" w:color="000000"/>
              <w:bottom w:val="single" w:sz="4" w:space="0" w:color="000000"/>
              <w:right w:val="single" w:sz="4" w:space="0" w:color="000000"/>
            </w:tcBorders>
          </w:tcPr>
          <w:p>
            <w:pPr/>
          </w:p>
        </w:tc>
        <w:tc>
          <w:tcPr>
            <w:tcW w:w="5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增持完成后</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个月内不转让所持公司股份；增持完成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个月后，高级管</w:t>
            </w:r>
            <w:r>
              <w:rPr>
                <w:rFonts w:ascii="宋体" w:hAnsi="宋体" w:cs="宋体" w:eastAsia="宋体" w:hint="default"/>
                <w:sz w:val="18"/>
                <w:szCs w:val="18"/>
              </w:rPr>
              <w:t> 理人员、监事减持所持股票将严格遵守相关法律法规及相关规则的规定。 违反前述承诺的，所得收益归公司所有。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增持完成 后的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1126" w:type="dxa"/>
            <w:tcBorders>
              <w:top w:val="single" w:sz="4" w:space="0" w:color="000000"/>
              <w:left w:val="single" w:sz="4" w:space="0" w:color="000000"/>
              <w:bottom w:val="single" w:sz="4" w:space="0" w:color="000000"/>
              <w:right w:val="single" w:sz="4" w:space="0" w:color="000000"/>
            </w:tcBorders>
          </w:tcPr>
          <w:p>
            <w:pPr/>
          </w:p>
        </w:tc>
        <w:tc>
          <w:tcPr>
            <w:tcW w:w="5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日，公司控股股东林旭曦女士按照减持计划完成减持，林</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旭曦女士承诺自本次减持完毕后的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0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20" w:right="0"/>
        <w:jc w:val="left"/>
        <w:rPr>
          <w:b w:val="0"/>
          <w:bCs w:val="0"/>
        </w:rPr>
      </w:pPr>
      <w:bookmarkStart w:name="2、公司资产或项目存在盈利预测，且报告期仍处在盈利预测期间，公司就资产或项目达到" w:id="72"/>
      <w:bookmarkEnd w:id="72"/>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0" w:right="123"/>
        <w:jc w:val="right"/>
      </w:pPr>
      <w:r>
        <w:rPr/>
        <w:pict>
          <v:shape style="position:absolute;margin-left:71.760002pt;margin-top:-52.148254pt;width:695.4pt;height:71.9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9"/>
                    <w:gridCol w:w="1181"/>
                    <w:gridCol w:w="1181"/>
                    <w:gridCol w:w="1180"/>
                    <w:gridCol w:w="2198"/>
                    <w:gridCol w:w="1700"/>
                    <w:gridCol w:w="3970"/>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原预测披露日期</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北京畅元国讯 科技有限公司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13,000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9,229.69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市场及政策影响致使游戏 分发业务大幅缩减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《厦门安妮股份有限公司发行股份及支付现金购 </w:t>
                        </w:r>
                        <w:r>
                          <w:rPr>
                            <w:rFonts w:ascii="宋体" w:hAnsi="宋体" w:cs="宋体" w:eastAsia="宋体" w:hint="default"/>
                            <w:spacing w:val="-7"/>
                            <w:sz w:val="18"/>
                            <w:szCs w:val="18"/>
                          </w:rPr>
                          <w:t>买资产并募集配套资金暨关联交易报告书（草案）</w:t>
                        </w:r>
                        <w:r>
                          <w:rPr>
                            <w:rFonts w:ascii="宋体" w:hAnsi="宋体" w:cs="宋体" w:eastAsia="宋体" w:hint="default"/>
                            <w:sz w:val="18"/>
                            <w:szCs w:val="18"/>
                          </w:rPr>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before="44"/>
        <w:ind w:left="120" w:right="0"/>
        <w:jc w:val="left"/>
      </w:pPr>
      <w:r>
        <w:rPr/>
        <w:t>公司股东、交易对手方在报告年度经营业绩做出的承诺情况</w:t>
      </w:r>
    </w:p>
    <w:p>
      <w:pPr>
        <w:pStyle w:val="BodyText"/>
        <w:spacing w:line="240" w:lineRule="auto" w:before="117"/>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5"/>
          <w:szCs w:val="15"/>
        </w:rPr>
      </w:pPr>
    </w:p>
    <w:p>
      <w:pPr>
        <w:pStyle w:val="BodyText"/>
        <w:spacing w:line="408" w:lineRule="auto"/>
        <w:ind w:left="120" w:right="214" w:firstLine="480"/>
        <w:jc w:val="both"/>
      </w:pPr>
      <w:r>
        <w:rPr/>
        <w:t>公司根据中国证券监督管理委员会证监许可</w:t>
      </w:r>
      <w:r>
        <w:rPr>
          <w:rFonts w:ascii="宋体" w:hAnsi="宋体" w:cs="宋体" w:eastAsia="宋体" w:hint="default"/>
        </w:rPr>
        <w:t>[2016]1966</w:t>
      </w:r>
      <w:r>
        <w:rPr>
          <w:rFonts w:ascii="宋体" w:hAnsi="宋体" w:cs="宋体" w:eastAsia="宋体" w:hint="default"/>
          <w:spacing w:val="-29"/>
        </w:rPr>
        <w:t> </w:t>
      </w:r>
      <w:r>
        <w:rPr/>
        <w:t>号《关于核准厦门安妮股份有限公司向杨超等发行股份购买资产并募集配套资金的批复》，以发行股份方式购买杨 超、雷建、毛智才、江勇持有的北京畅元国讯科技有限公司（以下简称“畅元国讯”或“标的公司”）</w:t>
      </w:r>
      <w:r>
        <w:rPr>
          <w:rFonts w:ascii="宋体" w:hAnsi="宋体" w:cs="宋体" w:eastAsia="宋体" w:hint="default"/>
        </w:rPr>
        <w:t>53.28%</w:t>
      </w:r>
      <w:r>
        <w:rPr/>
        <w:t>、</w:t>
      </w:r>
      <w:r>
        <w:rPr>
          <w:rFonts w:ascii="宋体" w:hAnsi="宋体" w:cs="宋体" w:eastAsia="宋体" w:hint="default"/>
        </w:rPr>
        <w:t>24.50%</w:t>
      </w:r>
      <w:r>
        <w:rPr/>
        <w:t>、</w:t>
      </w:r>
      <w:r>
        <w:rPr>
          <w:rFonts w:ascii="宋体" w:hAnsi="宋体" w:cs="宋体" w:eastAsia="宋体" w:hint="default"/>
        </w:rPr>
        <w:t>2.43%</w:t>
      </w:r>
      <w:r>
        <w:rPr/>
        <w:t>、</w:t>
      </w:r>
      <w:r>
        <w:rPr>
          <w:rFonts w:ascii="宋体" w:hAnsi="宋体" w:cs="宋体" w:eastAsia="宋体" w:hint="default"/>
        </w:rPr>
        <w:t>0.94%</w:t>
      </w:r>
      <w:r>
        <w:rPr/>
        <w:t>的股权；以发行股份与支付现金方式购买 陈兆滨、鲁武英持有的畅元国讯</w:t>
      </w:r>
      <w:r>
        <w:rPr>
          <w:spacing w:val="-53"/>
        </w:rPr>
        <w:t> </w:t>
      </w:r>
      <w:r>
        <w:rPr>
          <w:rFonts w:ascii="宋体" w:hAnsi="宋体" w:cs="宋体" w:eastAsia="宋体" w:hint="default"/>
        </w:rPr>
        <w:t>11.25%</w:t>
      </w:r>
      <w:r>
        <w:rPr/>
        <w:t>、</w:t>
      </w:r>
      <w:r>
        <w:rPr>
          <w:rFonts w:ascii="宋体" w:hAnsi="宋体" w:cs="宋体" w:eastAsia="宋体" w:hint="default"/>
        </w:rPr>
        <w:t>7.60%</w:t>
      </w:r>
      <w:r>
        <w:rPr/>
        <w:t>的股权；同时向不超过</w:t>
      </w:r>
      <w:r>
        <w:rPr>
          <w:spacing w:val="-53"/>
        </w:rPr>
        <w:t> </w:t>
      </w:r>
      <w:r>
        <w:rPr>
          <w:rFonts w:ascii="宋体" w:hAnsi="宋体" w:cs="宋体" w:eastAsia="宋体" w:hint="default"/>
        </w:rPr>
        <w:t>10</w:t>
      </w:r>
      <w:r>
        <w:rPr>
          <w:rFonts w:ascii="宋体" w:hAnsi="宋体" w:cs="宋体" w:eastAsia="宋体" w:hint="default"/>
          <w:spacing w:val="-53"/>
        </w:rPr>
        <w:t> </w:t>
      </w:r>
      <w:r>
        <w:rPr/>
        <w:t>名的特定投资者非公开发行股份募集配套资金不超过</w:t>
      </w:r>
      <w:r>
        <w:rPr>
          <w:spacing w:val="-53"/>
        </w:rPr>
        <w:t> </w:t>
      </w:r>
      <w:r>
        <w:rPr>
          <w:rFonts w:ascii="宋体" w:hAnsi="宋体" w:cs="宋体" w:eastAsia="宋体" w:hint="default"/>
        </w:rPr>
        <w:t>100,000</w:t>
      </w:r>
      <w:r>
        <w:rPr>
          <w:rFonts w:ascii="宋体" w:hAnsi="宋体" w:cs="宋体" w:eastAsia="宋体" w:hint="default"/>
          <w:spacing w:val="-53"/>
        </w:rPr>
        <w:t> </w:t>
      </w:r>
      <w:r>
        <w:rPr/>
        <w:t>万元。公司向杨超等</w:t>
      </w:r>
      <w:r>
        <w:rPr>
          <w:spacing w:val="-53"/>
        </w:rPr>
        <w:t> </w:t>
      </w:r>
      <w:r>
        <w:rPr>
          <w:rFonts w:ascii="宋体" w:hAnsi="宋体" w:cs="宋体" w:eastAsia="宋体" w:hint="default"/>
        </w:rPr>
        <w:t>6</w:t>
      </w:r>
      <w:r>
        <w:rPr>
          <w:rFonts w:ascii="宋体" w:hAnsi="宋体" w:cs="宋体" w:eastAsia="宋体" w:hint="default"/>
          <w:spacing w:val="-52"/>
        </w:rPr>
        <w:t> </w:t>
      </w:r>
      <w:r>
        <w:rPr/>
        <w:t>名交易对方发行的</w:t>
      </w:r>
    </w:p>
    <w:p>
      <w:pPr>
        <w:pStyle w:val="BodyText"/>
        <w:spacing w:line="240" w:lineRule="auto" w:before="38"/>
        <w:ind w:left="120" w:right="0"/>
        <w:jc w:val="left"/>
      </w:pPr>
      <w:r>
        <w:rPr>
          <w:rFonts w:ascii="宋体" w:hAnsi="宋体" w:cs="宋体" w:eastAsia="宋体" w:hint="default"/>
        </w:rPr>
        <w:t>65,401,811</w:t>
      </w:r>
      <w:r>
        <w:rPr>
          <w:rFonts w:ascii="宋体" w:hAnsi="宋体" w:cs="宋体" w:eastAsia="宋体" w:hint="default"/>
          <w:spacing w:val="-46"/>
        </w:rPr>
        <w:t> </w:t>
      </w:r>
      <w:r>
        <w:rPr/>
        <w:t>股股份于</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日在深圳证券交易所上市。</w:t>
      </w:r>
    </w:p>
    <w:p>
      <w:pPr>
        <w:spacing w:after="0" w:line="240" w:lineRule="auto"/>
        <w:jc w:val="left"/>
        <w:sectPr>
          <w:pgSz w:w="16840" w:h="11910" w:orient="landscape"/>
          <w:pgMar w:header="867" w:footer="979" w:top="1060" w:bottom="1160" w:left="1320" w:right="132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5"/>
          <w:szCs w:val="5"/>
        </w:rPr>
      </w:pPr>
    </w:p>
    <w:p>
      <w:pPr>
        <w:pStyle w:val="BodyText"/>
        <w:spacing w:line="408" w:lineRule="auto" w:before="44"/>
        <w:ind w:left="140" w:right="235" w:firstLine="480"/>
        <w:jc w:val="both"/>
      </w:pPr>
      <w:r>
        <w:rPr>
          <w:spacing w:val="-4"/>
        </w:rPr>
        <w:t>根据公司与杨超、雷建、毛智才、江勇、陈兆滨、鲁武英（以下简称“交易方”）签订的《发行股份及支付现金购买资产协议》（以下简称“购买协议”），交易方承诺畅元</w:t>
      </w:r>
      <w:r>
        <w:rPr/>
        <w:t> 国讯在</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rFonts w:ascii="宋体" w:hAnsi="宋体" w:cs="宋体" w:eastAsia="宋体" w:hint="default"/>
        </w:rPr>
        <w:t>2017</w:t>
      </w:r>
      <w:r>
        <w:rPr>
          <w:rFonts w:ascii="宋体" w:hAnsi="宋体" w:cs="宋体" w:eastAsia="宋体" w:hint="default"/>
          <w:spacing w:val="-53"/>
        </w:rPr>
        <w:t> </w:t>
      </w:r>
      <w:r>
        <w:rPr/>
        <w:t>年、</w:t>
      </w:r>
      <w:r>
        <w:rPr>
          <w:rFonts w:ascii="宋体" w:hAnsi="宋体" w:cs="宋体" w:eastAsia="宋体" w:hint="default"/>
        </w:rPr>
        <w:t>2018</w:t>
      </w:r>
      <w:r>
        <w:rPr>
          <w:rFonts w:ascii="宋体" w:hAnsi="宋体" w:cs="宋体" w:eastAsia="宋体" w:hint="default"/>
          <w:spacing w:val="-53"/>
        </w:rPr>
        <w:t> </w:t>
      </w:r>
      <w:r>
        <w:rPr/>
        <w:t>年实现的净利润分别不低于</w:t>
      </w:r>
      <w:r>
        <w:rPr>
          <w:spacing w:val="-53"/>
        </w:rPr>
        <w:t> </w:t>
      </w:r>
      <w:r>
        <w:rPr>
          <w:rFonts w:ascii="宋体" w:hAnsi="宋体" w:cs="宋体" w:eastAsia="宋体" w:hint="default"/>
        </w:rPr>
        <w:t>7600</w:t>
      </w:r>
      <w:r>
        <w:rPr>
          <w:rFonts w:ascii="宋体" w:hAnsi="宋体" w:cs="宋体" w:eastAsia="宋体" w:hint="default"/>
          <w:spacing w:val="-53"/>
        </w:rPr>
        <w:t> </w:t>
      </w:r>
      <w:r>
        <w:rPr/>
        <w:t>万元、</w:t>
      </w:r>
      <w:r>
        <w:rPr>
          <w:rFonts w:ascii="宋体" w:hAnsi="宋体" w:cs="宋体" w:eastAsia="宋体" w:hint="default"/>
        </w:rPr>
        <w:t>10000</w:t>
      </w:r>
      <w:r>
        <w:rPr>
          <w:rFonts w:ascii="宋体" w:hAnsi="宋体" w:cs="宋体" w:eastAsia="宋体" w:hint="default"/>
          <w:spacing w:val="-53"/>
        </w:rPr>
        <w:t> </w:t>
      </w:r>
      <w:r>
        <w:rPr/>
        <w:t>万元、</w:t>
      </w:r>
      <w:r>
        <w:rPr>
          <w:rFonts w:ascii="宋体" w:hAnsi="宋体" w:cs="宋体" w:eastAsia="宋体" w:hint="default"/>
        </w:rPr>
        <w:t>13000</w:t>
      </w:r>
      <w:r>
        <w:rPr>
          <w:rFonts w:ascii="宋体" w:hAnsi="宋体" w:cs="宋体" w:eastAsia="宋体" w:hint="default"/>
          <w:spacing w:val="-51"/>
        </w:rPr>
        <w:t> </w:t>
      </w:r>
      <w:r>
        <w:rPr>
          <w:spacing w:val="-3"/>
        </w:rPr>
        <w:t>万元。此</w:t>
      </w:r>
      <w:r>
        <w:rPr>
          <w:spacing w:val="-23"/>
        </w:rPr>
        <w:t> </w:t>
      </w:r>
      <w:r>
        <w:rPr/>
        <w:t>“净利润”是指按照中国会计准则编制的且经具有证券、期货业务资格的会</w:t>
      </w:r>
      <w:r>
        <w:rPr/>
        <w:t> </w:t>
      </w:r>
      <w:r>
        <w:rPr>
          <w:spacing w:val="-2"/>
        </w:rPr>
        <w:t>计师事务所审计的合并报表中扣除非经常性损益后归属于母公司股东的税后净利润。《购买协议》对业绩补偿做了如下约定：</w:t>
      </w:r>
    </w:p>
    <w:p>
      <w:pPr>
        <w:pStyle w:val="BodyText"/>
        <w:spacing w:line="408" w:lineRule="auto" w:before="38"/>
        <w:ind w:left="500" w:right="218"/>
        <w:jc w:val="left"/>
      </w:pPr>
      <w:bookmarkStart w:name="1、在公司受让标的公司100%股权实施完毕后，如标的公司的业绩未达到约定条件，交" w:id="73"/>
      <w:bookmarkEnd w:id="73"/>
      <w:r>
        <w:rPr/>
      </w:r>
      <w:r>
        <w:rPr>
          <w:rFonts w:ascii="宋体" w:hAnsi="宋体" w:cs="宋体" w:eastAsia="宋体" w:hint="default"/>
        </w:rPr>
        <w:t>1</w:t>
      </w:r>
      <w:r>
        <w:rPr/>
        <w:t>、在公司受让标的公司</w:t>
      </w:r>
      <w:r>
        <w:rPr>
          <w:spacing w:val="-46"/>
        </w:rPr>
        <w:t> </w:t>
      </w:r>
      <w:r>
        <w:rPr>
          <w:rFonts w:ascii="宋体" w:hAnsi="宋体" w:cs="宋体" w:eastAsia="宋体" w:hint="default"/>
        </w:rPr>
        <w:t>100%</w:t>
      </w:r>
      <w:r>
        <w:rPr/>
        <w:t>股权实施完毕后，如标的公司的业绩未达到约定条件，交易方应按约定进行盈利补偿或股权回购。 </w:t>
      </w:r>
      <w:bookmarkStart w:name="业绩考核期内的各个会计年度结束时，上市公司聘请具有证券业务资格的会计师事务所对标" w:id="74"/>
      <w:bookmarkEnd w:id="74"/>
      <w:r>
        <w:rPr/>
        <w:t>业绩考核期内的各个会计年度结束时，上市公司聘请具有证券业务资格的会计师事务所对标的公司进行审计，以考评标的公司实现的净利润情况。对于标的公司净利润不足</w:t>
      </w:r>
    </w:p>
    <w:p>
      <w:pPr>
        <w:pStyle w:val="BodyText"/>
        <w:spacing w:line="240" w:lineRule="auto" w:before="39"/>
        <w:ind w:left="140" w:right="0"/>
        <w:jc w:val="left"/>
      </w:pPr>
      <w:r>
        <w:rPr>
          <w:spacing w:val="1"/>
        </w:rPr>
        <w:t>承诺净利润标准的部分</w:t>
      </w:r>
      <w:r>
        <w:rPr>
          <w:spacing w:val="-89"/>
        </w:rPr>
        <w:t>：</w:t>
      </w:r>
      <w:r>
        <w:rPr>
          <w:spacing w:val="1"/>
        </w:rPr>
        <w:t>（</w:t>
      </w:r>
      <w:r>
        <w:rPr>
          <w:rFonts w:ascii="宋体" w:hAnsi="宋体" w:cs="宋体" w:eastAsia="宋体" w:hint="default"/>
          <w:spacing w:val="1"/>
        </w:rPr>
        <w:t>1</w:t>
      </w:r>
      <w:r>
        <w:rPr>
          <w:spacing w:val="1"/>
        </w:rPr>
        <w:t>）对于获得股份支付对价的交易方，首先由其以于本次交易中获得的上市公司股份对上市公司进行补偿，股份补偿不足的部分以现金方式进行补偿；</w:t>
      </w:r>
      <w:r>
        <w:rPr/>
      </w:r>
    </w:p>
    <w:p>
      <w:pPr>
        <w:spacing w:line="240" w:lineRule="auto" w:before="7"/>
        <w:rPr>
          <w:rFonts w:ascii="宋体" w:hAnsi="宋体" w:cs="宋体" w:eastAsia="宋体" w:hint="default"/>
          <w:sz w:val="12"/>
          <w:szCs w:val="12"/>
        </w:rPr>
      </w:pPr>
    </w:p>
    <w:p>
      <w:pPr>
        <w:pStyle w:val="BodyText"/>
        <w:spacing w:line="408" w:lineRule="auto"/>
        <w:ind w:left="500" w:right="6428" w:hanging="360"/>
        <w:jc w:val="left"/>
      </w:pPr>
      <w:r>
        <w:rPr/>
        <w:t>（</w:t>
      </w:r>
      <w:r>
        <w:rPr>
          <w:rFonts w:ascii="宋体" w:hAnsi="宋体" w:cs="宋体" w:eastAsia="宋体" w:hint="default"/>
        </w:rPr>
        <w:t>2</w:t>
      </w:r>
      <w:r>
        <w:rPr/>
        <w:t>）对于获得部分股份、部分现金的交易方，优先以所获股份进行补偿，不足部分以现金补偿。 </w:t>
      </w:r>
      <w:bookmarkStart w:name="2、其他年度( 2017年度和2018年度)业绩补偿方式：" w:id="75"/>
      <w:bookmarkEnd w:id="75"/>
      <w:r>
        <w:rPr/>
      </w:r>
      <w:r>
        <w:rPr>
          <w:rFonts w:ascii="宋体" w:hAnsi="宋体" w:cs="宋体" w:eastAsia="宋体" w:hint="default"/>
        </w:rPr>
        <w:t>2</w:t>
      </w:r>
      <w:r>
        <w:rPr/>
        <w:t>、其他年度</w:t>
      </w:r>
      <w:r>
        <w:rPr>
          <w:rFonts w:ascii="宋体" w:hAnsi="宋体" w:cs="宋体" w:eastAsia="宋体" w:hint="default"/>
        </w:rPr>
        <w:t>( 2017</w:t>
      </w:r>
      <w:r>
        <w:rPr>
          <w:rFonts w:ascii="宋体" w:hAnsi="宋体" w:cs="宋体" w:eastAsia="宋体" w:hint="default"/>
          <w:spacing w:val="-46"/>
        </w:rPr>
        <w:t> </w:t>
      </w:r>
      <w:r>
        <w:rPr/>
        <w:t>年度和</w:t>
      </w:r>
      <w:r>
        <w:rPr>
          <w:spacing w:val="-46"/>
        </w:rPr>
        <w:t> </w:t>
      </w:r>
      <w:r>
        <w:rPr>
          <w:rFonts w:ascii="宋体" w:hAnsi="宋体" w:cs="宋体" w:eastAsia="宋体" w:hint="default"/>
        </w:rPr>
        <w:t>2018</w:t>
      </w:r>
      <w:r>
        <w:rPr>
          <w:rFonts w:ascii="宋体" w:hAnsi="宋体" w:cs="宋体" w:eastAsia="宋体" w:hint="default"/>
          <w:spacing w:val="-46"/>
        </w:rPr>
        <w:t> </w:t>
      </w:r>
      <w:r>
        <w:rPr/>
        <w:t>年度</w:t>
      </w:r>
      <w:r>
        <w:rPr>
          <w:rFonts w:ascii="宋体" w:hAnsi="宋体" w:cs="宋体" w:eastAsia="宋体" w:hint="default"/>
        </w:rPr>
        <w:t>)</w:t>
      </w:r>
      <w:r>
        <w:rPr/>
        <w:t>业绩补偿方式：</w:t>
      </w:r>
    </w:p>
    <w:p>
      <w:pPr>
        <w:pStyle w:val="BodyText"/>
        <w:spacing w:line="408" w:lineRule="auto" w:before="39"/>
        <w:ind w:left="500" w:right="218"/>
        <w:jc w:val="left"/>
      </w:pPr>
      <w:bookmarkStart w:name="（1）盈利补偿方式及原则" w:id="76"/>
      <w:bookmarkEnd w:id="76"/>
      <w:r>
        <w:rPr/>
      </w:r>
      <w:r>
        <w:rPr/>
        <w:t>（</w:t>
      </w:r>
      <w:r>
        <w:rPr>
          <w:rFonts w:ascii="宋体" w:hAnsi="宋体" w:cs="宋体" w:eastAsia="宋体" w:hint="default"/>
        </w:rPr>
        <w:t>1</w:t>
      </w:r>
      <w:r>
        <w:rPr/>
        <w:t>）盈利补偿方式及原则 </w:t>
      </w:r>
      <w:bookmarkStart w:name="盈利补偿方式为股份补偿加现金支付方式，交易方以其本次交易中获得的对价占总对价的比" w:id="77"/>
      <w:bookmarkEnd w:id="77"/>
      <w:r>
        <w:rPr>
          <w:spacing w:val="-2"/>
        </w:rPr>
        <w:t>盈利补偿方式为股份补偿加现金支付方式</w:t>
      </w:r>
      <w:r>
        <w:rPr>
          <w:spacing w:val="-2"/>
        </w:rPr>
        <w:t>，交易方以其本次交易中获得的对价占总对价的比例进行盈利补偿，即交易方当年度盈利补偿金额</w:t>
      </w:r>
      <w:r>
        <w:rPr>
          <w:rFonts w:ascii="宋体" w:hAnsi="宋体" w:cs="宋体" w:eastAsia="宋体" w:hint="default"/>
          <w:spacing w:val="-2"/>
        </w:rPr>
        <w:t>=</w:t>
      </w:r>
      <w:r>
        <w:rPr>
          <w:spacing w:val="-2"/>
        </w:rPr>
        <w:t>当年度交易方盈利补偿总金额×</w:t>
      </w:r>
    </w:p>
    <w:p>
      <w:pPr>
        <w:pStyle w:val="BodyText"/>
        <w:spacing w:line="408" w:lineRule="auto" w:before="38"/>
        <w:ind w:left="500" w:right="2468" w:hanging="360"/>
        <w:jc w:val="left"/>
      </w:pPr>
      <w:r>
        <w:rPr/>
        <w:t>交易方在本次交易中所获对价占总对价的比例。 </w:t>
      </w:r>
      <w:bookmarkStart w:name="当年度交易方盈利补偿总金额=(当年度承诺净利润数－当年度实际净利润数)÷补偿期内" w:id="78"/>
      <w:bookmarkEnd w:id="78"/>
      <w:r>
        <w:rPr/>
        <w:t>当年度交易方盈利补偿总金额</w:t>
      </w:r>
      <w:r>
        <w:rPr>
          <w:rFonts w:ascii="宋体" w:hAnsi="宋体" w:cs="宋体" w:eastAsia="宋体" w:hint="default"/>
        </w:rPr>
        <w:t>=(</w:t>
      </w:r>
      <w:r>
        <w:rPr/>
        <w:t>当年度承诺净利润数－当年度实际净利润数</w:t>
      </w:r>
      <w:r>
        <w:rPr>
          <w:rFonts w:ascii="宋体" w:hAnsi="宋体" w:cs="宋体" w:eastAsia="宋体" w:hint="default"/>
        </w:rPr>
        <w:t>)</w:t>
      </w:r>
      <w:r>
        <w:rPr/>
        <w:t>÷补偿期内各年的承诺净利润数总和×购买资产的交易金额总额。</w:t>
      </w:r>
    </w:p>
    <w:p>
      <w:pPr>
        <w:pStyle w:val="BodyText"/>
        <w:spacing w:line="240" w:lineRule="auto" w:before="38"/>
        <w:ind w:left="500" w:right="10658"/>
        <w:jc w:val="left"/>
      </w:pPr>
      <w:bookmarkStart w:name="（2）股份补偿方式" w:id="79"/>
      <w:bookmarkEnd w:id="79"/>
      <w:r>
        <w:rPr/>
      </w:r>
      <w:r>
        <w:rPr/>
        <w:t>（</w:t>
      </w:r>
      <w:r>
        <w:rPr>
          <w:rFonts w:ascii="宋体" w:hAnsi="宋体" w:cs="宋体" w:eastAsia="宋体" w:hint="default"/>
        </w:rPr>
        <w:t>2</w:t>
      </w:r>
      <w:r>
        <w:rPr/>
        <w:t>）股份补偿方式</w:t>
      </w:r>
    </w:p>
    <w:p>
      <w:pPr>
        <w:spacing w:line="240" w:lineRule="auto" w:before="7"/>
        <w:rPr>
          <w:rFonts w:ascii="宋体" w:hAnsi="宋体" w:cs="宋体" w:eastAsia="宋体" w:hint="default"/>
          <w:sz w:val="12"/>
          <w:szCs w:val="12"/>
        </w:rPr>
      </w:pPr>
    </w:p>
    <w:p>
      <w:pPr>
        <w:pStyle w:val="BodyText"/>
        <w:spacing w:line="408" w:lineRule="auto"/>
        <w:ind w:left="140" w:right="220" w:firstLine="360"/>
        <w:jc w:val="left"/>
        <w:rPr>
          <w:rFonts w:ascii="宋体" w:hAnsi="宋体" w:cs="宋体" w:eastAsia="宋体" w:hint="default"/>
        </w:rPr>
      </w:pPr>
      <w:bookmarkStart w:name="标的公司每年度经审计财务报告披露后的10日内确定交易方需进行补偿的股份数量，交易" w:id="80"/>
      <w:bookmarkEnd w:id="80"/>
      <w:r>
        <w:rPr/>
      </w:r>
      <w:r>
        <w:rPr/>
        <w:t>标的公司每年度经审计财务报告披露后的</w:t>
      </w:r>
      <w:r>
        <w:rPr>
          <w:spacing w:val="-53"/>
        </w:rPr>
        <w:t> </w:t>
      </w:r>
      <w:r>
        <w:rPr>
          <w:rFonts w:ascii="宋体" w:hAnsi="宋体" w:cs="宋体" w:eastAsia="宋体" w:hint="default"/>
        </w:rPr>
        <w:t>10</w:t>
      </w:r>
      <w:r>
        <w:rPr>
          <w:rFonts w:ascii="宋体" w:hAnsi="宋体" w:cs="宋体" w:eastAsia="宋体" w:hint="default"/>
          <w:spacing w:val="-53"/>
        </w:rPr>
        <w:t> </w:t>
      </w:r>
      <w:r>
        <w:rPr/>
        <w:t>日内确定交易方需进行补偿的股份数量，交易方将应补偿的股份数由上市公司以</w:t>
      </w:r>
      <w:r>
        <w:rPr>
          <w:spacing w:val="-53"/>
        </w:rPr>
        <w:t> </w:t>
      </w:r>
      <w:r>
        <w:rPr>
          <w:rFonts w:ascii="宋体" w:hAnsi="宋体" w:cs="宋体" w:eastAsia="宋体" w:hint="default"/>
        </w:rPr>
        <w:t>1</w:t>
      </w:r>
      <w:r>
        <w:rPr>
          <w:rFonts w:ascii="宋体" w:hAnsi="宋体" w:cs="宋体" w:eastAsia="宋体" w:hint="default"/>
          <w:spacing w:val="-53"/>
        </w:rPr>
        <w:t> </w:t>
      </w:r>
      <w:r>
        <w:rPr>
          <w:spacing w:val="-3"/>
        </w:rPr>
        <w:t>元人民币为总价回购后注销。交易方当年度应</w:t>
      </w:r>
      <w:r>
        <w:rPr/>
        <w:t> 补偿股份数量按以下公式计算确定</w:t>
      </w:r>
      <w:r>
        <w:rPr>
          <w:rFonts w:ascii="宋体" w:hAnsi="宋体" w:cs="宋体" w:eastAsia="宋体" w:hint="default"/>
        </w:rPr>
        <w:t>:</w:t>
      </w:r>
    </w:p>
    <w:p>
      <w:pPr>
        <w:pStyle w:val="BodyText"/>
        <w:spacing w:line="240" w:lineRule="auto" w:before="38"/>
        <w:ind w:left="500" w:right="218"/>
        <w:jc w:val="left"/>
      </w:pPr>
      <w:bookmarkStart w:name="当年度应补偿股份数=[ (当年度承诺净利润数－当年度实际净利润数) ÷盈利补偿期" w:id="81"/>
      <w:bookmarkEnd w:id="81"/>
      <w:r>
        <w:rPr/>
      </w:r>
      <w:r>
        <w:rPr/>
        <w:t>当年度应补偿股份数</w:t>
      </w:r>
      <w:r>
        <w:rPr>
          <w:rFonts w:ascii="宋体" w:hAnsi="宋体" w:cs="宋体" w:eastAsia="宋体" w:hint="default"/>
        </w:rPr>
        <w:t>=[ (</w:t>
      </w:r>
      <w:r>
        <w:rPr/>
        <w:t>当年度承诺净利润数－当年度实际净利润数</w:t>
      </w:r>
      <w:r>
        <w:rPr>
          <w:rFonts w:ascii="宋体" w:hAnsi="宋体" w:cs="宋体" w:eastAsia="宋体" w:hint="default"/>
        </w:rPr>
        <w:t>) </w:t>
      </w:r>
      <w:r>
        <w:rPr/>
        <w:t>÷盈利补偿期内各年的承诺净利润数总和×购买资产的交易金额总额</w:t>
      </w:r>
      <w:r>
        <w:rPr>
          <w:rFonts w:ascii="宋体" w:hAnsi="宋体" w:cs="宋体" w:eastAsia="宋体" w:hint="default"/>
        </w:rPr>
        <w:t>] </w:t>
      </w:r>
      <w:r>
        <w:rPr/>
        <w:t>÷本次发行股份价格。</w:t>
      </w:r>
    </w:p>
    <w:p>
      <w:pPr>
        <w:spacing w:line="240" w:lineRule="auto" w:before="7"/>
        <w:rPr>
          <w:rFonts w:ascii="宋体" w:hAnsi="宋体" w:cs="宋体" w:eastAsia="宋体" w:hint="default"/>
          <w:sz w:val="12"/>
          <w:szCs w:val="12"/>
        </w:rPr>
      </w:pPr>
    </w:p>
    <w:p>
      <w:pPr>
        <w:pStyle w:val="BodyText"/>
        <w:spacing w:line="408" w:lineRule="auto"/>
        <w:ind w:left="140" w:right="224" w:firstLine="360"/>
        <w:jc w:val="left"/>
      </w:pPr>
      <w:bookmarkStart w:name="注：若2016年实现的净利润低于当年承诺净利润的60%，则购买资产的交易金额总额" w:id="82"/>
      <w:bookmarkEnd w:id="82"/>
      <w:r>
        <w:rPr/>
      </w:r>
      <w:r>
        <w:rPr/>
        <w:t>注：若</w:t>
      </w:r>
      <w:r>
        <w:rPr>
          <w:spacing w:val="-46"/>
        </w:rPr>
        <w:t> </w:t>
      </w:r>
      <w:r>
        <w:rPr>
          <w:rFonts w:ascii="宋体" w:hAnsi="宋体" w:cs="宋体" w:eastAsia="宋体" w:hint="default"/>
        </w:rPr>
        <w:t>2016</w:t>
      </w:r>
      <w:r>
        <w:rPr>
          <w:rFonts w:ascii="宋体" w:hAnsi="宋体" w:cs="宋体" w:eastAsia="宋体" w:hint="default"/>
          <w:spacing w:val="-46"/>
        </w:rPr>
        <w:t> </w:t>
      </w:r>
      <w:r>
        <w:rPr/>
        <w:t>年实现的净利润低于当年承诺净利润的</w:t>
      </w:r>
      <w:r>
        <w:rPr>
          <w:spacing w:val="-45"/>
        </w:rPr>
        <w:t> </w:t>
      </w:r>
      <w:r>
        <w:rPr>
          <w:rFonts w:ascii="宋体" w:hAnsi="宋体" w:cs="宋体" w:eastAsia="宋体" w:hint="default"/>
        </w:rPr>
        <w:t>60%</w:t>
      </w:r>
      <w:r>
        <w:rPr/>
        <w:t>，则购买资产的交易金额总额应当扣除</w:t>
      </w:r>
      <w:r>
        <w:rPr>
          <w:spacing w:val="-45"/>
        </w:rPr>
        <w:t> </w:t>
      </w:r>
      <w:r>
        <w:rPr>
          <w:rFonts w:ascii="宋体" w:hAnsi="宋体" w:cs="宋体" w:eastAsia="宋体" w:hint="default"/>
        </w:rPr>
        <w:t>2016</w:t>
      </w:r>
      <w:r>
        <w:rPr>
          <w:rFonts w:ascii="宋体" w:hAnsi="宋体" w:cs="宋体" w:eastAsia="宋体" w:hint="default"/>
          <w:spacing w:val="-47"/>
        </w:rPr>
        <w:t> </w:t>
      </w:r>
      <w:r>
        <w:rPr/>
        <w:t>年的补偿金额。当年度应补偿股份数小于</w:t>
      </w:r>
      <w:r>
        <w:rPr>
          <w:spacing w:val="-46"/>
        </w:rPr>
        <w:t> </w:t>
      </w:r>
      <w:r>
        <w:rPr>
          <w:rFonts w:ascii="宋体" w:hAnsi="宋体" w:cs="宋体" w:eastAsia="宋体" w:hint="default"/>
        </w:rPr>
        <w:t>0</w:t>
      </w:r>
      <w:r>
        <w:rPr>
          <w:rFonts w:ascii="宋体" w:hAnsi="宋体" w:cs="宋体" w:eastAsia="宋体" w:hint="default"/>
          <w:spacing w:val="-1"/>
        </w:rPr>
        <w:t> </w:t>
      </w:r>
      <w:r>
        <w:rPr/>
        <w:t>时，该负数可累积至往后年 度应补偿股份数量合并计算，即可抵减该年度以后年度的应补偿股份数量，盈利补偿期届满后，该数值仍未抵减完毕的，则不再抵减，己经补偿的股份不冲回。</w:t>
      </w:r>
    </w:p>
    <w:p>
      <w:pPr>
        <w:pStyle w:val="BodyText"/>
        <w:spacing w:line="408" w:lineRule="auto" w:before="38"/>
        <w:ind w:left="500" w:right="218"/>
        <w:jc w:val="left"/>
      </w:pPr>
      <w:bookmarkStart w:name="（3）现金补偿方式" w:id="83"/>
      <w:bookmarkEnd w:id="83"/>
      <w:r>
        <w:rPr/>
      </w:r>
      <w:r>
        <w:rPr/>
        <w:t>（</w:t>
      </w:r>
      <w:r>
        <w:rPr>
          <w:rFonts w:ascii="宋体" w:hAnsi="宋体" w:cs="宋体" w:eastAsia="宋体" w:hint="default"/>
        </w:rPr>
        <w:t>3</w:t>
      </w:r>
      <w:r>
        <w:rPr/>
        <w:t>）现金补偿方式 </w:t>
      </w:r>
      <w:bookmarkStart w:name="若当年的累计应补偿股份数额大于交易方于本次交易中所获股份数额，不足部分由交易方以" w:id="84"/>
      <w:bookmarkEnd w:id="84"/>
      <w:r>
        <w:rPr/>
        <w:t>若当年的累计应补偿股份数额大于交易方于本次交易中所获股份数额，不足部分由交易方以现金方式进行补偿；以及获得现金支付对价的交易方，应以现金方式进行盈利补</w:t>
      </w:r>
    </w:p>
    <w:p>
      <w:pPr>
        <w:pStyle w:val="BodyText"/>
        <w:spacing w:line="408" w:lineRule="auto" w:before="39"/>
        <w:ind w:left="500" w:right="219" w:hanging="360"/>
        <w:jc w:val="left"/>
      </w:pPr>
      <w:r>
        <w:rPr/>
        <w:t>偿。交易方当年度应补偿现金数量按以下公式计算确定： </w:t>
      </w:r>
      <w:bookmarkStart w:name="当年度应补偿现金数=[（当年度承诺净利润数－当年度实际净利润数）÷盈利补偿期内各" w:id="85"/>
      <w:bookmarkEnd w:id="85"/>
      <w:r>
        <w:rPr/>
        <w:t>当年度应补偿现金数</w:t>
      </w:r>
      <w:r>
        <w:rPr>
          <w:rFonts w:ascii="宋体" w:hAnsi="宋体" w:cs="宋体" w:eastAsia="宋体" w:hint="default"/>
        </w:rPr>
        <w:t>=[</w:t>
      </w:r>
      <w:r>
        <w:rPr/>
        <w:t>（当年度承诺净利润数－当年度实际净利润数）÷盈利补偿期内各年的承诺净利润数总和×购买资产的交易金额总额</w:t>
      </w:r>
      <w:r>
        <w:rPr>
          <w:rFonts w:ascii="宋体" w:hAnsi="宋体" w:cs="宋体" w:eastAsia="宋体" w:hint="default"/>
        </w:rPr>
        <w:t>]</w:t>
      </w:r>
      <w:r>
        <w:rPr/>
        <w:t>－当年已用股份补偿的金额。 </w:t>
      </w:r>
      <w:bookmarkStart w:name="注：若2016年实现的净利润低于当年承诺净利润的60%，则购买资产的交易金额总额" w:id="86"/>
      <w:bookmarkEnd w:id="86"/>
      <w:r>
        <w:rPr/>
        <w:t>注：若</w:t>
      </w:r>
      <w:r>
        <w:rPr>
          <w:spacing w:val="-39"/>
        </w:rPr>
        <w:t> </w:t>
      </w:r>
      <w:r>
        <w:rPr>
          <w:rFonts w:ascii="宋体" w:hAnsi="宋体" w:cs="宋体" w:eastAsia="宋体" w:hint="default"/>
        </w:rPr>
        <w:t>2016</w:t>
      </w:r>
      <w:r>
        <w:rPr>
          <w:rFonts w:ascii="宋体" w:hAnsi="宋体" w:cs="宋体" w:eastAsia="宋体" w:hint="default"/>
          <w:spacing w:val="-39"/>
        </w:rPr>
        <w:t> </w:t>
      </w:r>
      <w:r>
        <w:rPr/>
        <w:t>年实现的净利润低于当年承诺净利润的</w:t>
      </w:r>
      <w:r>
        <w:rPr>
          <w:spacing w:val="-38"/>
        </w:rPr>
        <w:t> </w:t>
      </w:r>
      <w:r>
        <w:rPr>
          <w:rFonts w:ascii="宋体" w:hAnsi="宋体" w:cs="宋体" w:eastAsia="宋体" w:hint="default"/>
        </w:rPr>
        <w:t>60%</w:t>
      </w:r>
      <w:r>
        <w:rPr/>
        <w:t>，则购买资产的交易金额总额应当扣除</w:t>
      </w:r>
      <w:r>
        <w:rPr>
          <w:spacing w:val="-38"/>
        </w:rPr>
        <w:t> </w:t>
      </w:r>
      <w:r>
        <w:rPr>
          <w:rFonts w:ascii="宋体" w:hAnsi="宋体" w:cs="宋体" w:eastAsia="宋体" w:hint="default"/>
        </w:rPr>
        <w:t>2016</w:t>
      </w:r>
      <w:r>
        <w:rPr>
          <w:rFonts w:ascii="宋体" w:hAnsi="宋体" w:cs="宋体" w:eastAsia="宋体" w:hint="default"/>
          <w:spacing w:val="-39"/>
        </w:rPr>
        <w:t> </w:t>
      </w:r>
      <w:r>
        <w:rPr/>
        <w:t>年的补偿金额。当年度应补偿现金数额小于</w:t>
      </w:r>
      <w:r>
        <w:rPr>
          <w:spacing w:val="-39"/>
        </w:rPr>
        <w:t> </w:t>
      </w:r>
      <w:r>
        <w:rPr>
          <w:rFonts w:ascii="宋体" w:hAnsi="宋体" w:cs="宋体" w:eastAsia="宋体" w:hint="default"/>
        </w:rPr>
        <w:t>0</w:t>
      </w:r>
      <w:r>
        <w:rPr>
          <w:rFonts w:ascii="宋体" w:hAnsi="宋体" w:cs="宋体" w:eastAsia="宋体" w:hint="default"/>
          <w:spacing w:val="-39"/>
        </w:rPr>
        <w:t> </w:t>
      </w:r>
      <w:r>
        <w:rPr/>
        <w:t>时，该负数可累积至往后</w:t>
      </w:r>
    </w:p>
    <w:p>
      <w:pPr>
        <w:spacing w:after="0" w:line="408" w:lineRule="auto"/>
        <w:jc w:val="left"/>
        <w:sectPr>
          <w:pgSz w:w="16840" w:h="11910" w:orient="landscape"/>
          <w:pgMar w:header="867" w:footer="979" w:top="1060" w:bottom="1160" w:left="1300" w:right="1300"/>
        </w:sectPr>
      </w:pPr>
    </w:p>
    <w:p>
      <w:pPr>
        <w:spacing w:line="240" w:lineRule="auto" w:before="2"/>
        <w:rPr>
          <w:rFonts w:ascii="宋体" w:hAnsi="宋体" w:cs="宋体" w:eastAsia="宋体" w:hint="default"/>
          <w:sz w:val="10"/>
          <w:szCs w:val="10"/>
        </w:rPr>
      </w:pPr>
    </w:p>
    <w:p>
      <w:pPr>
        <w:pStyle w:val="BodyText"/>
        <w:spacing w:line="408" w:lineRule="auto" w:before="44"/>
        <w:ind w:left="500" w:right="218" w:hanging="360"/>
        <w:jc w:val="left"/>
      </w:pPr>
      <w:r>
        <w:rPr/>
        <w:t>年度应补偿现金数额合并计算，即可抵减该年度以后年度的应补偿现金数额，盈利补偿期届满后，该数值仍未抵减完毕的，则不再抵减，已经补偿的现金不冲回。 </w:t>
      </w:r>
      <w:bookmarkStart w:name="3、期末减值测试" w:id="87"/>
      <w:bookmarkEnd w:id="87"/>
      <w:r>
        <w:rPr/>
      </w:r>
      <w:r>
        <w:rPr>
          <w:rFonts w:ascii="宋体" w:hAnsi="宋体" w:cs="宋体" w:eastAsia="宋体" w:hint="default"/>
        </w:rPr>
        <w:t>3</w:t>
      </w:r>
      <w:r>
        <w:rPr/>
        <w:t>、期末减值测试 </w:t>
      </w:r>
      <w:bookmarkStart w:name="根据企业会计准则，需在交易完成后每年年度终了对收购标的公司形成的商誉进行减值测试" w:id="88"/>
      <w:bookmarkEnd w:id="88"/>
      <w:r>
        <w:rPr/>
        <w:t>根据企业会计准则，需在交易完成后每年年度终了对收购标的公司形成的商誉进行减值测试。业绩考核期的每年年度终了，上市公司聘请具有证券业务资格的中介机构对收</w:t>
      </w:r>
    </w:p>
    <w:p>
      <w:pPr>
        <w:pStyle w:val="BodyText"/>
        <w:spacing w:line="408" w:lineRule="auto" w:before="38"/>
        <w:ind w:left="140" w:right="218"/>
        <w:jc w:val="left"/>
      </w:pPr>
      <w:r>
        <w:rPr>
          <w:spacing w:val="-2"/>
        </w:rPr>
        <w:t>购标的公司形成的商誉进行减值测试，如期末减值额</w:t>
      </w:r>
      <w:r>
        <w:rPr>
          <w:rFonts w:ascii="宋体" w:hAnsi="宋体" w:cs="宋体" w:eastAsia="宋体" w:hint="default"/>
          <w:spacing w:val="-2"/>
        </w:rPr>
        <w:t>&gt;</w:t>
      </w:r>
      <w:r>
        <w:rPr>
          <w:spacing w:val="-2"/>
        </w:rPr>
        <w:t>盈利补偿期内己补偿股份总数，则交易方应对上市公司另行补偿。另行补偿时先以本次交易中取得的股份补偿，不足部分以</w:t>
      </w:r>
      <w:r>
        <w:rPr>
          <w:spacing w:val="-25"/>
        </w:rPr>
        <w:t> </w:t>
      </w:r>
      <w:r>
        <w:rPr>
          <w:spacing w:val="-25"/>
        </w:rPr>
      </w:r>
      <w:r>
        <w:rPr/>
        <w:t>现金补偿。</w:t>
      </w:r>
    </w:p>
    <w:p>
      <w:pPr>
        <w:pStyle w:val="BodyText"/>
        <w:spacing w:line="408" w:lineRule="auto" w:before="39"/>
        <w:ind w:left="140" w:right="218" w:firstLine="360"/>
        <w:jc w:val="left"/>
      </w:pPr>
      <w:bookmarkStart w:name="交易方的期末减值补偿总额=期末减值额－(盈利补偿期内己补偿股份总数×本次发行股份" w:id="89"/>
      <w:bookmarkEnd w:id="89"/>
      <w:r>
        <w:rPr/>
      </w:r>
      <w:r>
        <w:rPr/>
        <w:t>交易方的期末减值补偿总额</w:t>
      </w:r>
      <w:r>
        <w:rPr>
          <w:rFonts w:ascii="宋体" w:hAnsi="宋体" w:cs="宋体" w:eastAsia="宋体" w:hint="default"/>
        </w:rPr>
        <w:t>=</w:t>
      </w:r>
      <w:r>
        <w:rPr/>
        <w:t>期末减值额－</w:t>
      </w:r>
      <w:r>
        <w:rPr>
          <w:rFonts w:ascii="宋体" w:hAnsi="宋体" w:cs="宋体" w:eastAsia="宋体" w:hint="default"/>
        </w:rPr>
        <w:t>(</w:t>
      </w:r>
      <w:r>
        <w:rPr/>
        <w:t>盈利补偿期内己补偿股份总数×本次发行股份价格</w:t>
      </w:r>
      <w:r>
        <w:rPr>
          <w:rFonts w:ascii="宋体" w:hAnsi="宋体" w:cs="宋体" w:eastAsia="宋体" w:hint="default"/>
        </w:rPr>
        <w:t>)</w:t>
      </w:r>
      <w:r>
        <w:rPr>
          <w:rFonts w:ascii="宋体" w:hAnsi="宋体" w:cs="宋体" w:eastAsia="宋体" w:hint="default"/>
          <w:b/>
          <w:bCs/>
        </w:rPr>
        <w:t>，</w:t>
      </w:r>
      <w:r>
        <w:rPr/>
        <w:t>各交易方根据各自在本次交易中所获对价占总对价的比例分担减值补偿金</w:t>
      </w:r>
      <w:r>
        <w:rPr>
          <w:spacing w:val="1"/>
        </w:rPr>
        <w:t> </w:t>
      </w:r>
      <w:r>
        <w:rPr/>
        <w:t>额。</w:t>
      </w:r>
    </w:p>
    <w:p>
      <w:pPr>
        <w:pStyle w:val="BodyText"/>
        <w:spacing w:line="240" w:lineRule="auto" w:before="38"/>
        <w:ind w:left="500" w:right="218"/>
        <w:jc w:val="left"/>
      </w:pPr>
      <w:bookmarkStart w:name="4、除权事宜:如果盈利补偿期内上市公司进行送股、配股、转增导致盈利补偿主体持有的" w:id="90"/>
      <w:bookmarkEnd w:id="90"/>
      <w:r>
        <w:rPr/>
      </w:r>
      <w:r>
        <w:rPr>
          <w:rFonts w:ascii="宋体" w:hAnsi="宋体" w:cs="宋体" w:eastAsia="宋体" w:hint="default"/>
        </w:rPr>
        <w:t>4</w:t>
      </w:r>
      <w:r>
        <w:rPr/>
        <w:t>、除权事宜</w:t>
      </w:r>
      <w:r>
        <w:rPr>
          <w:rFonts w:ascii="宋体" w:hAnsi="宋体" w:cs="宋体" w:eastAsia="宋体" w:hint="default"/>
        </w:rPr>
        <w:t>:</w:t>
      </w:r>
      <w:r>
        <w:rPr/>
        <w:t>如果盈利补偿期内上市公司进行送股、配股、转增导致盈利补偿主体持有的上市公司股份数量发生变化，则股份补偿的数量相应调整。</w:t>
      </w:r>
    </w:p>
    <w:p>
      <w:pPr>
        <w:spacing w:line="240" w:lineRule="auto" w:before="8"/>
        <w:rPr>
          <w:rFonts w:ascii="宋体" w:hAnsi="宋体" w:cs="宋体" w:eastAsia="宋体" w:hint="default"/>
          <w:sz w:val="12"/>
          <w:szCs w:val="12"/>
        </w:rPr>
      </w:pPr>
    </w:p>
    <w:p>
      <w:pPr>
        <w:pStyle w:val="BodyText"/>
        <w:spacing w:line="408" w:lineRule="auto"/>
        <w:ind w:left="500" w:right="0"/>
        <w:jc w:val="left"/>
        <w:rPr>
          <w:rFonts w:ascii="宋体" w:hAnsi="宋体" w:cs="宋体" w:eastAsia="宋体" w:hint="default"/>
        </w:rPr>
      </w:pPr>
      <w:bookmarkStart w:name="5、业务补偿条款" w:id="91"/>
      <w:bookmarkEnd w:id="91"/>
      <w:r>
        <w:rPr/>
      </w:r>
      <w:r>
        <w:rPr>
          <w:rFonts w:ascii="宋体" w:hAnsi="宋体" w:cs="宋体" w:eastAsia="宋体" w:hint="default"/>
        </w:rPr>
        <w:t>5</w:t>
      </w:r>
      <w:r>
        <w:rPr/>
        <w:t>、业务补偿条款 </w:t>
      </w:r>
      <w:r>
        <w:rPr>
          <w:spacing w:val="-5"/>
        </w:rPr>
        <w:t>在上述盈利补偿条款的基础上，标的公司业务目标应为基于</w:t>
      </w:r>
      <w:r>
        <w:rPr>
          <w:rFonts w:ascii="宋体" w:hAnsi="宋体" w:cs="宋体" w:eastAsia="宋体" w:hint="default"/>
          <w:spacing w:val="-5"/>
        </w:rPr>
        <w:t>DCI</w:t>
      </w:r>
      <w:r>
        <w:rPr>
          <w:spacing w:val="-5"/>
        </w:rPr>
        <w:t>体系开展的版权认证保护、版权代理服务、版权交易、版权维权（以下称“版权业务”），</w:t>
      </w:r>
      <w:r>
        <w:rPr>
          <w:rFonts w:ascii="宋体" w:hAnsi="宋体" w:cs="宋体" w:eastAsia="宋体" w:hint="default"/>
          <w:spacing w:val="-5"/>
        </w:rPr>
        <w:t>2016</w:t>
      </w:r>
      <w:r>
        <w:rPr>
          <w:spacing w:val="-5"/>
        </w:rPr>
        <w:t>年、</w:t>
      </w:r>
      <w:r>
        <w:rPr>
          <w:rFonts w:ascii="宋体" w:hAnsi="宋体" w:cs="宋体" w:eastAsia="宋体" w:hint="default"/>
          <w:spacing w:val="-5"/>
        </w:rPr>
        <w:t>2017</w:t>
      </w:r>
      <w:r>
        <w:rPr>
          <w:spacing w:val="-5"/>
        </w:rPr>
        <w:t>年、</w:t>
      </w:r>
      <w:r>
        <w:rPr>
          <w:rFonts w:ascii="宋体" w:hAnsi="宋体" w:cs="宋体" w:eastAsia="宋体" w:hint="default"/>
          <w:spacing w:val="-5"/>
        </w:rPr>
        <w:t>2018</w:t>
      </w:r>
    </w:p>
    <w:p>
      <w:pPr>
        <w:pStyle w:val="BodyText"/>
        <w:spacing w:line="408" w:lineRule="auto" w:before="38"/>
        <w:ind w:left="140" w:right="128"/>
        <w:jc w:val="left"/>
      </w:pPr>
      <w:r>
        <w:rPr/>
        <w:t>年标的公司基于版权业务的毛利额占标的公司当年总毛利额</w:t>
      </w:r>
      <w:r>
        <w:rPr>
          <w:rFonts w:ascii="宋体" w:hAnsi="宋体" w:cs="宋体" w:eastAsia="宋体" w:hint="default"/>
        </w:rPr>
        <w:t>(</w:t>
      </w:r>
      <w:r>
        <w:rPr/>
        <w:t>总毛利额</w:t>
      </w:r>
      <w:r>
        <w:rPr>
          <w:rFonts w:ascii="宋体" w:hAnsi="宋体" w:cs="宋体" w:eastAsia="宋体" w:hint="default"/>
        </w:rPr>
        <w:t>=</w:t>
      </w:r>
      <w:r>
        <w:rPr/>
        <w:t>主营业务收入</w:t>
      </w:r>
      <w:r>
        <w:rPr>
          <w:rFonts w:ascii="宋体" w:hAnsi="宋体" w:cs="宋体" w:eastAsia="宋体" w:hint="default"/>
        </w:rPr>
        <w:t>-</w:t>
      </w:r>
      <w:r>
        <w:rPr/>
        <w:t>主营业务成本</w:t>
      </w:r>
      <w:r>
        <w:rPr>
          <w:rFonts w:ascii="宋体" w:hAnsi="宋体" w:cs="宋体" w:eastAsia="宋体" w:hint="default"/>
        </w:rPr>
        <w:t>)</w:t>
      </w:r>
      <w:r>
        <w:rPr/>
        <w:t>的比例分别不低于</w:t>
      </w:r>
      <w:r>
        <w:rPr>
          <w:rFonts w:ascii="宋体" w:hAnsi="宋体" w:cs="宋体" w:eastAsia="宋体" w:hint="default"/>
        </w:rPr>
        <w:t>30%</w:t>
      </w:r>
      <w:r>
        <w:rPr/>
        <w:t>、</w:t>
      </w:r>
      <w:r>
        <w:rPr>
          <w:rFonts w:ascii="宋体" w:hAnsi="宋体" w:cs="宋体" w:eastAsia="宋体" w:hint="default"/>
        </w:rPr>
        <w:t>50%</w:t>
      </w:r>
      <w:r>
        <w:rPr/>
        <w:t>、</w:t>
      </w:r>
      <w:r>
        <w:rPr>
          <w:rFonts w:ascii="宋体" w:hAnsi="宋体" w:cs="宋体" w:eastAsia="宋体" w:hint="default"/>
        </w:rPr>
        <w:t>80%</w:t>
      </w:r>
      <w:r>
        <w:rPr/>
        <w:t>。关于上述版权业务的定义，经上市公司董 事会事前认可可以增加业务选项。</w:t>
      </w:r>
    </w:p>
    <w:p>
      <w:pPr>
        <w:pStyle w:val="BodyText"/>
        <w:spacing w:line="408" w:lineRule="auto" w:before="38"/>
        <w:ind w:left="500" w:right="128"/>
        <w:jc w:val="left"/>
      </w:pPr>
      <w:r>
        <w:rPr/>
        <w:t>业务考核及股份补偿方式： 业务考核方式为股份补偿，标的公司每年度经审计财务报告披露后的</w:t>
      </w:r>
      <w:r>
        <w:rPr>
          <w:rFonts w:ascii="宋体" w:hAnsi="宋体" w:cs="宋体" w:eastAsia="宋体" w:hint="default"/>
        </w:rPr>
        <w:t>10</w:t>
      </w:r>
      <w:r>
        <w:rPr/>
        <w:t>日内确定交易方需进行补偿的股份数量，交易方将应补偿的股份数由上市公司以</w:t>
      </w:r>
      <w:r>
        <w:rPr>
          <w:rFonts w:ascii="宋体" w:hAnsi="宋体" w:cs="宋体" w:eastAsia="宋体" w:hint="default"/>
        </w:rPr>
        <w:t>1</w:t>
      </w:r>
      <w:r>
        <w:rPr/>
        <w:t>元人民币为总价回购</w:t>
      </w:r>
    </w:p>
    <w:p>
      <w:pPr>
        <w:pStyle w:val="BodyText"/>
        <w:spacing w:line="408" w:lineRule="auto" w:before="39"/>
        <w:ind w:left="500" w:right="128" w:hanging="360"/>
        <w:jc w:val="left"/>
      </w:pPr>
      <w:r>
        <w:rPr/>
        <w:t>后注销。交易方当年度应补偿股份数量按以下公式计算确定</w:t>
      </w:r>
      <w:r>
        <w:rPr>
          <w:rFonts w:ascii="宋体" w:hAnsi="宋体" w:cs="宋体" w:eastAsia="宋体" w:hint="default"/>
        </w:rPr>
        <w:t>: </w:t>
      </w:r>
      <w:r>
        <w:rPr/>
        <w:t>当年度应补偿股份数</w:t>
      </w:r>
      <w:r>
        <w:rPr>
          <w:rFonts w:ascii="宋体" w:hAnsi="宋体" w:cs="宋体" w:eastAsia="宋体" w:hint="default"/>
        </w:rPr>
        <w:t>=(</w:t>
      </w:r>
      <w:r>
        <w:rPr/>
        <w:t>当年度承诺的版权业务毛利额占比－当年度实际的版权业务毛利额占比</w:t>
      </w:r>
      <w:r>
        <w:rPr>
          <w:rFonts w:ascii="宋体" w:hAnsi="宋体" w:cs="宋体" w:eastAsia="宋体" w:hint="default"/>
        </w:rPr>
        <w:t>)</w:t>
      </w:r>
      <w:r>
        <w:rPr/>
        <w:t>÷当年度承诺的版权业务毛利额占比×交易方在本次交易中所获得的股份总额</w:t>
      </w:r>
    </w:p>
    <w:p>
      <w:pPr>
        <w:pStyle w:val="BodyText"/>
        <w:spacing w:line="240" w:lineRule="auto" w:before="38"/>
        <w:ind w:left="140" w:right="10658"/>
        <w:jc w:val="left"/>
      </w:pPr>
      <w:r>
        <w:rPr/>
        <w:t>×</w:t>
      </w:r>
      <w:r>
        <w:rPr>
          <w:rFonts w:ascii="宋体" w:hAnsi="宋体" w:cs="宋体" w:eastAsia="宋体" w:hint="default"/>
        </w:rPr>
        <w:t>40%</w:t>
      </w:r>
      <w:r>
        <w:rPr/>
        <w:t>×</w:t>
      </w:r>
      <w:r>
        <w:rPr>
          <w:rFonts w:ascii="宋体" w:hAnsi="宋体" w:cs="宋体" w:eastAsia="宋体" w:hint="default"/>
        </w:rPr>
        <w:t>1/3</w:t>
      </w:r>
      <w:r>
        <w:rPr/>
        <w:t>。</w:t>
      </w:r>
    </w:p>
    <w:p>
      <w:pPr>
        <w:spacing w:line="240" w:lineRule="auto" w:before="9"/>
        <w:rPr>
          <w:rFonts w:ascii="宋体" w:hAnsi="宋体" w:cs="宋体" w:eastAsia="宋体" w:hint="default"/>
          <w:sz w:val="12"/>
          <w:szCs w:val="12"/>
        </w:rPr>
      </w:pPr>
    </w:p>
    <w:p>
      <w:pPr>
        <w:pStyle w:val="BodyText"/>
        <w:spacing w:line="408" w:lineRule="auto"/>
        <w:ind w:left="500" w:right="848"/>
        <w:jc w:val="left"/>
      </w:pPr>
      <w:r>
        <w:rPr/>
        <w:t>若因行业背景或者经营环境发生较大变化，经上市公司同意，该业务考核条款可以调整或予以免除。 </w:t>
      </w:r>
      <w:r>
        <w:rPr>
          <w:rFonts w:ascii="宋体" w:hAnsi="宋体" w:cs="宋体" w:eastAsia="宋体" w:hint="default"/>
        </w:rPr>
        <w:t>6</w:t>
      </w:r>
      <w:r>
        <w:rPr/>
        <w:t>、各方同意并确认，交易方应分别、独立地承担本约定的补偿金额或回购金额；但是交易方整体应就其各自在承诺补偿义务和股权回购义务对公司承担连带责任。</w:t>
      </w:r>
    </w:p>
    <w:p>
      <w:pPr>
        <w:pStyle w:val="BodyText"/>
        <w:spacing w:line="408" w:lineRule="auto" w:before="38"/>
        <w:ind w:left="500" w:right="0" w:hanging="360"/>
        <w:jc w:val="left"/>
      </w:pPr>
      <w:r>
        <w:rPr/>
        <w:t>业绩承诺的完成情况及其对商誉减值测试的影响 </w:t>
      </w:r>
      <w:r>
        <w:rPr>
          <w:spacing w:val="-2"/>
        </w:rPr>
        <w:t>根据公司与杨超、雷建、毛智才、江勇、陈兆滨、鲁武英（以下简称“交易方”）签订的《发行股份及支付现金购买资产协议》（以下简称“购买协议”），交易方承诺畅元</w:t>
      </w:r>
    </w:p>
    <w:p>
      <w:pPr>
        <w:pStyle w:val="BodyText"/>
        <w:spacing w:line="408" w:lineRule="auto" w:before="38"/>
        <w:ind w:left="140" w:right="128"/>
        <w:jc w:val="left"/>
      </w:pPr>
      <w:r>
        <w:rPr/>
        <w:t>国讯在</w:t>
      </w:r>
      <w:r>
        <w:rPr>
          <w:rFonts w:ascii="宋体" w:hAnsi="宋体" w:cs="宋体" w:eastAsia="宋体" w:hint="default"/>
        </w:rPr>
        <w:t>2016</w:t>
      </w:r>
      <w:r>
        <w:rPr/>
        <w:t>年、</w:t>
      </w:r>
      <w:r>
        <w:rPr>
          <w:rFonts w:ascii="宋体" w:hAnsi="宋体" w:cs="宋体" w:eastAsia="宋体" w:hint="default"/>
        </w:rPr>
        <w:t>2017</w:t>
      </w:r>
      <w:r>
        <w:rPr/>
        <w:t>年、</w:t>
      </w:r>
      <w:r>
        <w:rPr>
          <w:rFonts w:ascii="宋体" w:hAnsi="宋体" w:cs="宋体" w:eastAsia="宋体" w:hint="default"/>
        </w:rPr>
        <w:t>2018</w:t>
      </w:r>
      <w:r>
        <w:rPr/>
        <w:t>年实现的净利润分别不低于</w:t>
      </w:r>
      <w:r>
        <w:rPr>
          <w:rFonts w:ascii="宋体" w:hAnsi="宋体" w:cs="宋体" w:eastAsia="宋体" w:hint="default"/>
        </w:rPr>
        <w:t>7600</w:t>
      </w:r>
      <w:r>
        <w:rPr/>
        <w:t>万元、</w:t>
      </w:r>
      <w:r>
        <w:rPr>
          <w:rFonts w:ascii="宋体" w:hAnsi="宋体" w:cs="宋体" w:eastAsia="宋体" w:hint="default"/>
        </w:rPr>
        <w:t>10000</w:t>
      </w:r>
      <w:r>
        <w:rPr/>
        <w:t>万元、</w:t>
      </w:r>
      <w:r>
        <w:rPr>
          <w:rFonts w:ascii="宋体" w:hAnsi="宋体" w:cs="宋体" w:eastAsia="宋体" w:hint="default"/>
        </w:rPr>
        <w:t>13000</w:t>
      </w:r>
      <w:r>
        <w:rPr/>
        <w:t>万元。畅元国讯</w:t>
      </w:r>
      <w:r>
        <w:rPr>
          <w:rFonts w:ascii="宋体" w:hAnsi="宋体" w:cs="宋体" w:eastAsia="宋体" w:hint="default"/>
        </w:rPr>
        <w:t>2016</w:t>
      </w:r>
      <w:r>
        <w:rPr/>
        <w:t>年实现净利润为</w:t>
      </w:r>
      <w:r>
        <w:rPr>
          <w:rFonts w:ascii="宋体" w:hAnsi="宋体" w:cs="宋体" w:eastAsia="宋体" w:hint="default"/>
        </w:rPr>
        <w:t>7924.75</w:t>
      </w:r>
      <w:r>
        <w:rPr/>
        <w:t>万元、未出现商誉减值迹象；畅元国讯</w:t>
      </w:r>
      <w:r>
        <w:rPr>
          <w:rFonts w:ascii="宋体" w:hAnsi="宋体" w:cs="宋体" w:eastAsia="宋体" w:hint="default"/>
        </w:rPr>
        <w:t>2017</w:t>
      </w:r>
      <w:r>
        <w:rPr/>
        <w:t>年 </w:t>
      </w:r>
      <w:r>
        <w:rPr>
          <w:spacing w:val="-1"/>
        </w:rPr>
        <w:t>实现净利润为</w:t>
      </w:r>
      <w:r>
        <w:rPr>
          <w:rFonts w:ascii="宋体" w:hAnsi="宋体" w:cs="宋体" w:eastAsia="宋体" w:hint="default"/>
          <w:spacing w:val="-1"/>
        </w:rPr>
        <w:t>6155.71</w:t>
      </w:r>
      <w:r>
        <w:rPr>
          <w:spacing w:val="-1"/>
        </w:rPr>
        <w:t>万元、存在商誉减值，根据商誉减值测试结果、公司</w:t>
      </w:r>
      <w:r>
        <w:rPr>
          <w:rFonts w:ascii="宋体" w:hAnsi="宋体" w:cs="宋体" w:eastAsia="宋体" w:hint="default"/>
          <w:spacing w:val="-1"/>
        </w:rPr>
        <w:t>2017</w:t>
      </w:r>
      <w:r>
        <w:rPr>
          <w:spacing w:val="-1"/>
        </w:rPr>
        <w:t>年度计提畅元国讯商誉减值准备</w:t>
      </w:r>
      <w:r>
        <w:rPr>
          <w:rFonts w:ascii="宋体" w:hAnsi="宋体" w:cs="宋体" w:eastAsia="宋体" w:hint="default"/>
          <w:spacing w:val="-1"/>
        </w:rPr>
        <w:t>302976568.89</w:t>
      </w:r>
      <w:r>
        <w:rPr>
          <w:spacing w:val="-1"/>
        </w:rPr>
        <w:t>元；畅元国讯</w:t>
      </w:r>
      <w:r>
        <w:rPr>
          <w:rFonts w:ascii="宋体" w:hAnsi="宋体" w:cs="宋体" w:eastAsia="宋体" w:hint="default"/>
          <w:spacing w:val="-1"/>
        </w:rPr>
        <w:t>2018</w:t>
      </w:r>
      <w:r>
        <w:rPr>
          <w:spacing w:val="-1"/>
        </w:rPr>
        <w:t>年实现净利润为</w:t>
      </w:r>
      <w:r>
        <w:rPr>
          <w:rFonts w:ascii="宋体" w:hAnsi="宋体" w:cs="宋体" w:eastAsia="宋体" w:hint="default"/>
          <w:spacing w:val="-1"/>
        </w:rPr>
        <w:t>9229.69</w:t>
      </w:r>
      <w:r>
        <w:rPr>
          <w:spacing w:val="-1"/>
        </w:rPr>
        <w:t>万元，根据</w:t>
      </w:r>
    </w:p>
    <w:p>
      <w:pPr>
        <w:spacing w:after="0" w:line="408" w:lineRule="auto"/>
        <w:jc w:val="left"/>
        <w:sectPr>
          <w:pgSz w:w="16840" w:h="11910" w:orient="landscape"/>
          <w:pgMar w:header="867" w:footer="979" w:top="1060" w:bottom="1160" w:left="1300" w:right="1300"/>
        </w:sectPr>
      </w:pPr>
    </w:p>
    <w:p>
      <w:pPr>
        <w:spacing w:line="240" w:lineRule="auto" w:before="2"/>
        <w:rPr>
          <w:rFonts w:ascii="宋体" w:hAnsi="宋体" w:cs="宋体" w:eastAsia="宋体" w:hint="default"/>
          <w:sz w:val="10"/>
          <w:szCs w:val="10"/>
        </w:rPr>
      </w:pPr>
    </w:p>
    <w:p>
      <w:pPr>
        <w:pStyle w:val="BodyText"/>
        <w:spacing w:line="240" w:lineRule="auto" w:before="44"/>
        <w:ind w:left="140" w:right="218"/>
        <w:jc w:val="left"/>
      </w:pPr>
      <w:r>
        <w:rPr/>
        <w:t>商誉减值测试结果，</w:t>
      </w:r>
      <w:r>
        <w:rPr>
          <w:rFonts w:ascii="宋体" w:hAnsi="宋体" w:cs="宋体" w:eastAsia="宋体" w:hint="default"/>
        </w:rPr>
        <w:t>2018</w:t>
      </w:r>
      <w:r>
        <w:rPr/>
        <w:t>年度未商誉未发生减值迹象，公司</w:t>
      </w:r>
      <w:r>
        <w:rPr>
          <w:rFonts w:ascii="宋体" w:hAnsi="宋体" w:cs="宋体" w:eastAsia="宋体" w:hint="default"/>
        </w:rPr>
        <w:t>2018</w:t>
      </w:r>
      <w:r>
        <w:rPr/>
        <w:t>年度未计提商誉减值准备。</w:t>
      </w:r>
    </w:p>
    <w:p>
      <w:pPr>
        <w:spacing w:after="0" w:line="240" w:lineRule="auto"/>
        <w:jc w:val="left"/>
        <w:sectPr>
          <w:pgSz w:w="16840" w:h="11910" w:orient="landscape"/>
          <w:pgMar w:header="867" w:footer="979" w:top="1060" w:bottom="116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right="817"/>
        <w:jc w:val="left"/>
        <w:rPr>
          <w:b w:val="0"/>
          <w:bCs w:val="0"/>
        </w:rPr>
      </w:pPr>
      <w:bookmarkStart w:name="四、控股股东及其关联方对上市公司的非经营性占用资金情况" w:id="92"/>
      <w:bookmarkEnd w:id="92"/>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817"/>
        <w:jc w:val="left"/>
        <w:rPr>
          <w:b w:val="0"/>
          <w:bCs w:val="0"/>
        </w:rPr>
      </w:pPr>
      <w:bookmarkStart w:name="五、董事会、监事会、独立董事（如有）对会计师事务所本报告期“非标准审计报告”的说" w:id="93"/>
      <w:bookmarkEnd w:id="93"/>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17"/>
        <w:jc w:val="left"/>
        <w:rPr>
          <w:b w:val="0"/>
          <w:bCs w:val="0"/>
        </w:rPr>
      </w:pPr>
      <w:bookmarkStart w:name="六、与上年度财务报告相比，会计政策、会计估计和核算方法发生变化的情况说明" w:id="94"/>
      <w:bookmarkEnd w:id="94"/>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right="817"/>
        <w:jc w:val="left"/>
        <w:rPr>
          <w:b w:val="0"/>
          <w:bCs w:val="0"/>
        </w:rPr>
      </w:pPr>
      <w:bookmarkStart w:name="七、报告期内发生重大会计差错更正需追溯重述的情况说明" w:id="95"/>
      <w:bookmarkEnd w:id="95"/>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817"/>
        <w:jc w:val="left"/>
        <w:rPr>
          <w:b w:val="0"/>
          <w:bCs w:val="0"/>
        </w:rPr>
      </w:pPr>
      <w:bookmarkStart w:name="八、与上年度财务报告相比，合并报表范围发生变化的情况说明" w:id="96"/>
      <w:bookmarkEnd w:id="96"/>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415"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10</w:t>
      </w:r>
      <w:r>
        <w:rPr>
          <w:spacing w:val="-2"/>
        </w:rPr>
        <w:t>日，本公司全资子公司北京畅元国讯科技有限公司与九次方大数据信息集团有限公司合作设立厦门安妮大数</w:t>
      </w:r>
      <w:r>
        <w:rPr>
          <w:spacing w:val="-56"/>
        </w:rPr>
        <w:t> </w:t>
      </w:r>
      <w:r>
        <w:rPr>
          <w:spacing w:val="-56"/>
        </w:rPr>
      </w:r>
      <w:r>
        <w:rPr/>
        <w:t>据科技有限公司，其中北京畅元国讯科技有限公司持股</w:t>
      </w:r>
      <w:r>
        <w:rPr>
          <w:rFonts w:ascii="宋体" w:hAnsi="宋体" w:cs="宋体" w:eastAsia="宋体" w:hint="default"/>
        </w:rPr>
        <w:t>51%</w:t>
      </w:r>
      <w:r>
        <w:rPr/>
        <w:t>，九次方大数据信息集团有限公司持股</w:t>
      </w:r>
      <w:r>
        <w:rPr>
          <w:rFonts w:ascii="宋体" w:hAnsi="宋体" w:cs="宋体" w:eastAsia="宋体" w:hint="default"/>
        </w:rPr>
        <w:t>49%</w:t>
      </w:r>
      <w:r>
        <w:rPr/>
        <w:t>，本期纳入合并范围。 </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26</w:t>
      </w:r>
      <w:r>
        <w:rPr/>
        <w:t>日，本公司全资子公司泉州安妮贸易有限公司办理工商注销手续，导致本报告期及以后合并范围变更。</w:t>
      </w:r>
    </w:p>
    <w:p>
      <w:pPr>
        <w:pStyle w:val="BodyText"/>
        <w:spacing w:line="240" w:lineRule="auto" w:before="34"/>
        <w:ind w:right="817"/>
        <w:jc w:val="left"/>
      </w:pP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15</w:t>
      </w:r>
      <w:r>
        <w:rPr/>
        <w:t>日，公司收购北京市淘智惠电子商务有限公司</w:t>
      </w:r>
      <w:r>
        <w:rPr>
          <w:rFonts w:ascii="宋体" w:hAnsi="宋体" w:cs="宋体" w:eastAsia="宋体" w:hint="default"/>
        </w:rPr>
        <w:t>100%</w:t>
      </w:r>
      <w:r>
        <w:rPr/>
        <w:t>股权。</w:t>
      </w:r>
    </w:p>
    <w:p>
      <w:pPr>
        <w:spacing w:line="240" w:lineRule="auto" w:before="3"/>
        <w:rPr>
          <w:rFonts w:ascii="宋体" w:hAnsi="宋体" w:cs="宋体" w:eastAsia="宋体" w:hint="default"/>
          <w:sz w:val="24"/>
          <w:szCs w:val="24"/>
        </w:rPr>
      </w:pPr>
    </w:p>
    <w:p>
      <w:pPr>
        <w:pStyle w:val="Heading2"/>
        <w:spacing w:line="240" w:lineRule="auto"/>
        <w:ind w:right="817"/>
        <w:jc w:val="left"/>
        <w:rPr>
          <w:b w:val="0"/>
          <w:bCs w:val="0"/>
        </w:rPr>
      </w:pPr>
      <w:bookmarkStart w:name="九、聘任、解聘会计师事务所情况" w:id="97"/>
      <w:bookmarkEnd w:id="97"/>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陈菁佩、连伟</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817"/>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22"/>
          <w:footerReference w:type="default" r:id="rId23"/>
          <w:pgSz w:w="11910" w:h="16840"/>
          <w:pgMar w:header="877" w:footer="979" w:top="1100" w:bottom="1160" w:left="980" w:right="0"/>
          <w:pgNumType w:start="42"/>
        </w:sectPr>
      </w:pPr>
    </w:p>
    <w:p>
      <w:pPr>
        <w:spacing w:line="240" w:lineRule="auto" w:before="8"/>
        <w:rPr>
          <w:rFonts w:ascii="宋体" w:hAnsi="宋体" w:cs="宋体" w:eastAsia="宋体" w:hint="default"/>
          <w:sz w:val="19"/>
          <w:szCs w:val="19"/>
        </w:rPr>
      </w:pPr>
    </w:p>
    <w:p>
      <w:pPr>
        <w:pStyle w:val="Heading2"/>
        <w:spacing w:line="240" w:lineRule="auto" w:before="26"/>
        <w:ind w:right="817"/>
        <w:jc w:val="left"/>
        <w:rPr>
          <w:b w:val="0"/>
          <w:bCs w:val="0"/>
        </w:rPr>
      </w:pPr>
      <w:bookmarkStart w:name="十、年度报告披露后面临暂停上市和终止上市情况" w:id="98"/>
      <w:bookmarkEnd w:id="98"/>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17"/>
        <w:jc w:val="left"/>
        <w:rPr>
          <w:b w:val="0"/>
          <w:bCs w:val="0"/>
        </w:rPr>
      </w:pPr>
      <w:bookmarkStart w:name="十一、破产重整相关事项" w:id="99"/>
      <w:bookmarkEnd w:id="99"/>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817"/>
        <w:jc w:val="left"/>
        <w:rPr>
          <w:b w:val="0"/>
          <w:bCs w:val="0"/>
        </w:rPr>
      </w:pPr>
      <w:bookmarkStart w:name="十二、重大诉讼、仲裁事项" w:id="100"/>
      <w:bookmarkEnd w:id="100"/>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安妮企业诉现成文 化、深圳艾迪芙合 同纠纷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915.12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85"/>
              <w:jc w:val="left"/>
              <w:rPr>
                <w:rFonts w:ascii="宋体" w:hAnsi="宋体" w:cs="宋体" w:eastAsia="宋体" w:hint="default"/>
                <w:sz w:val="18"/>
                <w:szCs w:val="18"/>
              </w:rPr>
            </w:pPr>
            <w:r>
              <w:rPr>
                <w:rFonts w:ascii="宋体" w:hAnsi="宋体" w:cs="宋体" w:eastAsia="宋体" w:hint="default"/>
                <w:sz w:val="18"/>
                <w:szCs w:val="18"/>
              </w:rPr>
              <w:t>强制执行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公司胜诉后通过 司法途径，已累 计收回款项</w:t>
            </w:r>
          </w:p>
          <w:p>
            <w:pPr>
              <w:pStyle w:val="TableParagraph"/>
              <w:spacing w:line="312" w:lineRule="auto" w:before="1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832.08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 止本报告出具之 日，案件尚余 </w:t>
            </w:r>
            <w:r>
              <w:rPr>
                <w:rFonts w:ascii="Times New Roman" w:hAnsi="Times New Roman" w:cs="Times New Roman" w:eastAsia="Times New Roman" w:hint="default"/>
                <w:sz w:val="18"/>
                <w:szCs w:val="18"/>
              </w:rPr>
              <w:t>83.05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万元款项 未收回。目前案 件仍在强制执行 过程中。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35"/>
              <w:jc w:val="left"/>
              <w:rPr>
                <w:rFonts w:ascii="宋体" w:hAnsi="宋体" w:cs="宋体" w:eastAsia="宋体" w:hint="default"/>
                <w:sz w:val="18"/>
                <w:szCs w:val="18"/>
              </w:rPr>
            </w:pPr>
            <w:r>
              <w:rPr>
                <w:rFonts w:ascii="宋体" w:hAnsi="宋体" w:cs="宋体" w:eastAsia="宋体" w:hint="default"/>
                <w:sz w:val="18"/>
                <w:szCs w:val="18"/>
              </w:rPr>
              <w:t>强制执行判决 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2" w:right="38"/>
              <w:jc w:val="left"/>
              <w:rPr>
                <w:rFonts w:ascii="宋体" w:hAnsi="宋体" w:cs="宋体" w:eastAsia="宋体" w:hint="default"/>
                <w:sz w:val="18"/>
                <w:szCs w:val="18"/>
              </w:rPr>
            </w:pPr>
            <w:r>
              <w:rPr>
                <w:rFonts w:ascii="宋体" w:hAnsi="宋体" w:cs="宋体" w:eastAsia="宋体" w:hint="default"/>
                <w:sz w:val="18"/>
                <w:szCs w:val="18"/>
              </w:rPr>
              <w:t>《厦门安妮 股份有限公 司诉讼进展 </w:t>
            </w:r>
            <w:r>
              <w:rPr>
                <w:rFonts w:ascii="宋体" w:hAnsi="宋体" w:cs="宋体" w:eastAsia="宋体" w:hint="default"/>
                <w:spacing w:val="-15"/>
                <w:sz w:val="18"/>
                <w:szCs w:val="18"/>
              </w:rPr>
              <w:t>公告》（公告</w:t>
            </w:r>
            <w:r>
              <w:rPr>
                <w:rFonts w:ascii="宋体" w:hAnsi="宋体" w:cs="宋体" w:eastAsia="宋体" w:hint="default"/>
                <w:sz w:val="18"/>
                <w:szCs w:val="18"/>
              </w:rPr>
              <w:t> 编号：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2015-044</w:t>
            </w:r>
            <w:r>
              <w:rPr>
                <w:rFonts w:ascii="宋体" w:hAnsi="宋体" w:cs="宋体" w:eastAsia="宋体" w:hint="default"/>
                <w:sz w:val="18"/>
                <w:szCs w:val="18"/>
              </w:rPr>
              <w:t>）</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厦门安妮股份有限 公司北京分公司与 北京旌旗源弘科贸 有限公司、李晶合 同纠纷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强制执行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公司胜诉。目前 案件在强制执行 过程中。截止本 报告出具之日， 已收回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56,229.24</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强制执行判决 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北京至美数码防伪 印务有限公司与北 京旌旗源弘科贸有 限公司、李晶合同 纠纷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强制执行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公司胜诉。目前 案件在强制执行 过程中。截止本 报告出具之日， 已收回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61,450 </w:t>
            </w: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强制执行判决 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安妮（香港）有限 公司与刘正君买卖 合同纠纷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162.29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强制执行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公司胜诉。目前 案件在强制执行 过程中。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强制执行判决 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right="817"/>
        <w:jc w:val="left"/>
        <w:rPr>
          <w:b w:val="0"/>
          <w:bCs w:val="0"/>
        </w:rPr>
      </w:pPr>
      <w:bookmarkStart w:name="十三、处罚及整改情况" w:id="101"/>
      <w:bookmarkEnd w:id="101"/>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817"/>
        <w:jc w:val="left"/>
      </w:pPr>
      <w:r>
        <w:rPr/>
        <w:t>公司报告期不存在处罚及整改情况。</w:t>
      </w:r>
    </w:p>
    <w:p>
      <w:pPr>
        <w:spacing w:line="240" w:lineRule="auto" w:before="13"/>
        <w:rPr>
          <w:rFonts w:ascii="宋体" w:hAnsi="宋体" w:cs="宋体" w:eastAsia="宋体" w:hint="default"/>
          <w:sz w:val="24"/>
          <w:szCs w:val="24"/>
        </w:rPr>
      </w:pPr>
    </w:p>
    <w:p>
      <w:pPr>
        <w:pStyle w:val="Heading2"/>
        <w:spacing w:line="240" w:lineRule="auto"/>
        <w:ind w:right="817"/>
        <w:jc w:val="left"/>
        <w:rPr>
          <w:b w:val="0"/>
          <w:bCs w:val="0"/>
        </w:rPr>
      </w:pPr>
      <w:bookmarkStart w:name="十四、公司及其控股股东、实际控制人的诚信状况" w:id="102"/>
      <w:bookmarkEnd w:id="102"/>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十五、公司股权激励计划、员工持股计划或其他员工激励措施的实施情况" w:id="103"/>
      <w:bookmarkEnd w:id="103"/>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434" w:lineRule="auto"/>
        <w:ind w:left="444" w:right="817"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26</w:t>
      </w:r>
      <w:r>
        <w:rPr>
          <w:spacing w:val="-1"/>
        </w:rPr>
        <w:t>日召开</w:t>
      </w:r>
      <w:r>
        <w:rPr>
          <w:rFonts w:ascii="宋体" w:hAnsi="宋体" w:cs="宋体" w:eastAsia="宋体" w:hint="default"/>
          <w:spacing w:val="-1"/>
        </w:rPr>
        <w:t>2017</w:t>
      </w:r>
      <w:r>
        <w:rPr>
          <w:spacing w:val="-1"/>
        </w:rPr>
        <w:t>年第一次临时股东大会，审议通过了《厦门安妮股份有限公司</w:t>
      </w:r>
      <w:r>
        <w:rPr>
          <w:rFonts w:ascii="宋体" w:hAnsi="宋体" w:cs="宋体" w:eastAsia="宋体" w:hint="default"/>
          <w:spacing w:val="-1"/>
        </w:rPr>
        <w:t>&lt;2017</w:t>
      </w:r>
      <w:r>
        <w:rPr>
          <w:spacing w:val="-1"/>
        </w:rPr>
        <w:t>年股票期权与限制性</w:t>
      </w:r>
    </w:p>
    <w:p>
      <w:pPr>
        <w:pStyle w:val="BodyText"/>
        <w:spacing w:line="408" w:lineRule="auto" w:before="19"/>
        <w:ind w:right="1040"/>
        <w:jc w:val="left"/>
      </w:pPr>
      <w:r>
        <w:rPr/>
        <w:t>股票激励计划》，拟向激励对象授予权益总计</w:t>
      </w:r>
      <w:r>
        <w:rPr>
          <w:rFonts w:ascii="宋体" w:hAnsi="宋体" w:cs="宋体" w:eastAsia="宋体" w:hint="default"/>
        </w:rPr>
        <w:t>600</w:t>
      </w:r>
      <w:r>
        <w:rPr/>
        <w:t>万份，涉及的标的股票种类为人民币</w:t>
      </w:r>
      <w:r>
        <w:rPr>
          <w:rFonts w:ascii="宋体" w:hAnsi="宋体" w:cs="宋体" w:eastAsia="宋体" w:hint="default"/>
        </w:rPr>
        <w:t>A </w:t>
      </w:r>
      <w:r>
        <w:rPr/>
        <w:t>股普通股，约占本激励计划签署时 公司股本总额</w:t>
      </w:r>
      <w:r>
        <w:rPr>
          <w:rFonts w:ascii="宋体" w:hAnsi="宋体" w:cs="宋体" w:eastAsia="宋体" w:hint="default"/>
        </w:rPr>
        <w:t>41373.65</w:t>
      </w:r>
      <w:r>
        <w:rPr/>
        <w:t>万股的</w:t>
      </w:r>
      <w:r>
        <w:rPr>
          <w:rFonts w:ascii="宋体" w:hAnsi="宋体" w:cs="宋体" w:eastAsia="宋体" w:hint="default"/>
        </w:rPr>
        <w:t>1.45%</w:t>
      </w:r>
      <w:r>
        <w:rPr/>
        <w:t>。具体如下：</w:t>
      </w:r>
      <w:r>
        <w:rPr>
          <w:rFonts w:ascii="宋体" w:hAnsi="宋体" w:cs="宋体" w:eastAsia="宋体" w:hint="default"/>
        </w:rPr>
        <w:t>1</w:t>
      </w:r>
      <w:r>
        <w:rPr/>
        <w:t>、股票期权激励计划：公司拟向激励对象授予</w:t>
      </w:r>
      <w:r>
        <w:rPr>
          <w:rFonts w:ascii="宋体" w:hAnsi="宋体" w:cs="宋体" w:eastAsia="宋体" w:hint="default"/>
        </w:rPr>
        <w:t>375</w:t>
      </w:r>
      <w:r>
        <w:rPr/>
        <w:t>万份股票期权，涉及的 标的股票种类为人民币</w:t>
      </w:r>
      <w:r>
        <w:rPr>
          <w:rFonts w:ascii="宋体" w:hAnsi="宋体" w:cs="宋体" w:eastAsia="宋体" w:hint="default"/>
        </w:rPr>
        <w:t>A</w:t>
      </w:r>
      <w:r>
        <w:rPr>
          <w:rFonts w:ascii="宋体" w:hAnsi="宋体" w:cs="宋体" w:eastAsia="宋体" w:hint="default"/>
          <w:spacing w:val="16"/>
        </w:rPr>
        <w:t> </w:t>
      </w:r>
      <w:r>
        <w:rPr>
          <w:spacing w:val="-2"/>
        </w:rPr>
        <w:t>股普通股，约占本激励计划签署时公司股本总额</w:t>
      </w:r>
      <w:r>
        <w:rPr>
          <w:rFonts w:ascii="宋体" w:hAnsi="宋体" w:cs="宋体" w:eastAsia="宋体" w:hint="default"/>
          <w:spacing w:val="-2"/>
        </w:rPr>
        <w:t>41373.65</w:t>
      </w:r>
      <w:r>
        <w:rPr>
          <w:spacing w:val="-2"/>
        </w:rPr>
        <w:t>万股的</w:t>
      </w:r>
      <w:r>
        <w:rPr>
          <w:rFonts w:ascii="宋体" w:hAnsi="宋体" w:cs="宋体" w:eastAsia="宋体" w:hint="default"/>
          <w:spacing w:val="-2"/>
        </w:rPr>
        <w:t>0.91%</w:t>
      </w:r>
      <w:r>
        <w:rPr>
          <w:spacing w:val="-2"/>
        </w:rPr>
        <w:t>。在满足行权条件的情况下，</w:t>
      </w:r>
      <w:r>
        <w:rPr/>
        <w:t> </w:t>
      </w:r>
      <w:r>
        <w:rPr>
          <w:spacing w:val="-2"/>
        </w:rPr>
        <w:t>激励对象获授的每一份股票期权拥有在有效期内以行权价格购买</w:t>
      </w:r>
      <w:r>
        <w:rPr>
          <w:rFonts w:ascii="宋体" w:hAnsi="宋体" w:cs="宋体" w:eastAsia="宋体" w:hint="default"/>
          <w:spacing w:val="-2"/>
        </w:rPr>
        <w:t>1</w:t>
      </w:r>
      <w:r>
        <w:rPr>
          <w:spacing w:val="-2"/>
        </w:rPr>
        <w:t>股公司股票的权利。</w:t>
      </w:r>
      <w:r>
        <w:rPr>
          <w:rFonts w:ascii="宋体" w:hAnsi="宋体" w:cs="宋体" w:eastAsia="宋体" w:hint="default"/>
          <w:spacing w:val="-2"/>
        </w:rPr>
        <w:t>2</w:t>
      </w:r>
      <w:r>
        <w:rPr>
          <w:spacing w:val="-2"/>
        </w:rPr>
        <w:t>、限制性股票激励计划：公司拟向激</w:t>
      </w:r>
      <w:r>
        <w:rPr>
          <w:spacing w:val="-64"/>
        </w:rPr>
        <w:t> </w:t>
      </w:r>
      <w:r>
        <w:rPr>
          <w:spacing w:val="-64"/>
        </w:rPr>
      </w:r>
      <w:r>
        <w:rPr/>
        <w:t>励对象授予</w:t>
      </w:r>
      <w:r>
        <w:rPr>
          <w:rFonts w:ascii="宋体" w:hAnsi="宋体" w:cs="宋体" w:eastAsia="宋体" w:hint="default"/>
        </w:rPr>
        <w:t>225</w:t>
      </w:r>
      <w:r>
        <w:rPr/>
        <w:t>万股公司限制性股票，占本激励计划签署时公司股本总额</w:t>
      </w:r>
      <w:r>
        <w:rPr>
          <w:rFonts w:ascii="宋体" w:hAnsi="宋体" w:cs="宋体" w:eastAsia="宋体" w:hint="default"/>
        </w:rPr>
        <w:t>41373.65</w:t>
      </w:r>
      <w:r>
        <w:rPr/>
        <w:t>万股的</w:t>
      </w:r>
      <w:r>
        <w:rPr>
          <w:rFonts w:ascii="宋体" w:hAnsi="宋体" w:cs="宋体" w:eastAsia="宋体" w:hint="default"/>
        </w:rPr>
        <w:t>0.54%</w:t>
      </w:r>
      <w:r>
        <w:rPr/>
        <w:t>。具体详见公司</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9 </w:t>
      </w:r>
      <w:r>
        <w:rPr>
          <w:spacing w:val="-2"/>
        </w:rPr>
        <w:t>日披露的《厦门安妮股份有限公司</w:t>
      </w:r>
      <w:r>
        <w:rPr>
          <w:rFonts w:ascii="宋体" w:hAnsi="宋体" w:cs="宋体" w:eastAsia="宋体" w:hint="default"/>
          <w:spacing w:val="-2"/>
        </w:rPr>
        <w:t>2017</w:t>
      </w:r>
      <w:r>
        <w:rPr>
          <w:spacing w:val="-2"/>
        </w:rPr>
        <w:t>年股票期权与限制性股票激励计划（草案）》、《厦门安妮股有限公司第四届董事会</w:t>
      </w:r>
      <w:r>
        <w:rPr>
          <w:spacing w:val="-64"/>
        </w:rPr>
        <w:t> </w:t>
      </w:r>
      <w:r>
        <w:rPr>
          <w:spacing w:val="-64"/>
        </w:rPr>
      </w:r>
      <w:r>
        <w:rPr/>
        <w:t>第八次会议决议公告》（公告编号：</w:t>
      </w:r>
      <w:r>
        <w:rPr>
          <w:rFonts w:ascii="宋体" w:hAnsi="宋体" w:cs="宋体" w:eastAsia="宋体" w:hint="default"/>
        </w:rPr>
        <w:t>2017-027</w:t>
      </w:r>
      <w:r>
        <w:rPr/>
        <w:t>）及</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26</w:t>
      </w:r>
      <w:r>
        <w:rPr/>
        <w:t>日披露的《厦门安妮股份有限公司</w:t>
      </w:r>
      <w:r>
        <w:rPr>
          <w:rFonts w:ascii="宋体" w:hAnsi="宋体" w:cs="宋体" w:eastAsia="宋体" w:hint="default"/>
        </w:rPr>
        <w:t>2017</w:t>
      </w:r>
      <w:r>
        <w:rPr/>
        <w:t>年度第一次临时股东 大会决议公告》（公告编号：</w:t>
      </w:r>
      <w:r>
        <w:rPr>
          <w:rFonts w:ascii="宋体" w:hAnsi="宋体" w:cs="宋体" w:eastAsia="宋体" w:hint="default"/>
        </w:rPr>
        <w:t>2017-034</w:t>
      </w:r>
      <w:r>
        <w:rPr/>
        <w:t>）。</w:t>
      </w:r>
    </w:p>
    <w:p>
      <w:pPr>
        <w:pStyle w:val="BodyText"/>
        <w:spacing w:line="408" w:lineRule="auto" w:before="38"/>
        <w:ind w:right="1130" w:firstLine="348"/>
        <w:jc w:val="both"/>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14</w:t>
      </w:r>
      <w:r>
        <w:rPr/>
        <w:t>日，公司分别召开了第四届董事会第九次会议和第四届监事会第八次会议审议通过了《厦门安妮股份有限 公司关于</w:t>
      </w:r>
      <w:r>
        <w:rPr>
          <w:rFonts w:ascii="宋体" w:hAnsi="宋体" w:cs="宋体" w:eastAsia="宋体" w:hint="default"/>
        </w:rPr>
        <w:t>&lt;2017</w:t>
      </w:r>
      <w:r>
        <w:rPr/>
        <w:t>年股票期权与限制性股票激励计划</w:t>
      </w:r>
      <w:r>
        <w:rPr>
          <w:rFonts w:ascii="宋体" w:hAnsi="宋体" w:cs="宋体" w:eastAsia="宋体" w:hint="default"/>
        </w:rPr>
        <w:t>&gt;</w:t>
      </w:r>
      <w:r>
        <w:rPr/>
        <w:t>向激励对象授予股票期权的议案》。确定</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14</w:t>
      </w:r>
      <w:r>
        <w:rPr/>
        <w:t>日为授予日，向符 </w:t>
      </w:r>
      <w:r>
        <w:rPr>
          <w:spacing w:val="-2"/>
        </w:rPr>
        <w:t>合条件的个人授予股票期权</w:t>
      </w:r>
      <w:r>
        <w:rPr>
          <w:rFonts w:ascii="宋体" w:hAnsi="宋体" w:cs="宋体" w:eastAsia="宋体" w:hint="default"/>
          <w:spacing w:val="-2"/>
        </w:rPr>
        <w:t>375</w:t>
      </w:r>
      <w:r>
        <w:rPr>
          <w:spacing w:val="-2"/>
        </w:rPr>
        <w:t>万股。具体详见公司</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14</w:t>
      </w:r>
      <w:r>
        <w:rPr>
          <w:spacing w:val="-2"/>
        </w:rPr>
        <w:t>日披露的《厦门安妮股份有限公司关于</w:t>
      </w:r>
      <w:r>
        <w:rPr>
          <w:rFonts w:ascii="宋体" w:hAnsi="宋体" w:cs="宋体" w:eastAsia="宋体" w:hint="default"/>
          <w:spacing w:val="-2"/>
        </w:rPr>
        <w:t>2017</w:t>
      </w:r>
      <w:r>
        <w:rPr>
          <w:spacing w:val="-2"/>
        </w:rPr>
        <w:t>年股票期权与限</w:t>
      </w:r>
      <w:r>
        <w:rPr>
          <w:spacing w:val="-50"/>
        </w:rPr>
        <w:t> </w:t>
      </w:r>
      <w:r>
        <w:rPr/>
        <w:t>制性股票激励计划向激励对象授予股票期权的公告》（公告编号：</w:t>
      </w:r>
      <w:r>
        <w:rPr>
          <w:rFonts w:ascii="宋体" w:hAnsi="宋体" w:cs="宋体" w:eastAsia="宋体" w:hint="default"/>
        </w:rPr>
        <w:t>2017-046</w:t>
      </w:r>
      <w:r>
        <w:rPr/>
        <w:t>）</w:t>
      </w:r>
    </w:p>
    <w:p>
      <w:pPr>
        <w:pStyle w:val="BodyText"/>
        <w:spacing w:line="408" w:lineRule="auto" w:before="39"/>
        <w:ind w:right="1130" w:firstLine="348"/>
        <w:jc w:val="both"/>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日，公司分别召开了第四届董事会第十一次会议和第四届监事会第十次会议审议通过了《关于调整</w:t>
      </w:r>
      <w:r>
        <w:rPr>
          <w:rFonts w:ascii="宋体" w:hAnsi="宋体" w:cs="宋体" w:eastAsia="宋体" w:hint="default"/>
        </w:rPr>
        <w:t>&lt;2017</w:t>
      </w:r>
      <w:r>
        <w:rPr/>
        <w:t>年 </w:t>
      </w:r>
      <w:r>
        <w:rPr>
          <w:spacing w:val="-2"/>
        </w:rPr>
        <w:t>股票期权与限制性股票激励计划</w:t>
      </w:r>
      <w:r>
        <w:rPr>
          <w:rFonts w:ascii="宋体" w:hAnsi="宋体" w:cs="宋体" w:eastAsia="宋体" w:hint="default"/>
          <w:spacing w:val="-2"/>
        </w:rPr>
        <w:t>&gt;</w:t>
      </w:r>
      <w:r>
        <w:rPr>
          <w:spacing w:val="-2"/>
        </w:rPr>
        <w:t>限制性股票激励对象及授予股票数量的议案》、《关于</w:t>
      </w:r>
      <w:r>
        <w:rPr>
          <w:rFonts w:ascii="宋体" w:hAnsi="宋体" w:cs="宋体" w:eastAsia="宋体" w:hint="default"/>
          <w:spacing w:val="-2"/>
        </w:rPr>
        <w:t>&lt;2017</w:t>
      </w:r>
      <w:r>
        <w:rPr>
          <w:spacing w:val="-2"/>
        </w:rPr>
        <w:t>年股票期权与限制性股票激励</w:t>
      </w:r>
      <w:r>
        <w:rPr>
          <w:spacing w:val="-59"/>
        </w:rPr>
        <w:t> </w:t>
      </w:r>
      <w:r>
        <w:rPr>
          <w:spacing w:val="-2"/>
        </w:rPr>
        <w:t>计划</w:t>
      </w:r>
      <w:r>
        <w:rPr>
          <w:rFonts w:ascii="宋体" w:hAnsi="宋体" w:cs="宋体" w:eastAsia="宋体" w:hint="default"/>
          <w:spacing w:val="-2"/>
        </w:rPr>
        <w:t>&gt;</w:t>
      </w:r>
      <w:r>
        <w:rPr>
          <w:spacing w:val="-2"/>
        </w:rPr>
        <w:t>向激励对象授予限制性股票的议案》。确定</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5</w:t>
      </w:r>
      <w:r>
        <w:rPr>
          <w:spacing w:val="-2"/>
        </w:rPr>
        <w:t>日为授予日，向符合条件的</w:t>
      </w:r>
      <w:r>
        <w:rPr>
          <w:rFonts w:ascii="宋体" w:hAnsi="宋体" w:cs="宋体" w:eastAsia="宋体" w:hint="default"/>
          <w:spacing w:val="-2"/>
        </w:rPr>
        <w:t>12</w:t>
      </w:r>
      <w:r>
        <w:rPr>
          <w:spacing w:val="-2"/>
        </w:rPr>
        <w:t>个人授予限制性股票</w:t>
      </w:r>
      <w:r>
        <w:rPr>
          <w:rFonts w:ascii="宋体" w:hAnsi="宋体" w:cs="宋体" w:eastAsia="宋体" w:hint="default"/>
          <w:spacing w:val="-2"/>
        </w:rPr>
        <w:t>224</w:t>
      </w:r>
      <w:r>
        <w:rPr>
          <w:spacing w:val="-2"/>
        </w:rPr>
        <w:t>万股。具</w:t>
      </w:r>
      <w:r>
        <w:rPr>
          <w:spacing w:val="-55"/>
        </w:rPr>
        <w:t> </w:t>
      </w:r>
      <w:r>
        <w:rPr>
          <w:spacing w:val="-55"/>
        </w:rPr>
      </w:r>
      <w:r>
        <w:rPr>
          <w:spacing w:val="-2"/>
        </w:rPr>
        <w:t>体详见公司</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5</w:t>
      </w:r>
      <w:r>
        <w:rPr>
          <w:spacing w:val="-2"/>
        </w:rPr>
        <w:t>日披露的《厦门安妮股份有限公司关于</w:t>
      </w:r>
      <w:r>
        <w:rPr>
          <w:rFonts w:ascii="宋体" w:hAnsi="宋体" w:cs="宋体" w:eastAsia="宋体" w:hint="default"/>
          <w:spacing w:val="-2"/>
        </w:rPr>
        <w:t>2017</w:t>
      </w:r>
      <w:r>
        <w:rPr>
          <w:spacing w:val="-2"/>
        </w:rPr>
        <w:t>年股票期权与限制性股票激励计划向激励对象授予限制性</w:t>
      </w:r>
      <w:r>
        <w:rPr>
          <w:spacing w:val="-54"/>
        </w:rPr>
        <w:t> </w:t>
      </w:r>
      <w:r>
        <w:rPr/>
        <w:t>股票的公告》（公告编号：</w:t>
      </w:r>
      <w:r>
        <w:rPr>
          <w:rFonts w:ascii="宋体" w:hAnsi="宋体" w:cs="宋体" w:eastAsia="宋体" w:hint="default"/>
        </w:rPr>
        <w:t>2017-056</w:t>
      </w:r>
      <w:r>
        <w:rPr/>
        <w:t>）</w:t>
      </w:r>
    </w:p>
    <w:p>
      <w:pPr>
        <w:pStyle w:val="BodyText"/>
        <w:spacing w:line="408" w:lineRule="auto" w:before="38"/>
        <w:ind w:right="1130" w:firstLine="348"/>
        <w:jc w:val="both"/>
      </w:pP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26</w:t>
      </w:r>
      <w:r>
        <w:rPr>
          <w:spacing w:val="-2"/>
        </w:rPr>
        <w:t>日，公司分别召开第四届董事会第二十二次会议和第四届监事会第十八次会议审议通过了《关于调整</w:t>
      </w:r>
      <w:r>
        <w:rPr>
          <w:rFonts w:ascii="宋体" w:hAnsi="宋体" w:cs="宋体" w:eastAsia="宋体" w:hint="default"/>
          <w:spacing w:val="-2"/>
        </w:rPr>
        <w:t>&lt;2017</w:t>
      </w:r>
      <w:r>
        <w:rPr>
          <w:rFonts w:ascii="宋体" w:hAnsi="宋体" w:cs="宋体" w:eastAsia="宋体" w:hint="default"/>
        </w:rPr>
        <w:t> </w:t>
      </w:r>
      <w:r>
        <w:rPr/>
        <w:t>年股票期权与限制性股票激励计划</w:t>
      </w:r>
      <w:r>
        <w:rPr>
          <w:rFonts w:ascii="宋体" w:hAnsi="宋体" w:cs="宋体" w:eastAsia="宋体" w:hint="default"/>
        </w:rPr>
        <w:t>&gt;</w:t>
      </w:r>
      <w:r>
        <w:rPr/>
        <w:t>股票期权数量和行权价格、限制性股票数量及回购价格的议案》、《关于回购注销部分 </w:t>
      </w:r>
      <w:r>
        <w:rPr>
          <w:spacing w:val="-2"/>
        </w:rPr>
        <w:t>限制性股票及部分股票期权的议案》，本次调整后，股票期权授予数量由</w:t>
      </w:r>
      <w:r>
        <w:rPr>
          <w:rFonts w:ascii="宋体" w:hAnsi="宋体" w:cs="宋体" w:eastAsia="宋体" w:hint="default"/>
          <w:spacing w:val="-2"/>
        </w:rPr>
        <w:t>375</w:t>
      </w:r>
      <w:r>
        <w:rPr>
          <w:spacing w:val="-2"/>
        </w:rPr>
        <w:t>万份调整为</w:t>
      </w:r>
      <w:r>
        <w:rPr>
          <w:rFonts w:ascii="宋体" w:hAnsi="宋体" w:cs="宋体" w:eastAsia="宋体" w:hint="default"/>
          <w:spacing w:val="-2"/>
        </w:rPr>
        <w:t>562.5</w:t>
      </w:r>
      <w:r>
        <w:rPr>
          <w:spacing w:val="-2"/>
        </w:rPr>
        <w:t>万份，股票期权的行权价格由</w:t>
      </w:r>
      <w:r>
        <w:rPr>
          <w:spacing w:val="-58"/>
        </w:rPr>
        <w:t> </w:t>
      </w:r>
      <w:r>
        <w:rPr>
          <w:spacing w:val="-58"/>
        </w:rPr>
      </w:r>
      <w:r>
        <w:rPr>
          <w:rFonts w:ascii="宋体" w:hAnsi="宋体" w:cs="宋体" w:eastAsia="宋体" w:hint="default"/>
          <w:spacing w:val="-2"/>
        </w:rPr>
        <w:t>12.37</w:t>
      </w:r>
      <w:r>
        <w:rPr>
          <w:spacing w:val="-2"/>
        </w:rPr>
        <w:t>元</w:t>
      </w:r>
      <w:r>
        <w:rPr>
          <w:rFonts w:ascii="宋体" w:hAnsi="宋体" w:cs="宋体" w:eastAsia="宋体" w:hint="default"/>
          <w:spacing w:val="-2"/>
        </w:rPr>
        <w:t>/</w:t>
      </w:r>
      <w:r>
        <w:rPr>
          <w:spacing w:val="-2"/>
        </w:rPr>
        <w:t>股调整为</w:t>
      </w:r>
      <w:r>
        <w:rPr>
          <w:rFonts w:ascii="宋体" w:hAnsi="宋体" w:cs="宋体" w:eastAsia="宋体" w:hint="default"/>
          <w:spacing w:val="-2"/>
        </w:rPr>
        <w:t>8.25</w:t>
      </w:r>
      <w:r>
        <w:rPr>
          <w:spacing w:val="-2"/>
        </w:rPr>
        <w:t>元</w:t>
      </w:r>
      <w:r>
        <w:rPr>
          <w:rFonts w:ascii="宋体" w:hAnsi="宋体" w:cs="宋体" w:eastAsia="宋体" w:hint="default"/>
          <w:spacing w:val="-2"/>
        </w:rPr>
        <w:t>/</w:t>
      </w:r>
      <w:r>
        <w:rPr>
          <w:spacing w:val="-2"/>
        </w:rPr>
        <w:t>股；限制性股票授予数量由</w:t>
      </w:r>
      <w:r>
        <w:rPr>
          <w:rFonts w:ascii="宋体" w:hAnsi="宋体" w:cs="宋体" w:eastAsia="宋体" w:hint="default"/>
          <w:spacing w:val="-2"/>
        </w:rPr>
        <w:t>224</w:t>
      </w:r>
      <w:r>
        <w:rPr>
          <w:spacing w:val="-2"/>
        </w:rPr>
        <w:t>万股调整为</w:t>
      </w:r>
      <w:r>
        <w:rPr>
          <w:rFonts w:ascii="宋体" w:hAnsi="宋体" w:cs="宋体" w:eastAsia="宋体" w:hint="default"/>
          <w:spacing w:val="-2"/>
        </w:rPr>
        <w:t>336</w:t>
      </w:r>
      <w:r>
        <w:rPr>
          <w:spacing w:val="-2"/>
        </w:rPr>
        <w:t>万股，限制性股票回购价格调整为</w:t>
      </w:r>
      <w:r>
        <w:rPr>
          <w:rFonts w:ascii="宋体" w:hAnsi="宋体" w:cs="宋体" w:eastAsia="宋体" w:hint="default"/>
          <w:spacing w:val="-2"/>
        </w:rPr>
        <w:t>5.13</w:t>
      </w:r>
      <w:r>
        <w:rPr>
          <w:spacing w:val="-2"/>
        </w:rPr>
        <w:t>元</w:t>
      </w:r>
      <w:r>
        <w:rPr>
          <w:rFonts w:ascii="宋体" w:hAnsi="宋体" w:cs="宋体" w:eastAsia="宋体" w:hint="default"/>
          <w:spacing w:val="-2"/>
        </w:rPr>
        <w:t>/</w:t>
      </w:r>
      <w:r>
        <w:rPr>
          <w:spacing w:val="-2"/>
        </w:rPr>
        <w:t>股。由于</w:t>
      </w:r>
      <w:r>
        <w:rPr>
          <w:spacing w:val="-44"/>
        </w:rPr>
        <w:t> </w:t>
      </w:r>
      <w:r>
        <w:rPr>
          <w:spacing w:val="-44"/>
        </w:rPr>
      </w:r>
      <w:r>
        <w:rPr/>
        <w:t>公司原激励对象叶泉青等</w:t>
      </w:r>
      <w:r>
        <w:rPr>
          <w:rFonts w:ascii="宋体" w:hAnsi="宋体" w:cs="宋体" w:eastAsia="宋体" w:hint="default"/>
        </w:rPr>
        <w:t>9</w:t>
      </w:r>
      <w:r>
        <w:rPr/>
        <w:t>人因离职、不在公司担任职务等原因已不符合激励条件，公司董事会同意回购注销其已获授但尚 </w:t>
      </w:r>
      <w:r>
        <w:rPr>
          <w:spacing w:val="-2"/>
        </w:rPr>
        <w:t>未解锁的全部限制性股票</w:t>
      </w:r>
      <w:r>
        <w:rPr>
          <w:rFonts w:ascii="宋体" w:hAnsi="宋体" w:cs="宋体" w:eastAsia="宋体" w:hint="default"/>
          <w:spacing w:val="-2"/>
        </w:rPr>
        <w:t>645,000</w:t>
      </w:r>
      <w:r>
        <w:rPr>
          <w:spacing w:val="-2"/>
        </w:rPr>
        <w:t>股，注销的股票期权</w:t>
      </w:r>
      <w:r>
        <w:rPr>
          <w:rFonts w:ascii="宋体" w:hAnsi="宋体" w:cs="宋体" w:eastAsia="宋体" w:hint="default"/>
          <w:spacing w:val="-2"/>
        </w:rPr>
        <w:t>2,850,000</w:t>
      </w:r>
      <w:r>
        <w:rPr>
          <w:spacing w:val="-2"/>
        </w:rPr>
        <w:t>份。鉴于公司</w:t>
      </w:r>
      <w:r>
        <w:rPr>
          <w:rFonts w:ascii="宋体" w:hAnsi="宋体" w:cs="宋体" w:eastAsia="宋体" w:hint="default"/>
          <w:spacing w:val="-2"/>
        </w:rPr>
        <w:t>2017</w:t>
      </w:r>
      <w:r>
        <w:rPr>
          <w:spacing w:val="-2"/>
        </w:rPr>
        <w:t>年度业绩未达到解锁及行权条件，董事会</w:t>
      </w:r>
      <w:r>
        <w:rPr>
          <w:spacing w:val="-47"/>
        </w:rPr>
        <w:t> </w:t>
      </w:r>
      <w:r>
        <w:rPr>
          <w:spacing w:val="-47"/>
        </w:rPr>
      </w:r>
      <w:r>
        <w:rPr>
          <w:spacing w:val="-2"/>
        </w:rPr>
        <w:t>同意对激励对象回购注销其部分已获授但尚未解锁的限制性股票</w:t>
      </w:r>
      <w:r>
        <w:rPr>
          <w:rFonts w:ascii="宋体" w:hAnsi="宋体" w:cs="宋体" w:eastAsia="宋体" w:hint="default"/>
          <w:spacing w:val="-2"/>
        </w:rPr>
        <w:t>362,000</w:t>
      </w:r>
      <w:r>
        <w:rPr>
          <w:spacing w:val="-2"/>
        </w:rPr>
        <w:t>股，注销部分已获授但尚未行权的股票期权</w:t>
      </w:r>
      <w:r>
        <w:rPr>
          <w:rFonts w:ascii="宋体" w:hAnsi="宋体" w:cs="宋体" w:eastAsia="宋体" w:hint="default"/>
          <w:spacing w:val="-2"/>
        </w:rPr>
        <w:t>370,000</w:t>
      </w:r>
      <w:r>
        <w:rPr>
          <w:rFonts w:ascii="宋体" w:hAnsi="宋体" w:cs="宋体" w:eastAsia="宋体" w:hint="default"/>
          <w:spacing w:val="-50"/>
        </w:rPr>
        <w:t> </w:t>
      </w:r>
      <w:r>
        <w:rPr>
          <w:spacing w:val="-1"/>
        </w:rPr>
        <w:t>份。共计回购注销限制性股票</w:t>
      </w:r>
      <w:r>
        <w:rPr>
          <w:rFonts w:ascii="宋体" w:hAnsi="宋体" w:cs="宋体" w:eastAsia="宋体" w:hint="default"/>
          <w:spacing w:val="-1"/>
        </w:rPr>
        <w:t>1,188,000</w:t>
      </w:r>
      <w:r>
        <w:rPr>
          <w:spacing w:val="-1"/>
        </w:rPr>
        <w:t>股，并注销股票期权</w:t>
      </w:r>
      <w:r>
        <w:rPr>
          <w:rFonts w:ascii="宋体" w:hAnsi="宋体" w:cs="宋体" w:eastAsia="宋体" w:hint="default"/>
          <w:spacing w:val="-1"/>
        </w:rPr>
        <w:t>3,405,000</w:t>
      </w:r>
      <w:r>
        <w:rPr>
          <w:spacing w:val="-1"/>
        </w:rPr>
        <w:t>份。</w:t>
      </w:r>
      <w:r>
        <w:rPr>
          <w:spacing w:val="-19"/>
        </w:rPr>
        <w:t> </w:t>
      </w:r>
      <w:r>
        <w:rPr>
          <w:spacing w:val="-1"/>
        </w:rPr>
        <w:t>具体详见公司</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26</w:t>
      </w:r>
      <w:r>
        <w:rPr>
          <w:spacing w:val="-1"/>
        </w:rPr>
        <w:t>日披露的《厦门安妮</w:t>
      </w:r>
      <w:r>
        <w:rPr/>
        <w:t> 股份有限公司关于调整</w:t>
      </w:r>
      <w:r>
        <w:rPr>
          <w:rFonts w:ascii="宋体" w:hAnsi="宋体" w:cs="宋体" w:eastAsia="宋体" w:hint="default"/>
        </w:rPr>
        <w:t>2017</w:t>
      </w:r>
      <w:r>
        <w:rPr/>
        <w:t>年股权激励计划股票期权数量及行权价格、限制性股票数量及回购价格的公告》（公告编号：</w:t>
      </w:r>
    </w:p>
    <w:p>
      <w:pPr>
        <w:spacing w:after="0" w:line="408" w:lineRule="auto"/>
        <w:jc w:val="both"/>
        <w:sectPr>
          <w:pgSz w:w="11910" w:h="16840"/>
          <w:pgMar w:header="877" w:footer="979" w:top="1100" w:bottom="1160" w:left="980" w:right="0"/>
        </w:sectPr>
      </w:pPr>
    </w:p>
    <w:p>
      <w:pPr>
        <w:spacing w:line="240" w:lineRule="auto" w:before="7"/>
        <w:rPr>
          <w:rFonts w:ascii="宋体" w:hAnsi="宋体" w:cs="宋体" w:eastAsia="宋体" w:hint="default"/>
          <w:sz w:val="29"/>
          <w:szCs w:val="29"/>
        </w:rPr>
      </w:pPr>
    </w:p>
    <w:p>
      <w:pPr>
        <w:pStyle w:val="BodyText"/>
        <w:spacing w:line="240" w:lineRule="auto" w:before="44"/>
        <w:ind w:right="817"/>
        <w:jc w:val="left"/>
      </w:pPr>
      <w:r>
        <w:rPr>
          <w:rFonts w:ascii="宋体" w:hAnsi="宋体" w:cs="宋体" w:eastAsia="宋体" w:hint="default"/>
        </w:rPr>
        <w:t>2018-062 </w:t>
      </w:r>
      <w:r>
        <w:rPr/>
        <w:t>）及《关于回购注销部分限制性股票及部分股票期权的公告》（公告编号：</w:t>
      </w:r>
      <w:r>
        <w:rPr>
          <w:rFonts w:ascii="宋体" w:hAnsi="宋体" w:cs="宋体" w:eastAsia="宋体" w:hint="default"/>
        </w:rPr>
        <w:t>2018-063</w:t>
      </w:r>
      <w:r>
        <w:rPr/>
        <w:t>）</w:t>
      </w:r>
    </w:p>
    <w:p>
      <w:pPr>
        <w:spacing w:line="240" w:lineRule="auto" w:before="7"/>
        <w:rPr>
          <w:rFonts w:ascii="宋体" w:hAnsi="宋体" w:cs="宋体" w:eastAsia="宋体" w:hint="default"/>
          <w:sz w:val="12"/>
          <w:szCs w:val="12"/>
        </w:rPr>
      </w:pPr>
    </w:p>
    <w:p>
      <w:pPr>
        <w:pStyle w:val="BodyText"/>
        <w:spacing w:line="240" w:lineRule="auto"/>
        <w:ind w:left="501" w:right="817"/>
        <w:jc w:val="left"/>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13</w:t>
      </w:r>
      <w:r>
        <w:rPr/>
        <w:t>日</w:t>
      </w:r>
      <w:r>
        <w:rPr>
          <w:spacing w:val="-83"/>
        </w:rPr>
        <w:t>，</w:t>
      </w:r>
      <w:r>
        <w:rPr/>
        <w:t>公司</w:t>
      </w:r>
      <w:r>
        <w:rPr>
          <w:rFonts w:ascii="宋体" w:hAnsi="宋体" w:cs="宋体" w:eastAsia="宋体" w:hint="default"/>
        </w:rPr>
        <w:t>2018</w:t>
      </w:r>
      <w:r>
        <w:rPr/>
        <w:t>年度第二次临时股东大会审议通过</w:t>
      </w:r>
      <w:r>
        <w:rPr>
          <w:spacing w:val="-83"/>
        </w:rPr>
        <w:t>了</w:t>
      </w:r>
      <w:r>
        <w:rPr/>
        <w:t>《关于回购注销部分限制性股票及部分股票期权的议案</w:t>
      </w:r>
      <w:r>
        <w:rPr>
          <w:spacing w:val="-83"/>
        </w:rPr>
        <w:t>》。</w:t>
      </w:r>
      <w:r>
        <w:rPr/>
      </w:r>
    </w:p>
    <w:p>
      <w:pPr>
        <w:spacing w:line="240" w:lineRule="auto" w:before="8"/>
        <w:rPr>
          <w:rFonts w:ascii="宋体" w:hAnsi="宋体" w:cs="宋体" w:eastAsia="宋体" w:hint="default"/>
          <w:sz w:val="12"/>
          <w:szCs w:val="12"/>
        </w:rPr>
      </w:pPr>
    </w:p>
    <w:p>
      <w:pPr>
        <w:pStyle w:val="BodyText"/>
        <w:spacing w:line="408" w:lineRule="auto"/>
        <w:ind w:right="1132" w:firstLine="348"/>
        <w:jc w:val="both"/>
      </w:pP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4</w:t>
      </w:r>
      <w:r>
        <w:rPr>
          <w:spacing w:val="-2"/>
        </w:rPr>
        <w:t>日，公司完成回购注销限制性股票</w:t>
      </w:r>
      <w:r>
        <w:rPr>
          <w:rFonts w:ascii="宋体" w:hAnsi="宋体" w:cs="宋体" w:eastAsia="宋体" w:hint="default"/>
          <w:spacing w:val="-2"/>
        </w:rPr>
        <w:t>1,188,000</w:t>
      </w:r>
      <w:r>
        <w:rPr>
          <w:spacing w:val="-2"/>
        </w:rPr>
        <w:t>股，注销股票期权</w:t>
      </w:r>
      <w:r>
        <w:rPr>
          <w:rFonts w:ascii="宋体" w:hAnsi="宋体" w:cs="宋体" w:eastAsia="宋体" w:hint="default"/>
          <w:spacing w:val="-2"/>
        </w:rPr>
        <w:t>3,405,000</w:t>
      </w:r>
      <w:r>
        <w:rPr>
          <w:spacing w:val="-2"/>
        </w:rPr>
        <w:t>份。回购注销完成后，激励计划的</w:t>
      </w:r>
      <w:r>
        <w:rPr/>
        <w:t> 激励对象总人数将调整为</w:t>
      </w:r>
      <w:r>
        <w:rPr>
          <w:rFonts w:ascii="宋体" w:hAnsi="宋体" w:cs="宋体" w:eastAsia="宋体" w:hint="default"/>
        </w:rPr>
        <w:t>10</w:t>
      </w:r>
      <w:r>
        <w:rPr/>
        <w:t>名，已授予未解锁的限制性股票数量调整为</w:t>
      </w:r>
      <w:r>
        <w:rPr>
          <w:rFonts w:ascii="宋体" w:hAnsi="宋体" w:cs="宋体" w:eastAsia="宋体" w:hint="default"/>
        </w:rPr>
        <w:t>2,172,000</w:t>
      </w:r>
      <w:r>
        <w:rPr/>
        <w:t>股，已授予未行权的股票期权数量调整为 </w:t>
      </w:r>
      <w:r>
        <w:rPr>
          <w:rFonts w:ascii="宋体" w:hAnsi="宋体" w:cs="宋体" w:eastAsia="宋体" w:hint="default"/>
        </w:rPr>
        <w:t>2,220,000</w:t>
      </w:r>
      <w:r>
        <w:rPr/>
        <w:t>份。</w:t>
      </w:r>
    </w:p>
    <w:p>
      <w:pPr>
        <w:spacing w:after="0" w:line="408" w:lineRule="auto"/>
        <w:jc w:val="both"/>
        <w:sectPr>
          <w:pgSz w:w="11910" w:h="16840"/>
          <w:pgMar w:header="877" w:footer="979" w:top="1100" w:bottom="1160" w:left="980" w:right="0"/>
        </w:sectPr>
      </w:pPr>
    </w:p>
    <w:p>
      <w:pPr>
        <w:pStyle w:val="Heading2"/>
        <w:spacing w:line="240" w:lineRule="auto" w:before="30"/>
        <w:ind w:left="140" w:right="10658"/>
        <w:jc w:val="left"/>
        <w:rPr>
          <w:b w:val="0"/>
          <w:bCs w:val="0"/>
        </w:rPr>
      </w:pPr>
      <w:r>
        <w:rPr/>
        <w:pict>
          <v:group style="position:absolute;margin-left:70.5pt;margin-top:2.255627pt;width:701pt;height:.1pt;mso-position-horizontal-relative:page;mso-position-vertical-relative:paragraph;z-index:-898456"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十六、重大关联交易" w:id="104"/>
      <w:bookmarkEnd w:id="104"/>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10658"/>
        <w:jc w:val="left"/>
        <w:rPr>
          <w:b w:val="0"/>
          <w:bCs w:val="0"/>
        </w:rPr>
      </w:pPr>
      <w:bookmarkStart w:name="1、与日常经营相关的关联交易" w:id="105"/>
      <w:bookmarkEnd w:id="105"/>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10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994"/>
        <w:gridCol w:w="850"/>
        <w:gridCol w:w="709"/>
        <w:gridCol w:w="850"/>
        <w:gridCol w:w="851"/>
        <w:gridCol w:w="851"/>
        <w:gridCol w:w="992"/>
        <w:gridCol w:w="850"/>
        <w:gridCol w:w="993"/>
        <w:gridCol w:w="709"/>
        <w:gridCol w:w="992"/>
        <w:gridCol w:w="851"/>
        <w:gridCol w:w="991"/>
        <w:gridCol w:w="2411"/>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38" w:firstLine="18"/>
              <w:jc w:val="left"/>
              <w:rPr>
                <w:rFonts w:ascii="宋体" w:hAnsi="宋体" w:cs="宋体" w:eastAsia="宋体" w:hint="default"/>
                <w:sz w:val="18"/>
                <w:szCs w:val="18"/>
              </w:rPr>
            </w:pPr>
            <w:r>
              <w:rPr>
                <w:rFonts w:ascii="宋体" w:hAnsi="宋体" w:cs="宋体" w:eastAsia="宋体" w:hint="default"/>
                <w:sz w:val="18"/>
                <w:szCs w:val="18"/>
              </w:rPr>
              <w:t>获批的交易 </w:t>
            </w:r>
            <w:r>
              <w:rPr>
                <w:rFonts w:ascii="宋体" w:hAnsi="宋体" w:cs="宋体" w:eastAsia="宋体" w:hint="default"/>
                <w:spacing w:val="-11"/>
                <w:sz w:val="18"/>
                <w:szCs w:val="18"/>
              </w:rPr>
              <w:t>额度（万元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4"/>
              <w:ind w:left="79" w:right="78"/>
              <w:jc w:val="left"/>
              <w:rPr>
                <w:rFonts w:ascii="宋体" w:hAnsi="宋体" w:cs="宋体" w:eastAsia="宋体" w:hint="default"/>
                <w:sz w:val="18"/>
                <w:szCs w:val="18"/>
              </w:rPr>
            </w:pPr>
            <w:r>
              <w:rPr>
                <w:rFonts w:ascii="宋体" w:hAnsi="宋体" w:cs="宋体" w:eastAsia="宋体" w:hint="default"/>
                <w:sz w:val="18"/>
                <w:szCs w:val="18"/>
              </w:rPr>
              <w:t>是否超 过获批</w:t>
            </w:r>
          </w:p>
          <w:p>
            <w:pPr>
              <w:pStyle w:val="TableParagraph"/>
              <w:spacing w:line="8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9" w:right="0"/>
              <w:jc w:val="left"/>
              <w:rPr>
                <w:rFonts w:ascii="宋体" w:hAnsi="宋体" w:cs="宋体" w:eastAsia="宋体" w:hint="default"/>
                <w:sz w:val="18"/>
                <w:szCs w:val="18"/>
              </w:rPr>
            </w:pPr>
            <w:r>
              <w:rPr>
                <w:rFonts w:ascii="宋体" w:hAnsi="宋体" w:cs="宋体" w:eastAsia="宋体" w:hint="default"/>
                <w:sz w:val="18"/>
                <w:szCs w:val="18"/>
              </w:rPr>
              <w:t>额度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厦门市虹约 产品设计有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公司持股</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预付代 理销售 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代理销售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市场原则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分期付款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巨潮资讯网《厦门安妮股份有 限公司关于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 </w:t>
            </w:r>
            <w:r>
              <w:rPr>
                <w:rFonts w:ascii="宋体" w:hAnsi="宋体" w:cs="宋体" w:eastAsia="宋体" w:hint="default"/>
                <w:spacing w:val="-7"/>
                <w:sz w:val="18"/>
                <w:szCs w:val="18"/>
              </w:rPr>
              <w:t>联交易预计的公告》（公告编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2018-073</w:t>
            </w:r>
            <w:r>
              <w:rPr>
                <w:rFonts w:ascii="宋体" w:hAnsi="宋体" w:cs="宋体" w:eastAsia="宋体" w:hint="default"/>
                <w:sz w:val="18"/>
                <w:szCs w:val="18"/>
              </w:rPr>
              <w:t>）</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庆云剧派网 络科技有限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公司持股</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采购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市场原则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分期付款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巨潮资讯网《厦门安妮股份有 限公司关于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 </w:t>
            </w:r>
            <w:r>
              <w:rPr>
                <w:rFonts w:ascii="宋体" w:hAnsi="宋体" w:cs="宋体" w:eastAsia="宋体" w:hint="default"/>
                <w:spacing w:val="-7"/>
                <w:sz w:val="18"/>
                <w:szCs w:val="18"/>
              </w:rPr>
              <w:t>联交易预计的公告》（公告编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2018-042</w:t>
            </w:r>
            <w:r>
              <w:rPr>
                <w:rFonts w:ascii="宋体" w:hAnsi="宋体" w:cs="宋体" w:eastAsia="宋体" w:hint="default"/>
                <w:sz w:val="18"/>
                <w:szCs w:val="18"/>
              </w:rPr>
              <w:t>）</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59"/>
              <w:jc w:val="both"/>
              <w:rPr>
                <w:rFonts w:ascii="宋体" w:hAnsi="宋体" w:cs="宋体" w:eastAsia="宋体" w:hint="default"/>
                <w:sz w:val="18"/>
                <w:szCs w:val="18"/>
              </w:rPr>
            </w:pPr>
            <w:r>
              <w:rPr>
                <w:rFonts w:ascii="宋体" w:hAnsi="宋体" w:cs="宋体" w:eastAsia="宋体" w:hint="default"/>
                <w:sz w:val="18"/>
                <w:szCs w:val="18"/>
              </w:rPr>
              <w:t>计易数据科 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公司持股</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33.76%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4"/>
              <w:jc w:val="left"/>
              <w:rPr>
                <w:rFonts w:ascii="宋体" w:hAnsi="宋体" w:cs="宋体" w:eastAsia="宋体" w:hint="default"/>
                <w:sz w:val="18"/>
                <w:szCs w:val="18"/>
              </w:rPr>
            </w:pPr>
            <w:r>
              <w:rPr>
                <w:rFonts w:ascii="宋体" w:hAnsi="宋体" w:cs="宋体" w:eastAsia="宋体" w:hint="default"/>
                <w:sz w:val="18"/>
                <w:szCs w:val="18"/>
              </w:rPr>
              <w:t>销售服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版权服务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市场原则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分期付款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巨潮资讯网《厦门安妮股份有 限公司关于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 </w:t>
            </w:r>
            <w:r>
              <w:rPr>
                <w:rFonts w:ascii="宋体" w:hAnsi="宋体" w:cs="宋体" w:eastAsia="宋体" w:hint="default"/>
                <w:spacing w:val="-7"/>
                <w:sz w:val="18"/>
                <w:szCs w:val="18"/>
              </w:rPr>
              <w:t>联交易预计的公告》（公告编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2018-073</w:t>
            </w:r>
            <w:r>
              <w:rPr>
                <w:rFonts w:ascii="宋体" w:hAnsi="宋体" w:cs="宋体" w:eastAsia="宋体" w:hint="default"/>
                <w:sz w:val="18"/>
                <w:szCs w:val="18"/>
              </w:rPr>
              <w:t>）</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403.57</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59" w:right="0"/>
              <w:jc w:val="left"/>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049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 </w:t>
            </w:r>
            <w:r>
              <w:rPr>
                <w:rFonts w:ascii="宋体" w:hAnsi="宋体" w:cs="宋体" w:eastAsia="宋体" w:hint="default"/>
                <w:spacing w:val="-4"/>
                <w:sz w:val="18"/>
                <w:szCs w:val="18"/>
              </w:rPr>
              <w:t>总金额预计的，在报告期内的实际履行情况</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049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（如适用）</w:t>
            </w:r>
          </w:p>
        </w:tc>
        <w:tc>
          <w:tcPr>
            <w:tcW w:w="1049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headerReference w:type="default" r:id="rId24"/>
          <w:footerReference w:type="default" r:id="rId25"/>
          <w:pgSz w:w="16840" w:h="11910" w:orient="landscape"/>
          <w:pgMar w:header="867" w:footer="979" w:top="1060" w:bottom="1160" w:left="1300" w:right="1300"/>
          <w:pgNumType w:start="46"/>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218"/>
        <w:jc w:val="left"/>
        <w:rPr>
          <w:b w:val="0"/>
          <w:bCs w:val="0"/>
        </w:rPr>
      </w:pPr>
      <w:bookmarkStart w:name="2、资产或股权收购、出售发生的关联交易" w:id="106"/>
      <w:bookmarkEnd w:id="106"/>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0" w:right="9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left="140" w:right="10658"/>
        <w:jc w:val="left"/>
        <w:rPr>
          <w:b w:val="0"/>
          <w:bCs w:val="0"/>
        </w:rPr>
      </w:pPr>
      <w:bookmarkStart w:name="3、共同对外投资的关联交易" w:id="107"/>
      <w:bookmarkEnd w:id="107"/>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40" w:right="104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left="140" w:right="10658"/>
        <w:jc w:val="left"/>
        <w:rPr>
          <w:b w:val="0"/>
          <w:bCs w:val="0"/>
        </w:rPr>
      </w:pPr>
      <w:bookmarkStart w:name="4、关联债权债务往来" w:id="108"/>
      <w:bookmarkEnd w:id="108"/>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0" w:right="110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left="140" w:right="10658"/>
        <w:jc w:val="left"/>
        <w:rPr>
          <w:b w:val="0"/>
          <w:bCs w:val="0"/>
        </w:rPr>
      </w:pPr>
      <w:bookmarkStart w:name="5、其他重大关联交易" w:id="109"/>
      <w:bookmarkEnd w:id="109"/>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40" w:right="11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left="140" w:right="10658"/>
        <w:jc w:val="left"/>
        <w:rPr>
          <w:b w:val="0"/>
          <w:bCs w:val="0"/>
        </w:rPr>
      </w:pPr>
      <w:bookmarkStart w:name="十七、重大合同及其履行情况" w:id="110"/>
      <w:bookmarkEnd w:id="110"/>
      <w:r>
        <w:rPr>
          <w:b w:val="0"/>
          <w:bCs w:val="0"/>
        </w:rPr>
      </w: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40" w:right="10658"/>
        <w:jc w:val="left"/>
        <w:rPr>
          <w:b w:val="0"/>
          <w:bCs w:val="0"/>
        </w:rPr>
      </w:pPr>
      <w:bookmarkStart w:name="1、托管、承包、租赁事项情况" w:id="111"/>
      <w:bookmarkEnd w:id="111"/>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0658"/>
        <w:jc w:val="left"/>
        <w:rPr>
          <w:b w:val="0"/>
          <w:bCs w:val="0"/>
        </w:rPr>
      </w:pPr>
      <w:bookmarkStart w:name="（1）托管情况" w:id="112"/>
      <w:bookmarkEnd w:id="112"/>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0" w:right="11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10658"/>
        <w:jc w:val="left"/>
        <w:rPr>
          <w:b w:val="0"/>
          <w:bCs w:val="0"/>
        </w:rPr>
      </w:pPr>
      <w:bookmarkStart w:name="（2）承包情况" w:id="113"/>
      <w:bookmarkEnd w:id="113"/>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0" w:right="11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left="140" w:right="10658"/>
        <w:jc w:val="left"/>
        <w:rPr>
          <w:b w:val="0"/>
          <w:bCs w:val="0"/>
        </w:rPr>
      </w:pPr>
      <w:bookmarkStart w:name="（3）租赁情况" w:id="114"/>
      <w:bookmarkEnd w:id="114"/>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40" w:right="11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left="140" w:right="10658"/>
        <w:jc w:val="left"/>
        <w:rPr>
          <w:b w:val="0"/>
          <w:bCs w:val="0"/>
        </w:rPr>
      </w:pPr>
      <w:bookmarkStart w:name="2、重大担保" w:id="115"/>
      <w:bookmarkEnd w:id="115"/>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10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40" w:right="10658"/>
        <w:jc w:val="left"/>
        <w:rPr>
          <w:b w:val="0"/>
          <w:bCs w:val="0"/>
        </w:rPr>
      </w:pPr>
      <w:bookmarkStart w:name="（1）担保情况" w:id="116"/>
      <w:bookmarkEnd w:id="116"/>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35"/>
        <w:jc w:val="right"/>
      </w:pPr>
      <w:r>
        <w:rPr/>
        <w:t>单位：万元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694"/>
        <w:gridCol w:w="2410"/>
        <w:gridCol w:w="1134"/>
        <w:gridCol w:w="1842"/>
        <w:gridCol w:w="1277"/>
        <w:gridCol w:w="1276"/>
        <w:gridCol w:w="1134"/>
        <w:gridCol w:w="1276"/>
        <w:gridCol w:w="851"/>
      </w:tblGrid>
      <w:tr>
        <w:trPr>
          <w:trHeight w:val="402" w:hRule="exact"/>
        </w:trPr>
        <w:tc>
          <w:tcPr>
            <w:tcW w:w="1389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担保额度相关公告披露日期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5"/>
              <w:jc w:val="right"/>
              <w:rPr>
                <w:rFonts w:ascii="宋体" w:hAnsi="宋体" w:cs="宋体" w:eastAsia="宋体" w:hint="default"/>
                <w:sz w:val="18"/>
                <w:szCs w:val="18"/>
              </w:rPr>
            </w:pPr>
            <w:r>
              <w:rPr>
                <w:rFonts w:ascii="宋体" w:hAnsi="宋体" w:cs="宋体" w:eastAsia="宋体" w:hint="default"/>
                <w:sz w:val="18"/>
                <w:szCs w:val="18"/>
              </w:rPr>
              <w:t>实际发生日期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担保期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hAnsi="宋体" w:cs="宋体" w:eastAsia="宋体" w:hint="default"/>
                <w:sz w:val="18"/>
                <w:szCs w:val="18"/>
              </w:rPr>
              <w:t>是否履行完毕</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389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担保额度相关公告披露日期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5"/>
              <w:jc w:val="right"/>
              <w:rPr>
                <w:rFonts w:ascii="宋体" w:hAnsi="宋体" w:cs="宋体" w:eastAsia="宋体" w:hint="default"/>
                <w:sz w:val="18"/>
                <w:szCs w:val="18"/>
              </w:rPr>
            </w:pPr>
            <w:r>
              <w:rPr>
                <w:rFonts w:ascii="宋体" w:hAnsi="宋体" w:cs="宋体" w:eastAsia="宋体" w:hint="default"/>
                <w:sz w:val="18"/>
                <w:szCs w:val="18"/>
              </w:rPr>
              <w:t>实际发生日期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担保期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hAnsi="宋体" w:cs="宋体" w:eastAsia="宋体" w:hint="default"/>
                <w:sz w:val="18"/>
                <w:szCs w:val="18"/>
              </w:rPr>
              <w:t>是否履行完毕</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厦门安妮企业有限公司、厦门安妮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商务信息用纸有限公司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83"/>
        <w:gridCol w:w="2410"/>
        <w:gridCol w:w="1134"/>
        <w:gridCol w:w="1843"/>
        <w:gridCol w:w="1277"/>
        <w:gridCol w:w="1272"/>
        <w:gridCol w:w="1138"/>
        <w:gridCol w:w="1282"/>
        <w:gridCol w:w="845"/>
      </w:tblGrid>
      <w:tr>
        <w:trPr>
          <w:trHeight w:val="1353" w:hRule="exact"/>
        </w:trPr>
        <w:tc>
          <w:tcPr>
            <w:tcW w:w="2683"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11" w:right="-39"/>
              <w:jc w:val="left"/>
              <w:rPr>
                <w:rFonts w:ascii="宋体" w:hAnsi="宋体" w:cs="宋体" w:eastAsia="宋体" w:hint="default"/>
                <w:sz w:val="18"/>
                <w:szCs w:val="18"/>
              </w:rPr>
            </w:pPr>
            <w:r>
              <w:rPr>
                <w:rFonts w:ascii="宋体" w:hAnsi="宋体" w:cs="宋体" w:eastAsia="宋体" w:hint="default"/>
                <w:sz w:val="18"/>
                <w:szCs w:val="18"/>
              </w:rPr>
              <w:t>厦门安妮商务信息用纸有限公司、 </w:t>
            </w:r>
            <w:r>
              <w:rPr>
                <w:rFonts w:ascii="宋体" w:hAnsi="宋体" w:cs="宋体" w:eastAsia="宋体" w:hint="default"/>
                <w:spacing w:val="-5"/>
                <w:sz w:val="18"/>
                <w:szCs w:val="18"/>
              </w:rPr>
              <w:t>厦门安妮企业有限公司、上海超级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标贴系统有限公司、北京畅元国讯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科技有限公司</w:t>
            </w:r>
          </w:p>
        </w:tc>
        <w:tc>
          <w:tcPr>
            <w:tcW w:w="2410" w:type="dxa"/>
            <w:tcBorders>
              <w:top w:val="single" w:sz="15" w:space="0" w:color="000000"/>
              <w:left w:val="single" w:sz="4" w:space="0" w:color="000000"/>
              <w:bottom w:val="single" w:sz="4" w:space="0" w:color="000000"/>
              <w:right w:val="single" w:sz="4" w:space="0" w:color="000000"/>
            </w:tcBorders>
          </w:tcPr>
          <w:p>
            <w:pPr>
              <w:pStyle w:val="TableParagraph"/>
              <w:spacing w:line="468" w:lineRule="exact"/>
              <w:ind w:right="-49"/>
              <w:jc w:val="left"/>
              <w:rPr>
                <w:rFonts w:ascii="宋体" w:hAnsi="宋体" w:cs="宋体" w:eastAsia="宋体" w:hint="default"/>
                <w:sz w:val="20"/>
                <w:szCs w:val="20"/>
              </w:rPr>
            </w:pPr>
            <w:r>
              <w:rPr>
                <w:rFonts w:ascii="宋体" w:hAnsi="宋体" w:cs="宋体" w:eastAsia="宋体" w:hint="default"/>
                <w:position w:val="-8"/>
                <w:sz w:val="20"/>
                <w:szCs w:val="20"/>
              </w:rPr>
              <w:pict>
                <v:group style="width:119.95pt;height:23.4pt;mso-position-horizontal-relative:char;mso-position-vertical-relative:line" coordorigin="0,0" coordsize="2399,468">
                  <v:group style="position:absolute;left:0;top:0;width:2399;height:468" coordorigin="0,0" coordsize="2399,468">
                    <v:shape style="position:absolute;left:0;top:0;width:2399;height:468" coordorigin="0,0" coordsize="2399,468" path="m0,468l2399,468,2399,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14,000</w:t>
            </w:r>
          </w:p>
        </w:tc>
        <w:tc>
          <w:tcPr>
            <w:tcW w:w="18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9" w:right="0"/>
              <w:jc w:val="left"/>
              <w:rPr>
                <w:rFonts w:ascii="Times New Roman" w:hAnsi="Times New Roman" w:cs="Times New Roman" w:eastAsia="Times New Roman" w:hint="default"/>
                <w:sz w:val="18"/>
                <w:szCs w:val="18"/>
              </w:rPr>
            </w:pPr>
            <w:r>
              <w:rPr>
                <w:rFonts w:ascii="Times New Roman"/>
                <w:sz w:val="18"/>
              </w:rPr>
              <w:t>5,423</w:t>
            </w:r>
          </w:p>
        </w:tc>
        <w:tc>
          <w:tcPr>
            <w:tcW w:w="12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4"/>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50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2"/>
            <w:vMerge w:val="restart"/>
            <w:tcBorders>
              <w:top w:val="single" w:sz="4" w:space="0" w:color="000000"/>
              <w:left w:val="single" w:sz="9" w:space="0" w:color="D2D2D2"/>
              <w:right w:val="single" w:sz="13" w:space="0" w:color="D2D2D2"/>
            </w:tcBorders>
          </w:tcPr>
          <w:p>
            <w:pPr/>
          </w:p>
        </w:tc>
        <w:tc>
          <w:tcPr>
            <w:tcW w:w="25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3" w:right="174"/>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265" w:type="dxa"/>
            <w:gridSpan w:val="3"/>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w:t>
            </w:r>
          </w:p>
        </w:tc>
      </w:tr>
      <w:tr>
        <w:trPr>
          <w:trHeight w:val="392" w:hRule="exact"/>
        </w:trPr>
        <w:tc>
          <w:tcPr>
            <w:tcW w:w="509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977" w:type="dxa"/>
            <w:gridSpan w:val="2"/>
            <w:vMerge/>
            <w:tcBorders>
              <w:left w:val="single" w:sz="9" w:space="0" w:color="D2D2D2"/>
              <w:right w:val="single" w:sz="13" w:space="0" w:color="D2D2D2"/>
            </w:tcBorders>
          </w:tcPr>
          <w:p>
            <w:pPr/>
          </w:p>
        </w:tc>
        <w:tc>
          <w:tcPr>
            <w:tcW w:w="2548" w:type="dxa"/>
            <w:gridSpan w:val="2"/>
            <w:vMerge/>
            <w:tcBorders>
              <w:left w:val="single" w:sz="4" w:space="0" w:color="000000"/>
              <w:right w:val="single" w:sz="4" w:space="0" w:color="000000"/>
            </w:tcBorders>
            <w:shd w:val="clear" w:color="auto" w:fill="D2D2D2"/>
          </w:tcPr>
          <w:p>
            <w:pPr/>
          </w:p>
        </w:tc>
        <w:tc>
          <w:tcPr>
            <w:tcW w:w="3265" w:type="dxa"/>
            <w:gridSpan w:val="3"/>
            <w:vMerge/>
            <w:tcBorders>
              <w:left w:val="single" w:sz="13" w:space="0" w:color="D2D2D2"/>
              <w:right w:val="single" w:sz="4" w:space="0" w:color="000000"/>
            </w:tcBorders>
          </w:tcPr>
          <w:p>
            <w:pPr/>
          </w:p>
        </w:tc>
      </w:tr>
      <w:tr>
        <w:trPr>
          <w:trHeight w:val="161" w:hRule="exact"/>
        </w:trPr>
        <w:tc>
          <w:tcPr>
            <w:tcW w:w="50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977" w:type="dxa"/>
            <w:gridSpan w:val="2"/>
            <w:vMerge/>
            <w:tcBorders>
              <w:left w:val="single" w:sz="9" w:space="0" w:color="D2D2D2"/>
              <w:bottom w:val="single" w:sz="4" w:space="0" w:color="000000"/>
              <w:right w:val="single" w:sz="13" w:space="0" w:color="D2D2D2"/>
            </w:tcBorders>
          </w:tcPr>
          <w:p>
            <w:pPr/>
          </w:p>
        </w:tc>
        <w:tc>
          <w:tcPr>
            <w:tcW w:w="2548" w:type="dxa"/>
            <w:gridSpan w:val="2"/>
            <w:vMerge/>
            <w:tcBorders>
              <w:left w:val="single" w:sz="4" w:space="0" w:color="000000"/>
              <w:bottom w:val="single" w:sz="4" w:space="0" w:color="000000"/>
              <w:right w:val="single" w:sz="4" w:space="0" w:color="000000"/>
            </w:tcBorders>
            <w:shd w:val="clear" w:color="auto" w:fill="D2D2D2"/>
          </w:tcPr>
          <w:p>
            <w:pPr/>
          </w:p>
        </w:tc>
        <w:tc>
          <w:tcPr>
            <w:tcW w:w="3265" w:type="dxa"/>
            <w:gridSpan w:val="3"/>
            <w:vMerge/>
            <w:tcBorders>
              <w:left w:val="single" w:sz="13" w:space="0" w:color="D2D2D2"/>
              <w:bottom w:val="single" w:sz="4" w:space="0" w:color="000000"/>
              <w:right w:val="single" w:sz="4" w:space="0" w:color="000000"/>
            </w:tcBorders>
          </w:tcPr>
          <w:p>
            <w:pPr/>
          </w:p>
        </w:tc>
      </w:tr>
      <w:tr>
        <w:trPr>
          <w:trHeight w:val="161" w:hRule="exact"/>
        </w:trPr>
        <w:tc>
          <w:tcPr>
            <w:tcW w:w="50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2"/>
            <w:vMerge w:val="restart"/>
            <w:tcBorders>
              <w:top w:val="single" w:sz="4" w:space="0" w:color="000000"/>
              <w:left w:val="single" w:sz="9" w:space="0" w:color="D2D2D2"/>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35,000</w:t>
            </w:r>
          </w:p>
        </w:tc>
        <w:tc>
          <w:tcPr>
            <w:tcW w:w="25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3" w:right="174"/>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265" w:type="dxa"/>
            <w:gridSpan w:val="3"/>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10,689</w:t>
            </w:r>
          </w:p>
        </w:tc>
      </w:tr>
      <w:tr>
        <w:trPr>
          <w:trHeight w:val="392" w:hRule="exact"/>
        </w:trPr>
        <w:tc>
          <w:tcPr>
            <w:tcW w:w="509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977" w:type="dxa"/>
            <w:gridSpan w:val="2"/>
            <w:vMerge/>
            <w:tcBorders>
              <w:left w:val="single" w:sz="9" w:space="0" w:color="D2D2D2"/>
              <w:right w:val="single" w:sz="13" w:space="0" w:color="D2D2D2"/>
            </w:tcBorders>
          </w:tcPr>
          <w:p>
            <w:pPr/>
          </w:p>
        </w:tc>
        <w:tc>
          <w:tcPr>
            <w:tcW w:w="2548" w:type="dxa"/>
            <w:gridSpan w:val="2"/>
            <w:vMerge/>
            <w:tcBorders>
              <w:left w:val="single" w:sz="4" w:space="0" w:color="000000"/>
              <w:right w:val="single" w:sz="4" w:space="0" w:color="000000"/>
            </w:tcBorders>
            <w:shd w:val="clear" w:color="auto" w:fill="D2D2D2"/>
          </w:tcPr>
          <w:p>
            <w:pPr/>
          </w:p>
        </w:tc>
        <w:tc>
          <w:tcPr>
            <w:tcW w:w="3265" w:type="dxa"/>
            <w:gridSpan w:val="3"/>
            <w:vMerge/>
            <w:tcBorders>
              <w:left w:val="single" w:sz="13" w:space="0" w:color="D2D2D2"/>
              <w:right w:val="single" w:sz="4" w:space="0" w:color="000000"/>
            </w:tcBorders>
          </w:tcPr>
          <w:p>
            <w:pPr/>
          </w:p>
        </w:tc>
      </w:tr>
      <w:tr>
        <w:trPr>
          <w:trHeight w:val="166" w:hRule="exact"/>
        </w:trPr>
        <w:tc>
          <w:tcPr>
            <w:tcW w:w="50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977" w:type="dxa"/>
            <w:gridSpan w:val="2"/>
            <w:vMerge/>
            <w:tcBorders>
              <w:left w:val="single" w:sz="9" w:space="0" w:color="D2D2D2"/>
              <w:bottom w:val="single" w:sz="4" w:space="0" w:color="000000"/>
              <w:right w:val="single" w:sz="13" w:space="0" w:color="D2D2D2"/>
            </w:tcBorders>
          </w:tcPr>
          <w:p>
            <w:pPr/>
          </w:p>
        </w:tc>
        <w:tc>
          <w:tcPr>
            <w:tcW w:w="2548" w:type="dxa"/>
            <w:gridSpan w:val="2"/>
            <w:vMerge/>
            <w:tcBorders>
              <w:left w:val="single" w:sz="4" w:space="0" w:color="000000"/>
              <w:bottom w:val="single" w:sz="4" w:space="0" w:color="000000"/>
              <w:right w:val="single" w:sz="4" w:space="0" w:color="000000"/>
            </w:tcBorders>
            <w:shd w:val="clear" w:color="auto" w:fill="D2D2D2"/>
          </w:tcPr>
          <w:p>
            <w:pPr/>
          </w:p>
        </w:tc>
        <w:tc>
          <w:tcPr>
            <w:tcW w:w="3265" w:type="dxa"/>
            <w:gridSpan w:val="3"/>
            <w:vMerge/>
            <w:tcBorders>
              <w:left w:val="single" w:sz="13" w:space="0" w:color="D2D2D2"/>
              <w:bottom w:val="single" w:sz="4" w:space="0" w:color="000000"/>
              <w:right w:val="single" w:sz="4" w:space="0" w:color="000000"/>
            </w:tcBorders>
          </w:tcPr>
          <w:p>
            <w:pPr/>
          </w:p>
        </w:tc>
      </w:tr>
      <w:tr>
        <w:trPr>
          <w:trHeight w:val="397" w:hRule="exact"/>
        </w:trPr>
        <w:tc>
          <w:tcPr>
            <w:tcW w:w="138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2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4" w:right="5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2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9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担保额度相关公告披露日期</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8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75"/>
              <w:jc w:val="right"/>
              <w:rPr>
                <w:rFonts w:ascii="宋体" w:hAnsi="宋体" w:cs="宋体" w:eastAsia="宋体" w:hint="default"/>
                <w:sz w:val="18"/>
                <w:szCs w:val="18"/>
              </w:rPr>
            </w:pPr>
            <w:r>
              <w:rPr>
                <w:rFonts w:ascii="宋体" w:hAnsi="宋体" w:cs="宋体" w:eastAsia="宋体" w:hint="default"/>
                <w:sz w:val="18"/>
                <w:szCs w:val="18"/>
              </w:rPr>
              <w:t>实际发生日期</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2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1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845" w:type="dxa"/>
            <w:vMerge/>
            <w:tcBorders>
              <w:left w:val="single" w:sz="4" w:space="0" w:color="000000"/>
              <w:right w:val="single" w:sz="4" w:space="0" w:color="000000"/>
            </w:tcBorders>
            <w:shd w:val="clear" w:color="auto" w:fill="D2D2D2"/>
          </w:tcPr>
          <w:p>
            <w:pPr/>
          </w:p>
        </w:tc>
      </w:tr>
      <w:tr>
        <w:trPr>
          <w:trHeight w:val="161" w:hRule="exact"/>
        </w:trPr>
        <w:tc>
          <w:tcPr>
            <w:tcW w:w="2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38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166" w:hRule="exact"/>
        </w:trPr>
        <w:tc>
          <w:tcPr>
            <w:tcW w:w="50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2"/>
            <w:vMerge w:val="restart"/>
            <w:tcBorders>
              <w:top w:val="single" w:sz="4" w:space="0" w:color="000000"/>
              <w:left w:val="single" w:sz="9" w:space="0" w:color="D2D2D2"/>
              <w:right w:val="single" w:sz="13" w:space="0" w:color="D2D2D2"/>
            </w:tcBorders>
          </w:tcPr>
          <w:p>
            <w:pPr/>
          </w:p>
        </w:tc>
        <w:tc>
          <w:tcPr>
            <w:tcW w:w="25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3265" w:type="dxa"/>
            <w:gridSpan w:val="3"/>
            <w:vMerge w:val="restart"/>
            <w:tcBorders>
              <w:top w:val="single" w:sz="4" w:space="0" w:color="000000"/>
              <w:left w:val="single" w:sz="13"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w:t>
            </w:r>
          </w:p>
        </w:tc>
      </w:tr>
      <w:tr>
        <w:trPr>
          <w:trHeight w:val="392" w:hRule="exact"/>
        </w:trPr>
        <w:tc>
          <w:tcPr>
            <w:tcW w:w="509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977" w:type="dxa"/>
            <w:gridSpan w:val="2"/>
            <w:vMerge/>
            <w:tcBorders>
              <w:left w:val="single" w:sz="9" w:space="0" w:color="D2D2D2"/>
              <w:right w:val="single" w:sz="13" w:space="0" w:color="D2D2D2"/>
            </w:tcBorders>
          </w:tcPr>
          <w:p>
            <w:pPr/>
          </w:p>
        </w:tc>
        <w:tc>
          <w:tcPr>
            <w:tcW w:w="2548" w:type="dxa"/>
            <w:gridSpan w:val="2"/>
            <w:vMerge/>
            <w:tcBorders>
              <w:left w:val="single" w:sz="4" w:space="0" w:color="000000"/>
              <w:right w:val="single" w:sz="4" w:space="0" w:color="000000"/>
            </w:tcBorders>
            <w:shd w:val="clear" w:color="auto" w:fill="D2D2D2"/>
          </w:tcPr>
          <w:p>
            <w:pPr/>
          </w:p>
        </w:tc>
        <w:tc>
          <w:tcPr>
            <w:tcW w:w="3265" w:type="dxa"/>
            <w:gridSpan w:val="3"/>
            <w:vMerge/>
            <w:tcBorders>
              <w:left w:val="single" w:sz="13" w:space="0" w:color="D2D2D2"/>
              <w:right w:val="single" w:sz="4" w:space="0" w:color="000000"/>
            </w:tcBorders>
          </w:tcPr>
          <w:p>
            <w:pPr/>
          </w:p>
        </w:tc>
      </w:tr>
      <w:tr>
        <w:trPr>
          <w:trHeight w:val="161" w:hRule="exact"/>
        </w:trPr>
        <w:tc>
          <w:tcPr>
            <w:tcW w:w="50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977" w:type="dxa"/>
            <w:gridSpan w:val="2"/>
            <w:vMerge/>
            <w:tcBorders>
              <w:left w:val="single" w:sz="9" w:space="0" w:color="D2D2D2"/>
              <w:bottom w:val="single" w:sz="4" w:space="0" w:color="000000"/>
              <w:right w:val="single" w:sz="13" w:space="0" w:color="D2D2D2"/>
            </w:tcBorders>
          </w:tcPr>
          <w:p>
            <w:pPr/>
          </w:p>
        </w:tc>
        <w:tc>
          <w:tcPr>
            <w:tcW w:w="2548" w:type="dxa"/>
            <w:gridSpan w:val="2"/>
            <w:vMerge/>
            <w:tcBorders>
              <w:left w:val="single" w:sz="4" w:space="0" w:color="000000"/>
              <w:bottom w:val="single" w:sz="4" w:space="0" w:color="000000"/>
              <w:right w:val="single" w:sz="4" w:space="0" w:color="000000"/>
            </w:tcBorders>
            <w:shd w:val="clear" w:color="auto" w:fill="D2D2D2"/>
          </w:tcPr>
          <w:p>
            <w:pPr/>
          </w:p>
        </w:tc>
        <w:tc>
          <w:tcPr>
            <w:tcW w:w="3265" w:type="dxa"/>
            <w:gridSpan w:val="3"/>
            <w:vMerge/>
            <w:tcBorders>
              <w:left w:val="single" w:sz="13" w:space="0" w:color="D2D2D2"/>
              <w:bottom w:val="single" w:sz="4" w:space="0" w:color="000000"/>
              <w:right w:val="single" w:sz="4" w:space="0" w:color="000000"/>
            </w:tcBorders>
          </w:tcPr>
          <w:p>
            <w:pPr/>
          </w:p>
        </w:tc>
      </w:tr>
      <w:tr>
        <w:trPr>
          <w:trHeight w:val="161" w:hRule="exact"/>
        </w:trPr>
        <w:tc>
          <w:tcPr>
            <w:tcW w:w="50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2"/>
            <w:vMerge w:val="restart"/>
            <w:tcBorders>
              <w:top w:val="single" w:sz="4" w:space="0" w:color="000000"/>
              <w:left w:val="single" w:sz="9" w:space="0" w:color="D2D2D2"/>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35,000</w:t>
            </w:r>
          </w:p>
        </w:tc>
        <w:tc>
          <w:tcPr>
            <w:tcW w:w="25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3265" w:type="dxa"/>
            <w:gridSpan w:val="3"/>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10,689</w:t>
            </w:r>
          </w:p>
        </w:tc>
      </w:tr>
      <w:tr>
        <w:trPr>
          <w:trHeight w:val="392" w:hRule="exact"/>
        </w:trPr>
        <w:tc>
          <w:tcPr>
            <w:tcW w:w="509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977" w:type="dxa"/>
            <w:gridSpan w:val="2"/>
            <w:vMerge/>
            <w:tcBorders>
              <w:left w:val="single" w:sz="9" w:space="0" w:color="D2D2D2"/>
              <w:right w:val="single" w:sz="13" w:space="0" w:color="D2D2D2"/>
            </w:tcBorders>
          </w:tcPr>
          <w:p>
            <w:pPr/>
          </w:p>
        </w:tc>
        <w:tc>
          <w:tcPr>
            <w:tcW w:w="2548" w:type="dxa"/>
            <w:gridSpan w:val="2"/>
            <w:vMerge/>
            <w:tcBorders>
              <w:left w:val="single" w:sz="4" w:space="0" w:color="000000"/>
              <w:right w:val="single" w:sz="4" w:space="0" w:color="000000"/>
            </w:tcBorders>
            <w:shd w:val="clear" w:color="auto" w:fill="D2D2D2"/>
          </w:tcPr>
          <w:p>
            <w:pPr/>
          </w:p>
        </w:tc>
        <w:tc>
          <w:tcPr>
            <w:tcW w:w="3265" w:type="dxa"/>
            <w:gridSpan w:val="3"/>
            <w:vMerge/>
            <w:tcBorders>
              <w:left w:val="single" w:sz="13" w:space="0" w:color="D2D2D2"/>
              <w:right w:val="single" w:sz="4" w:space="0" w:color="000000"/>
            </w:tcBorders>
          </w:tcPr>
          <w:p>
            <w:pPr/>
          </w:p>
        </w:tc>
      </w:tr>
      <w:tr>
        <w:trPr>
          <w:trHeight w:val="161" w:hRule="exact"/>
        </w:trPr>
        <w:tc>
          <w:tcPr>
            <w:tcW w:w="50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977" w:type="dxa"/>
            <w:gridSpan w:val="2"/>
            <w:vMerge/>
            <w:tcBorders>
              <w:left w:val="single" w:sz="9" w:space="0" w:color="D2D2D2"/>
              <w:bottom w:val="single" w:sz="4" w:space="0" w:color="000000"/>
              <w:right w:val="single" w:sz="13" w:space="0" w:color="D2D2D2"/>
            </w:tcBorders>
          </w:tcPr>
          <w:p>
            <w:pPr/>
          </w:p>
        </w:tc>
        <w:tc>
          <w:tcPr>
            <w:tcW w:w="2548" w:type="dxa"/>
            <w:gridSpan w:val="2"/>
            <w:vMerge/>
            <w:tcBorders>
              <w:left w:val="single" w:sz="4" w:space="0" w:color="000000"/>
              <w:bottom w:val="single" w:sz="4" w:space="0" w:color="000000"/>
              <w:right w:val="single" w:sz="4" w:space="0" w:color="000000"/>
            </w:tcBorders>
            <w:shd w:val="clear" w:color="auto" w:fill="D2D2D2"/>
          </w:tcPr>
          <w:p>
            <w:pPr/>
          </w:p>
        </w:tc>
        <w:tc>
          <w:tcPr>
            <w:tcW w:w="3265" w:type="dxa"/>
            <w:gridSpan w:val="3"/>
            <w:vMerge/>
            <w:tcBorders>
              <w:left w:val="single" w:sz="13" w:space="0" w:color="D2D2D2"/>
              <w:bottom w:val="single" w:sz="4" w:space="0" w:color="000000"/>
              <w:right w:val="single" w:sz="4" w:space="0" w:color="000000"/>
            </w:tcBorders>
          </w:tcPr>
          <w:p>
            <w:pPr/>
          </w:p>
        </w:tc>
      </w:tr>
      <w:tr>
        <w:trPr>
          <w:trHeight w:val="407" w:hRule="exact"/>
        </w:trPr>
        <w:tc>
          <w:tcPr>
            <w:tcW w:w="80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58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r>
      <w:tr>
        <w:trPr>
          <w:trHeight w:val="392" w:hRule="exact"/>
        </w:trPr>
        <w:tc>
          <w:tcPr>
            <w:tcW w:w="138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80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8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8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58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58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对未到期担保，报告期内已发生担保责任或可能承担连带清偿责任的情况说明（如有）</w:t>
            </w:r>
          </w:p>
        </w:tc>
        <w:tc>
          <w:tcPr>
            <w:tcW w:w="58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58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00" w:right="0"/>
        <w:jc w:val="left"/>
      </w:pPr>
      <w:r>
        <w:rPr/>
        <w:t>采用复合方式担保的具体情况说明</w:t>
      </w:r>
    </w:p>
    <w:p>
      <w:pPr>
        <w:spacing w:after="0" w:line="240" w:lineRule="auto"/>
        <w:jc w:val="left"/>
        <w:sectPr>
          <w:pgSz w:w="16840" w:h="11910" w:orient="landscape"/>
          <w:pgMar w:header="867" w:footer="979" w:top="1060" w:bottom="1160" w:left="1340" w:right="1320"/>
        </w:sectPr>
      </w:pPr>
    </w:p>
    <w:p>
      <w:pPr>
        <w:spacing w:line="240" w:lineRule="auto" w:before="10"/>
        <w:rPr>
          <w:rFonts w:ascii="宋体" w:hAnsi="宋体" w:cs="宋体" w:eastAsia="宋体" w:hint="default"/>
          <w:sz w:val="20"/>
          <w:szCs w:val="20"/>
        </w:rPr>
      </w:pPr>
    </w:p>
    <w:p>
      <w:pPr>
        <w:pStyle w:val="Heading4"/>
        <w:spacing w:line="240" w:lineRule="auto" w:before="35"/>
        <w:ind w:right="817"/>
        <w:jc w:val="left"/>
        <w:rPr>
          <w:b w:val="0"/>
          <w:bCs w:val="0"/>
        </w:rPr>
      </w:pPr>
      <w:bookmarkStart w:name="（2）违规对外担保情况" w:id="117"/>
      <w:bookmarkEnd w:id="117"/>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3"/>
        <w:rPr>
          <w:rFonts w:ascii="宋体" w:hAnsi="宋体" w:cs="宋体" w:eastAsia="宋体" w:hint="default"/>
          <w:sz w:val="21"/>
          <w:szCs w:val="21"/>
        </w:rPr>
      </w:pPr>
    </w:p>
    <w:p>
      <w:pPr>
        <w:pStyle w:val="Heading4"/>
        <w:spacing w:line="240" w:lineRule="auto"/>
        <w:ind w:right="817"/>
        <w:jc w:val="left"/>
        <w:rPr>
          <w:b w:val="0"/>
          <w:bCs w:val="0"/>
        </w:rPr>
      </w:pPr>
      <w:bookmarkStart w:name="3、委托他人进行现金资产管理情况" w:id="118"/>
      <w:bookmarkEnd w:id="11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委托理财情况" w:id="119"/>
      <w:bookmarkEnd w:id="11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6"/>
          <w:footerReference w:type="default" r:id="rId27"/>
          <w:pgSz w:w="11910" w:h="16840"/>
          <w:pgMar w:header="877" w:footer="979" w:top="1100" w:bottom="1160" w:left="980" w:right="0"/>
          <w:pgNumType w:start="5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70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817"/>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2"/>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817"/>
        <w:jc w:val="left"/>
        <w:rPr>
          <w:b w:val="0"/>
          <w:bCs w:val="0"/>
        </w:rPr>
      </w:pPr>
      <w:bookmarkStart w:name="（2）委托贷款情况" w:id="120"/>
      <w:bookmarkEnd w:id="12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right="817"/>
        <w:jc w:val="left"/>
        <w:rPr>
          <w:b w:val="0"/>
          <w:bCs w:val="0"/>
        </w:rPr>
      </w:pPr>
      <w:bookmarkStart w:name="4、其他重大合同" w:id="121"/>
      <w:bookmarkEnd w:id="12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817"/>
        <w:jc w:val="left"/>
        <w:rPr>
          <w:b w:val="0"/>
          <w:bCs w:val="0"/>
        </w:rPr>
      </w:pPr>
      <w:bookmarkStart w:name="十八、社会责任情况" w:id="122"/>
      <w:bookmarkEnd w:id="122"/>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履行社会责任情况" w:id="123"/>
      <w:bookmarkEnd w:id="123"/>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131" w:firstLine="480"/>
        <w:jc w:val="both"/>
      </w:pPr>
      <w:r>
        <w:rPr>
          <w:spacing w:val="-1"/>
        </w:rPr>
        <w:t>公司严格按照深交所“上市公司规范运作指引”的要求，在追求经济效益、保护股东利益的同时，积极保护债权人和</w:t>
      </w:r>
      <w:r>
        <w:rPr/>
        <w:t> </w:t>
      </w:r>
      <w:r>
        <w:rPr>
          <w:spacing w:val="-2"/>
        </w:rPr>
        <w:t>职工的合法权益，诚信对待供应商、客户和消费者，积极从事环境保护、社区建设等公益事业，从而促进公司本身与全社会</w:t>
      </w:r>
      <w:r>
        <w:rPr>
          <w:spacing w:val="-66"/>
        </w:rPr>
        <w:t> </w:t>
      </w:r>
      <w:r>
        <w:rPr>
          <w:spacing w:val="-66"/>
        </w:rPr>
      </w:r>
      <w:r>
        <w:rPr/>
        <w:t>的协调、和谐发展。</w:t>
      </w:r>
    </w:p>
    <w:p>
      <w:pPr>
        <w:pStyle w:val="BodyText"/>
        <w:spacing w:line="408" w:lineRule="auto" w:before="38"/>
        <w:ind w:left="634" w:right="817"/>
        <w:jc w:val="left"/>
      </w:pPr>
      <w:r>
        <w:rPr/>
        <w:t>（一）、加强对投资者的回报和沟通 公司重视对投资者的回报和沟通，</w:t>
      </w:r>
      <w:r>
        <w:rPr>
          <w:rFonts w:ascii="宋体" w:hAnsi="宋体" w:cs="宋体" w:eastAsia="宋体" w:hint="default"/>
        </w:rPr>
        <w:t>2018</w:t>
      </w:r>
      <w:r>
        <w:rPr/>
        <w:t>年，严格按照相关规范运作要求接待机构投资者的调研。 </w:t>
      </w:r>
      <w:r>
        <w:rPr>
          <w:spacing w:val="-1"/>
        </w:rPr>
        <w:t>公司完善对内幕信息及相关知情人进行管理，制定《厦门安妮股份有限公司内幕信息知情人登记备案制度》，明确了</w:t>
      </w:r>
    </w:p>
    <w:p>
      <w:pPr>
        <w:spacing w:after="0" w:line="408" w:lineRule="auto"/>
        <w:jc w:val="left"/>
        <w:sectPr>
          <w:type w:val="continuous"/>
          <w:pgSz w:w="11910" w:h="16840"/>
          <w:pgMar w:top="1060" w:bottom="700" w:left="980" w:right="0"/>
        </w:sectPr>
      </w:pPr>
    </w:p>
    <w:p>
      <w:pPr>
        <w:spacing w:line="240" w:lineRule="auto" w:before="7"/>
        <w:rPr>
          <w:rFonts w:ascii="宋体" w:hAnsi="宋体" w:cs="宋体" w:eastAsia="宋体" w:hint="default"/>
          <w:sz w:val="29"/>
          <w:szCs w:val="29"/>
        </w:rPr>
      </w:pPr>
    </w:p>
    <w:p>
      <w:pPr>
        <w:pStyle w:val="BodyText"/>
        <w:spacing w:line="240" w:lineRule="auto" w:before="44"/>
        <w:ind w:right="817"/>
        <w:jc w:val="left"/>
      </w:pPr>
      <w:r>
        <w:rPr/>
        <w:t>内幕信息管理责任，建立了内幕信息知情人档案。</w:t>
      </w:r>
    </w:p>
    <w:p>
      <w:pPr>
        <w:spacing w:line="240" w:lineRule="auto" w:before="7"/>
        <w:rPr>
          <w:rFonts w:ascii="宋体" w:hAnsi="宋体" w:cs="宋体" w:eastAsia="宋体" w:hint="default"/>
          <w:sz w:val="12"/>
          <w:szCs w:val="12"/>
        </w:rPr>
      </w:pPr>
    </w:p>
    <w:p>
      <w:pPr>
        <w:pStyle w:val="BodyText"/>
        <w:spacing w:line="408" w:lineRule="auto"/>
        <w:ind w:left="634" w:right="817"/>
        <w:jc w:val="left"/>
      </w:pPr>
      <w:r>
        <w:rPr/>
        <w:t>（二）、依法开展生产经营活动， </w:t>
      </w:r>
      <w:r>
        <w:rPr>
          <w:spacing w:val="-1"/>
        </w:rPr>
        <w:t>公司将公司上下游客户为自身的发展的战略伙伴，与客户共同成长；在经营活动中，遵循自愿、公平、等价有偿、诚</w:t>
      </w:r>
    </w:p>
    <w:p>
      <w:pPr>
        <w:pStyle w:val="BodyText"/>
        <w:spacing w:line="408" w:lineRule="auto" w:before="38"/>
        <w:ind w:right="1032"/>
        <w:jc w:val="left"/>
      </w:pPr>
      <w:r>
        <w:rPr>
          <w:spacing w:val="-2"/>
        </w:rPr>
        <w:t>实信用的原则，遵守社会公德、商业道德，接受政府和社会公众的监督。大宗物料采购主要以招投标方式进行，给予供应商</w:t>
      </w:r>
      <w:r>
        <w:rPr>
          <w:spacing w:val="-65"/>
        </w:rPr>
        <w:t> </w:t>
      </w:r>
      <w:r>
        <w:rPr>
          <w:spacing w:val="-65"/>
        </w:rPr>
      </w:r>
      <w:r>
        <w:rPr/>
        <w:t>平等的交易机会。公司未通过贿赂、走私等非法活动牟取不正当利益，未侵犯他人的商标权、专利权和著作权等知识产权， 未从事不正当竞争行为。公司通过</w:t>
      </w:r>
      <w:r>
        <w:rPr>
          <w:rFonts w:ascii="宋体" w:hAnsi="宋体" w:cs="宋体" w:eastAsia="宋体" w:hint="default"/>
        </w:rPr>
        <w:t>ISO9000</w:t>
      </w:r>
      <w:r>
        <w:rPr/>
        <w:t>质量控制体系的有效运行，保证产品质量的稳定和持续提升，维护消费者的合法 权益。</w:t>
      </w:r>
    </w:p>
    <w:p>
      <w:pPr>
        <w:pStyle w:val="BodyText"/>
        <w:spacing w:line="408" w:lineRule="auto" w:before="38"/>
        <w:ind w:right="817" w:firstLine="360"/>
        <w:jc w:val="left"/>
      </w:pPr>
      <w:r>
        <w:rPr>
          <w:spacing w:val="-2"/>
        </w:rPr>
        <w:t>报告期内，公司财务稳健，公司资产、资金安全，在追求股东利益最大化的同时兼顾债权人的利益，报告期内未出现重</w:t>
      </w:r>
      <w:r>
        <w:rPr/>
        <w:t> 大资产损失或损害债权人合法利益的情况。</w:t>
      </w:r>
    </w:p>
    <w:p>
      <w:pPr>
        <w:pStyle w:val="BodyText"/>
        <w:spacing w:line="408" w:lineRule="auto" w:before="38"/>
        <w:ind w:right="817" w:firstLine="360"/>
        <w:jc w:val="left"/>
      </w:pPr>
      <w:r>
        <w:rPr>
          <w:spacing w:val="-2"/>
        </w:rPr>
        <w:t>公司认真接受政府部门和监管机关的监督和检查，密切关注与公司相关的舆情，公司对社会公众及新闻媒体对公司的评</w:t>
      </w:r>
      <w:r>
        <w:rPr/>
        <w:t> </w:t>
      </w:r>
      <w:r>
        <w:rPr>
          <w:spacing w:val="-4"/>
        </w:rPr>
        <w:t>论予以积极回应和沟通。报告期内，公司沟通渠道顺畅，未出现因沟通不畅导致出现对公司造成负面影响的的媒体关注事件。</w:t>
      </w:r>
    </w:p>
    <w:p>
      <w:pPr>
        <w:pStyle w:val="BodyText"/>
        <w:spacing w:line="408" w:lineRule="auto" w:before="39"/>
        <w:ind w:left="634" w:right="1092"/>
        <w:jc w:val="left"/>
      </w:pPr>
      <w:r>
        <w:rPr/>
        <w:t>（三）、环境保护 公司制定根据自身业务的实际情况，采取了适当的环境保护政策，公司指定董事长作为公司环境保护的第一责任人，</w:t>
      </w:r>
    </w:p>
    <w:p>
      <w:pPr>
        <w:pStyle w:val="BodyText"/>
        <w:spacing w:line="408" w:lineRule="auto" w:before="38"/>
        <w:ind w:right="1131"/>
        <w:jc w:val="both"/>
      </w:pPr>
      <w:r>
        <w:rPr>
          <w:spacing w:val="-2"/>
        </w:rPr>
        <w:t>为环保工作提供必要的人力、物力、技术和财力支持，定期指派专人检查环保政策的实施情况，公司生产运营过程中产生的</w:t>
      </w:r>
      <w:r>
        <w:rPr>
          <w:spacing w:val="-66"/>
        </w:rPr>
        <w:t> </w:t>
      </w:r>
      <w:r>
        <w:rPr>
          <w:spacing w:val="-66"/>
        </w:rPr>
      </w:r>
      <w:r>
        <w:rPr>
          <w:spacing w:val="-2"/>
        </w:rPr>
        <w:t>边角料和废料均最大限度予以回收利用，不能回收的均进行无害化处理；公司从节能减排、降低能耗入手，优化节能减排设</w:t>
      </w:r>
      <w:r>
        <w:rPr>
          <w:spacing w:val="-66"/>
        </w:rPr>
        <w:t> </w:t>
      </w:r>
      <w:r>
        <w:rPr>
          <w:spacing w:val="-66"/>
        </w:rPr>
      </w:r>
      <w:r>
        <w:rPr/>
        <w:t>施，加强能耗管理，在环境保护与成本节约两方面均取得良好效果。</w:t>
      </w:r>
    </w:p>
    <w:p>
      <w:pPr>
        <w:pStyle w:val="BodyText"/>
        <w:spacing w:line="408" w:lineRule="auto" w:before="38"/>
        <w:ind w:left="604" w:right="1122" w:firstLine="30"/>
        <w:jc w:val="left"/>
      </w:pPr>
      <w:r>
        <w:rPr/>
        <w:t>（四）、员工成长 公司以建立“学习型组织”的为开展员工培训的指导原则，通过多种形式开展了公司新员工入职培训、基层员工职业</w:t>
      </w:r>
    </w:p>
    <w:p>
      <w:pPr>
        <w:pStyle w:val="BodyText"/>
        <w:spacing w:line="408" w:lineRule="auto" w:before="38"/>
        <w:ind w:left="514" w:right="1122" w:hanging="360"/>
        <w:jc w:val="left"/>
      </w:pPr>
      <w:r>
        <w:rPr/>
        <w:t>素养、岗位技能培训、管理素质培训、领导力培训等员工成长培训，建立完善多样化、层次化的培训体系。 公司建立了规范的劳动关系与劳动合同制度，职工劳动合同签订率达到</w:t>
      </w:r>
      <w:r>
        <w:rPr>
          <w:rFonts w:ascii="宋体" w:hAnsi="宋体" w:cs="宋体" w:eastAsia="宋体" w:hint="default"/>
        </w:rPr>
        <w:t>100</w:t>
      </w:r>
      <w:r>
        <w:rPr/>
        <w:t>％；完善了包括薪酬体系、考核体系、激励</w:t>
      </w:r>
    </w:p>
    <w:p>
      <w:pPr>
        <w:pStyle w:val="BodyText"/>
        <w:spacing w:line="408" w:lineRule="auto" w:before="39"/>
        <w:ind w:left="514" w:right="817" w:hanging="360"/>
        <w:jc w:val="left"/>
      </w:pPr>
      <w:r>
        <w:rPr/>
        <w:t>机制、劳动人事管理等在内的用人制度，保障职工依法享有劳动权利和履行劳动义务。 </w:t>
      </w:r>
      <w:r>
        <w:rPr>
          <w:spacing w:val="-2"/>
        </w:rPr>
        <w:t>公司建立职工监事选任制度，确保职工在公司治理中享有充分的权利；支持工会依法开展工作，对工资、福利、劳动安</w:t>
      </w:r>
    </w:p>
    <w:p>
      <w:pPr>
        <w:pStyle w:val="BodyText"/>
        <w:spacing w:line="240" w:lineRule="auto" w:before="38"/>
        <w:ind w:right="817"/>
        <w:jc w:val="left"/>
      </w:pPr>
      <w:r>
        <w:rPr>
          <w:spacing w:val="-4"/>
        </w:rPr>
        <w:t>全卫生、社会保险等涉及职工切身利益的事项，通过职工代表大会等民主形式听取职工的意见，关心和重视职工的合理需求。</w:t>
      </w:r>
    </w:p>
    <w:p>
      <w:pPr>
        <w:spacing w:line="240" w:lineRule="auto" w:before="1"/>
        <w:rPr>
          <w:rFonts w:ascii="宋体" w:hAnsi="宋体" w:cs="宋体" w:eastAsia="宋体" w:hint="default"/>
          <w:sz w:val="26"/>
          <w:szCs w:val="26"/>
        </w:rPr>
      </w:pPr>
    </w:p>
    <w:p>
      <w:pPr>
        <w:pStyle w:val="Heading4"/>
        <w:spacing w:line="240" w:lineRule="auto"/>
        <w:ind w:right="817"/>
        <w:jc w:val="left"/>
        <w:rPr>
          <w:b w:val="0"/>
          <w:bCs w:val="0"/>
        </w:rPr>
      </w:pPr>
      <w:bookmarkStart w:name="2、履行精准扶贫社会责任情况" w:id="124"/>
      <w:bookmarkEnd w:id="124"/>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817"/>
        <w:jc w:val="left"/>
        <w:rPr>
          <w:b w:val="0"/>
          <w:bCs w:val="0"/>
        </w:rPr>
      </w:pPr>
      <w:bookmarkStart w:name="3、环境保护相关的情况" w:id="125"/>
      <w:bookmarkEnd w:id="125"/>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spacing w:line="240" w:lineRule="auto" w:before="0"/>
        <w:rPr>
          <w:rFonts w:ascii="宋体" w:hAnsi="宋体" w:cs="宋体" w:eastAsia="宋体" w:hint="default"/>
          <w:sz w:val="18"/>
          <w:szCs w:val="18"/>
        </w:rPr>
      </w:pPr>
    </w:p>
    <w:p>
      <w:pPr>
        <w:pStyle w:val="BodyText"/>
        <w:spacing w:line="240" w:lineRule="auto" w:before="144"/>
        <w:ind w:right="817"/>
        <w:jc w:val="left"/>
      </w:pPr>
      <w:r>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817"/>
        <w:jc w:val="left"/>
        <w:rPr>
          <w:b w:val="0"/>
          <w:bCs w:val="0"/>
        </w:rPr>
      </w:pPr>
      <w:bookmarkStart w:name="十九、其他重大事项的说明" w:id="126"/>
      <w:bookmarkEnd w:id="126"/>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both"/>
      </w:pPr>
      <w:r>
        <w:rPr/>
        <w:t>公司报告期不存在需要说明的其他重大事项。</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二十、公司子公司重大事项" w:id="127"/>
      <w:bookmarkEnd w:id="127"/>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434" w:lineRule="auto"/>
        <w:ind w:left="514" w:right="81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根据公司与杨超、雷建、毛智才、江勇、陈兆滨、鲁武英（以下简称“交易方”）签订的《发行股份及支付现金购买资</w:t>
      </w:r>
    </w:p>
    <w:p>
      <w:pPr>
        <w:pStyle w:val="BodyText"/>
        <w:spacing w:line="408" w:lineRule="auto" w:before="19"/>
        <w:ind w:right="1049"/>
        <w:jc w:val="both"/>
      </w:pPr>
      <w:r>
        <w:rPr/>
        <w:t>产协议》（以下简称“购买协议”），交易方承诺畅元国讯在</w:t>
      </w:r>
      <w:r>
        <w:rPr>
          <w:rFonts w:ascii="宋体" w:hAnsi="宋体" w:cs="宋体" w:eastAsia="宋体" w:hint="default"/>
        </w:rPr>
        <w:t>2016</w:t>
      </w:r>
      <w:r>
        <w:rPr/>
        <w:t>年、</w:t>
      </w:r>
      <w:r>
        <w:rPr>
          <w:rFonts w:ascii="宋体" w:hAnsi="宋体" w:cs="宋体" w:eastAsia="宋体" w:hint="default"/>
        </w:rPr>
        <w:t>2017</w:t>
      </w:r>
      <w:r>
        <w:rPr/>
        <w:t>年、</w:t>
      </w:r>
      <w:r>
        <w:rPr>
          <w:rFonts w:ascii="宋体" w:hAnsi="宋体" w:cs="宋体" w:eastAsia="宋体" w:hint="default"/>
        </w:rPr>
        <w:t>2018</w:t>
      </w:r>
      <w:r>
        <w:rPr/>
        <w:t>年实现的净利润分别不低于</w:t>
      </w:r>
      <w:r>
        <w:rPr>
          <w:rFonts w:ascii="宋体" w:hAnsi="宋体" w:cs="宋体" w:eastAsia="宋体" w:hint="default"/>
        </w:rPr>
        <w:t>7600</w:t>
      </w:r>
      <w:r>
        <w:rPr/>
        <w:t>万元、 </w:t>
      </w:r>
      <w:r>
        <w:rPr>
          <w:rFonts w:ascii="宋体" w:hAnsi="宋体" w:cs="宋体" w:eastAsia="宋体" w:hint="default"/>
        </w:rPr>
        <w:t>10000</w:t>
      </w:r>
      <w:r>
        <w:rPr/>
        <w:t>万元、</w:t>
      </w:r>
      <w:r>
        <w:rPr>
          <w:rFonts w:ascii="宋体" w:hAnsi="宋体" w:cs="宋体" w:eastAsia="宋体" w:hint="default"/>
        </w:rPr>
        <w:t>13000</w:t>
      </w:r>
      <w:r>
        <w:rPr/>
        <w:t>万元。</w:t>
      </w:r>
    </w:p>
    <w:p>
      <w:pPr>
        <w:pStyle w:val="BodyText"/>
        <w:spacing w:line="408" w:lineRule="auto" w:before="38"/>
        <w:ind w:right="1212" w:firstLine="360"/>
        <w:jc w:val="left"/>
      </w:pPr>
      <w:r>
        <w:rPr/>
        <w:t>畅元国讯三年业绩承诺期结束，</w:t>
      </w:r>
      <w:r>
        <w:rPr>
          <w:rFonts w:ascii="宋体" w:hAnsi="宋体" w:cs="宋体" w:eastAsia="宋体" w:hint="default"/>
        </w:rPr>
        <w:t>2016</w:t>
      </w:r>
      <w:r>
        <w:rPr/>
        <w:t>年完成业绩承诺，</w:t>
      </w:r>
      <w:r>
        <w:rPr>
          <w:rFonts w:ascii="宋体" w:hAnsi="宋体" w:cs="宋体" w:eastAsia="宋体" w:hint="default"/>
        </w:rPr>
        <w:t>2017</w:t>
      </w:r>
      <w:r>
        <w:rPr/>
        <w:t>年扣非后实现净利润</w:t>
      </w:r>
      <w:r>
        <w:rPr>
          <w:rFonts w:ascii="宋体" w:hAnsi="宋体" w:cs="宋体" w:eastAsia="宋体" w:hint="default"/>
        </w:rPr>
        <w:t>6,155.71</w:t>
      </w:r>
      <w:r>
        <w:rPr/>
        <w:t>万元，畅元国讯原股东</w:t>
      </w:r>
      <w:r>
        <w:rPr>
          <w:rFonts w:ascii="宋体" w:hAnsi="宋体" w:cs="宋体" w:eastAsia="宋体" w:hint="default"/>
        </w:rPr>
        <w:t>2017 </w:t>
      </w:r>
      <w:r>
        <w:rPr/>
        <w:t>年度应补偿股份数为</w:t>
      </w:r>
      <w:r>
        <w:rPr>
          <w:rFonts w:ascii="宋体" w:hAnsi="宋体" w:cs="宋体" w:eastAsia="宋体" w:hint="default"/>
        </w:rPr>
        <w:t>28,836,603</w:t>
      </w:r>
      <w:r>
        <w:rPr/>
        <w:t>股，已完成回购注销</w:t>
      </w:r>
      <w:r>
        <w:rPr>
          <w:rFonts w:ascii="宋体" w:hAnsi="宋体" w:cs="宋体" w:eastAsia="宋体" w:hint="default"/>
        </w:rPr>
        <w:t>21,500,572 </w:t>
      </w:r>
      <w:r>
        <w:rPr/>
        <w:t>股。</w:t>
      </w:r>
    </w:p>
    <w:p>
      <w:pPr>
        <w:pStyle w:val="BodyText"/>
        <w:spacing w:line="240" w:lineRule="auto" w:before="57"/>
        <w:ind w:left="621" w:right="817"/>
        <w:jc w:val="left"/>
      </w:pPr>
      <w:r>
        <w:rPr/>
        <w:t>根据大信会计师事务所（特殊普通合伙）出具的大信专审字</w:t>
      </w:r>
      <w:r>
        <w:rPr>
          <w:rFonts w:ascii="宋体" w:hAnsi="宋体" w:cs="宋体" w:eastAsia="宋体" w:hint="default"/>
        </w:rPr>
        <w:t>[2019]</w:t>
      </w:r>
      <w:r>
        <w:rPr/>
        <w:t>第</w:t>
      </w:r>
      <w:r>
        <w:rPr>
          <w:spacing w:val="-5"/>
        </w:rPr>
        <w:t> </w:t>
      </w:r>
      <w:r>
        <w:rPr>
          <w:rFonts w:ascii="宋体" w:hAnsi="宋体" w:cs="宋体" w:eastAsia="宋体" w:hint="default"/>
        </w:rPr>
        <w:t>5-00061</w:t>
      </w:r>
      <w:r>
        <w:rPr>
          <w:rFonts w:ascii="宋体" w:hAnsi="宋体" w:cs="宋体" w:eastAsia="宋体" w:hint="default"/>
          <w:spacing w:val="-5"/>
        </w:rPr>
        <w:t> </w:t>
      </w:r>
      <w:r>
        <w:rPr/>
        <w:t>号《业绩承诺完成情况审核报告</w:t>
      </w:r>
      <w:r>
        <w:rPr>
          <w:spacing w:val="-90"/>
        </w:rPr>
        <w:t>》</w:t>
      </w:r>
      <w:r>
        <w:rPr/>
        <w:t>，畅</w:t>
      </w:r>
    </w:p>
    <w:p>
      <w:pPr>
        <w:spacing w:line="240" w:lineRule="auto" w:before="9"/>
        <w:rPr>
          <w:rFonts w:ascii="宋体" w:hAnsi="宋体" w:cs="宋体" w:eastAsia="宋体" w:hint="default"/>
          <w:sz w:val="17"/>
          <w:szCs w:val="17"/>
        </w:rPr>
      </w:pPr>
    </w:p>
    <w:p>
      <w:pPr>
        <w:pStyle w:val="BodyText"/>
        <w:spacing w:line="240" w:lineRule="auto"/>
        <w:ind w:right="0"/>
        <w:jc w:val="both"/>
      </w:pPr>
      <w:r>
        <w:rPr/>
        <w:t>元国讯</w:t>
      </w:r>
      <w:r>
        <w:rPr>
          <w:spacing w:val="-42"/>
        </w:rPr>
        <w:t> </w:t>
      </w:r>
      <w:r>
        <w:rPr>
          <w:rFonts w:ascii="宋体" w:hAnsi="宋体" w:cs="宋体" w:eastAsia="宋体" w:hint="default"/>
        </w:rPr>
        <w:t>2018</w:t>
      </w:r>
      <w:r>
        <w:rPr>
          <w:rFonts w:ascii="宋体" w:hAnsi="宋体" w:cs="宋体" w:eastAsia="宋体" w:hint="default"/>
          <w:spacing w:val="-42"/>
        </w:rPr>
        <w:t> </w:t>
      </w:r>
      <w:r>
        <w:rPr/>
        <w:t>年度扣除非经常性损益后归属于母公司股东的净利润为</w:t>
      </w:r>
      <w:r>
        <w:rPr>
          <w:spacing w:val="-42"/>
        </w:rPr>
        <w:t> </w:t>
      </w:r>
      <w:r>
        <w:rPr>
          <w:rFonts w:ascii="宋体" w:hAnsi="宋体" w:cs="宋体" w:eastAsia="宋体" w:hint="default"/>
        </w:rPr>
        <w:t>9,229.69</w:t>
      </w:r>
      <w:r>
        <w:rPr>
          <w:rFonts w:ascii="宋体" w:hAnsi="宋体" w:cs="宋体" w:eastAsia="宋体" w:hint="default"/>
          <w:spacing w:val="-42"/>
        </w:rPr>
        <w:t> </w:t>
      </w:r>
      <w:r>
        <w:rPr>
          <w:spacing w:val="-5"/>
        </w:rPr>
        <w:t>万元，低于业绩承诺金额。根据大信会计师事</w:t>
      </w:r>
    </w:p>
    <w:p>
      <w:pPr>
        <w:spacing w:line="240" w:lineRule="auto" w:before="10"/>
        <w:rPr>
          <w:rFonts w:ascii="宋体" w:hAnsi="宋体" w:cs="宋体" w:eastAsia="宋体" w:hint="default"/>
          <w:sz w:val="17"/>
          <w:szCs w:val="17"/>
        </w:rPr>
      </w:pPr>
    </w:p>
    <w:p>
      <w:pPr>
        <w:pStyle w:val="BodyText"/>
        <w:spacing w:line="477" w:lineRule="auto"/>
        <w:ind w:right="1131"/>
        <w:jc w:val="both"/>
      </w:pPr>
      <w:r>
        <w:rPr/>
        <w:t>务所（特殊普通合伙）的出具的大信审字</w:t>
      </w:r>
      <w:r>
        <w:rPr>
          <w:rFonts w:ascii="宋体" w:hAnsi="宋体" w:cs="宋体" w:eastAsia="宋体" w:hint="default"/>
        </w:rPr>
        <w:t>[2019]</w:t>
      </w:r>
      <w:r>
        <w:rPr/>
        <w:t>第</w:t>
      </w:r>
      <w:r>
        <w:rPr>
          <w:spacing w:val="-44"/>
        </w:rPr>
        <w:t> </w:t>
      </w:r>
      <w:r>
        <w:rPr>
          <w:rFonts w:ascii="宋体" w:hAnsi="宋体" w:cs="宋体" w:eastAsia="宋体" w:hint="default"/>
        </w:rPr>
        <w:t>5-00149</w:t>
      </w:r>
      <w:r>
        <w:rPr>
          <w:rFonts w:ascii="宋体" w:hAnsi="宋体" w:cs="宋体" w:eastAsia="宋体" w:hint="default"/>
          <w:spacing w:val="-44"/>
        </w:rPr>
        <w:t> </w:t>
      </w:r>
      <w:r>
        <w:rPr/>
        <w:t>号《厦门安妮股份有限公司</w:t>
      </w:r>
      <w:r>
        <w:rPr>
          <w:spacing w:val="-44"/>
        </w:rPr>
        <w:t> </w:t>
      </w:r>
      <w:r>
        <w:rPr>
          <w:rFonts w:ascii="宋体" w:hAnsi="宋体" w:cs="宋体" w:eastAsia="宋体" w:hint="default"/>
        </w:rPr>
        <w:t>2018</w:t>
      </w:r>
      <w:r>
        <w:rPr>
          <w:rFonts w:ascii="宋体" w:hAnsi="宋体" w:cs="宋体" w:eastAsia="宋体" w:hint="default"/>
          <w:spacing w:val="-43"/>
        </w:rPr>
        <w:t> </w:t>
      </w:r>
      <w:r>
        <w:rPr/>
        <w:t>年审计报告》以及中联资产评 估集团有限公司出具的中联评报字</w:t>
      </w:r>
      <w:r>
        <w:rPr>
          <w:rFonts w:ascii="宋体" w:hAnsi="宋体" w:cs="宋体" w:eastAsia="宋体" w:hint="default"/>
        </w:rPr>
        <w:t>[2019]</w:t>
      </w:r>
      <w:r>
        <w:rPr/>
        <w:t>第</w:t>
      </w:r>
      <w:r>
        <w:rPr>
          <w:spacing w:val="-38"/>
        </w:rPr>
        <w:t> </w:t>
      </w:r>
      <w:r>
        <w:rPr>
          <w:rFonts w:ascii="宋体" w:hAnsi="宋体" w:cs="宋体" w:eastAsia="宋体" w:hint="default"/>
        </w:rPr>
        <w:t>605</w:t>
      </w:r>
      <w:r>
        <w:rPr>
          <w:rFonts w:ascii="宋体" w:hAnsi="宋体" w:cs="宋体" w:eastAsia="宋体" w:hint="default"/>
          <w:spacing w:val="-38"/>
        </w:rPr>
        <w:t> </w:t>
      </w:r>
      <w:r>
        <w:rPr>
          <w:spacing w:val="-3"/>
        </w:rPr>
        <w:t>号《厦门安妮股份有限公司拟对合并北京畅元国讯科技有限公司股权形成的</w:t>
      </w:r>
      <w:r>
        <w:rPr/>
        <w:t> </w:t>
      </w:r>
      <w:r>
        <w:rPr>
          <w:spacing w:val="-6"/>
        </w:rPr>
        <w:t>商誉进行减值测试项目资产评估报告》，</w:t>
      </w:r>
      <w:r>
        <w:rPr>
          <w:rFonts w:ascii="宋体" w:hAnsi="宋体" w:cs="宋体" w:eastAsia="宋体" w:hint="default"/>
          <w:spacing w:val="-6"/>
        </w:rPr>
        <w:t>2018</w:t>
      </w:r>
      <w:r>
        <w:rPr>
          <w:rFonts w:ascii="宋体" w:hAnsi="宋体" w:cs="宋体" w:eastAsia="宋体" w:hint="default"/>
          <w:spacing w:val="-28"/>
        </w:rPr>
        <w:t> </w:t>
      </w:r>
      <w:r>
        <w:rPr>
          <w:spacing w:val="-3"/>
        </w:rPr>
        <w:t>年度，公司购买畅元国讯</w:t>
      </w:r>
      <w:r>
        <w:rPr>
          <w:spacing w:val="-28"/>
        </w:rPr>
        <w:t> </w:t>
      </w:r>
      <w:r>
        <w:rPr>
          <w:rFonts w:ascii="宋体" w:hAnsi="宋体" w:cs="宋体" w:eastAsia="宋体" w:hint="default"/>
          <w:spacing w:val="-2"/>
        </w:rPr>
        <w:t>100%</w:t>
      </w:r>
      <w:r>
        <w:rPr>
          <w:spacing w:val="-2"/>
        </w:rPr>
        <w:t>股权所形成的商誉未发生减值。公司将按照购买</w:t>
      </w:r>
      <w:r>
        <w:rPr>
          <w:spacing w:val="-86"/>
        </w:rPr>
        <w:t> </w:t>
      </w:r>
      <w:r>
        <w:rPr>
          <w:spacing w:val="-86"/>
        </w:rPr>
      </w:r>
      <w:r>
        <w:rPr/>
        <w:t>协议约定在财务报告披露后的</w:t>
      </w:r>
      <w:r>
        <w:rPr>
          <w:spacing w:val="-46"/>
        </w:rPr>
        <w:t> </w:t>
      </w:r>
      <w:r>
        <w:rPr>
          <w:rFonts w:ascii="宋体" w:hAnsi="宋体" w:cs="宋体" w:eastAsia="宋体" w:hint="default"/>
        </w:rPr>
        <w:t>10</w:t>
      </w:r>
      <w:r>
        <w:rPr>
          <w:rFonts w:ascii="宋体" w:hAnsi="宋体" w:cs="宋体" w:eastAsia="宋体" w:hint="default"/>
          <w:spacing w:val="-46"/>
        </w:rPr>
        <w:t> </w:t>
      </w:r>
      <w:r>
        <w:rPr/>
        <w:t>日内审议相关事项。</w:t>
      </w:r>
    </w:p>
    <w:p>
      <w:pPr>
        <w:spacing w:after="0" w:line="477"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817"/>
        <w:jc w:val="left"/>
        <w:rPr>
          <w:b w:val="0"/>
          <w:bCs w:val="0"/>
        </w:rPr>
      </w:pPr>
      <w:bookmarkStart w:name="_TOC_250006" w:id="128"/>
      <w:bookmarkStart w:name="第六节 股份变动及股东情况" w:id="129"/>
      <w:r>
        <w:rPr>
          <w:b w:val="0"/>
          <w:bCs w:val="0"/>
        </w:rPr>
      </w:r>
      <w:r>
        <w:rPr/>
        <w:t>第六节</w:t>
      </w:r>
      <w:r>
        <w:rPr>
          <w:spacing w:val="-10"/>
        </w:rPr>
        <w:t> </w:t>
      </w:r>
      <w:r>
        <w:rPr/>
        <w:t>股份变动及股东情况</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bookmarkStart w:name="一、股份变动情况" w:id="130"/>
      <w:bookmarkEnd w:id="13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股份变动情况" w:id="131"/>
      <w:bookmarkEnd w:id="13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04"/>
        <w:gridCol w:w="1046"/>
        <w:gridCol w:w="850"/>
        <w:gridCol w:w="566"/>
        <w:gridCol w:w="568"/>
        <w:gridCol w:w="992"/>
        <w:gridCol w:w="708"/>
        <w:gridCol w:w="993"/>
        <w:gridCol w:w="994"/>
        <w:gridCol w:w="708"/>
      </w:tblGrid>
      <w:tr>
        <w:trPr>
          <w:trHeight w:val="402"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82,434,696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41,217,348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41,163,383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123,598,079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19.81%</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82,434,696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41,217,348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41,163,383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123,598,079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19.81%</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82,434,696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41,217,348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41,163,383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123,598,079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19.81%</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333,541,844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166,770,922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166,824,887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500,366,731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80.19%</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333,541,844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166,770,922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166,824,887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500,366,731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80.19%</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415,976,540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207,988,270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207,988,270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623,964,810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817"/>
        <w:jc w:val="left"/>
      </w:pPr>
      <w:r>
        <w:rPr/>
        <w:t>股份变动的原因</w:t>
      </w:r>
    </w:p>
    <w:p>
      <w:pPr>
        <w:pStyle w:val="BodyText"/>
        <w:spacing w:line="434" w:lineRule="auto" w:before="117"/>
        <w:ind w:left="511" w:right="817" w:hanging="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24</w:t>
      </w:r>
      <w:r>
        <w:rPr>
          <w:spacing w:val="-2"/>
        </w:rPr>
        <w:t>日，公司召开</w:t>
      </w:r>
      <w:r>
        <w:rPr>
          <w:rFonts w:ascii="宋体" w:hAnsi="宋体" w:cs="宋体" w:eastAsia="宋体" w:hint="default"/>
          <w:spacing w:val="-2"/>
        </w:rPr>
        <w:t>2017</w:t>
      </w:r>
      <w:r>
        <w:rPr>
          <w:spacing w:val="-2"/>
        </w:rPr>
        <w:t>年年度股东大会审议通过了《</w:t>
      </w:r>
      <w:r>
        <w:rPr>
          <w:rFonts w:ascii="宋体" w:hAnsi="宋体" w:cs="宋体" w:eastAsia="宋体" w:hint="default"/>
          <w:spacing w:val="-2"/>
        </w:rPr>
        <w:t>2017</w:t>
      </w:r>
      <w:r>
        <w:rPr>
          <w:spacing w:val="-2"/>
        </w:rPr>
        <w:t>年度利润分配方案》。公司</w:t>
      </w:r>
      <w:r>
        <w:rPr>
          <w:rFonts w:ascii="宋体" w:hAnsi="宋体" w:cs="宋体" w:eastAsia="宋体" w:hint="default"/>
          <w:spacing w:val="-2"/>
        </w:rPr>
        <w:t>2017</w:t>
      </w:r>
      <w:r>
        <w:rPr>
          <w:spacing w:val="-2"/>
        </w:rPr>
        <w:t>年度利润分配方案为：</w:t>
      </w:r>
    </w:p>
    <w:p>
      <w:pPr>
        <w:pStyle w:val="BodyText"/>
        <w:spacing w:line="408" w:lineRule="auto" w:before="19"/>
        <w:ind w:right="1212"/>
        <w:jc w:val="left"/>
      </w:pPr>
      <w:r>
        <w:rPr/>
        <w:t>本年度利润不分配，结转下一年度；以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日股本数</w:t>
      </w:r>
      <w:r>
        <w:rPr>
          <w:rFonts w:ascii="宋体" w:hAnsi="宋体" w:cs="宋体" w:eastAsia="宋体" w:hint="default"/>
        </w:rPr>
        <w:t>415,976,540</w:t>
      </w:r>
      <w:r>
        <w:rPr/>
        <w:t>为基数，以资本公积金转增股本，每</w:t>
      </w:r>
      <w:r>
        <w:rPr>
          <w:rFonts w:ascii="宋体" w:hAnsi="宋体" w:cs="宋体" w:eastAsia="宋体" w:hint="default"/>
        </w:rPr>
        <w:t>10</w:t>
      </w:r>
      <w:r>
        <w:rPr/>
        <w:t>股转增</w:t>
      </w:r>
      <w:r>
        <w:rPr>
          <w:rFonts w:ascii="宋体" w:hAnsi="宋体" w:cs="宋体" w:eastAsia="宋体" w:hint="default"/>
        </w:rPr>
        <w:t>5 </w:t>
      </w:r>
      <w:r>
        <w:rPr/>
        <w:t>股，权益分派方案实施后总股本增至</w:t>
      </w:r>
      <w:r>
        <w:rPr>
          <w:rFonts w:ascii="宋体" w:hAnsi="宋体" w:cs="宋体" w:eastAsia="宋体" w:hint="default"/>
        </w:rPr>
        <w:t>623,964,810</w:t>
      </w:r>
      <w:r>
        <w:rPr/>
        <w:t>股，该权益分派已经实施完毕。</w:t>
      </w:r>
    </w:p>
    <w:p>
      <w:pPr>
        <w:spacing w:line="240" w:lineRule="auto" w:before="0"/>
        <w:rPr>
          <w:rFonts w:ascii="宋体" w:hAnsi="宋体" w:cs="宋体" w:eastAsia="宋体" w:hint="default"/>
          <w:sz w:val="18"/>
          <w:szCs w:val="18"/>
        </w:rPr>
      </w:pPr>
    </w:p>
    <w:p>
      <w:pPr>
        <w:pStyle w:val="BodyText"/>
        <w:spacing w:line="240" w:lineRule="auto" w:before="144"/>
        <w:ind w:right="817"/>
        <w:jc w:val="left"/>
      </w:pPr>
      <w:r>
        <w:rPr/>
        <w:t>股份变动的批准情况</w:t>
      </w:r>
    </w:p>
    <w:p>
      <w:pPr>
        <w:pStyle w:val="BodyText"/>
        <w:spacing w:line="240" w:lineRule="auto" w:before="116"/>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817"/>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日，公司召开</w:t>
      </w:r>
      <w:r>
        <w:rPr>
          <w:rFonts w:ascii="Times New Roman" w:hAnsi="Times New Roman" w:cs="Times New Roman" w:eastAsia="Times New Roman" w:hint="default"/>
        </w:rPr>
        <w:t>2017</w:t>
      </w:r>
      <w:r>
        <w:rPr/>
        <w:t>年年度股东大会审议通过了《</w:t>
      </w:r>
      <w:r>
        <w:rPr>
          <w:rFonts w:ascii="Times New Roman" w:hAnsi="Times New Roman" w:cs="Times New Roman" w:eastAsia="Times New Roman" w:hint="default"/>
        </w:rPr>
        <w:t>2017</w:t>
      </w:r>
      <w:r>
        <w:rPr/>
        <w:t>年度利润分配方案》。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817"/>
        <w:jc w:val="left"/>
      </w:pPr>
      <w:r>
        <w:rPr/>
        <w:t>股份变动的过户情况</w:t>
      </w:r>
    </w:p>
    <w:p>
      <w:pPr>
        <w:pStyle w:val="BodyText"/>
        <w:spacing w:line="338" w:lineRule="auto" w:before="116"/>
        <w:ind w:left="514" w:right="19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日。本次权益分派已经全部过户完毕。</w:t>
      </w:r>
    </w:p>
    <w:p>
      <w:pPr>
        <w:spacing w:line="240" w:lineRule="auto" w:before="7"/>
        <w:rPr>
          <w:rFonts w:ascii="宋体" w:hAnsi="宋体" w:cs="宋体" w:eastAsia="宋体" w:hint="default"/>
          <w:sz w:val="25"/>
          <w:szCs w:val="25"/>
        </w:rPr>
      </w:pPr>
    </w:p>
    <w:p>
      <w:pPr>
        <w:pStyle w:val="BodyText"/>
        <w:spacing w:line="240" w:lineRule="auto"/>
        <w:ind w:right="817"/>
        <w:jc w:val="left"/>
      </w:pPr>
      <w:r>
        <w:rPr/>
        <w:t>股份回购的实施进展情况</w:t>
      </w:r>
    </w:p>
    <w:p>
      <w:pPr>
        <w:pStyle w:val="BodyText"/>
        <w:spacing w:line="340" w:lineRule="auto" w:before="116"/>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0"/>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3"/>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817"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日，公司召开</w:t>
      </w:r>
      <w:r>
        <w:rPr>
          <w:rFonts w:ascii="Times New Roman" w:hAnsi="Times New Roman" w:cs="Times New Roman" w:eastAsia="Times New Roman" w:hint="default"/>
          <w:spacing w:val="-2"/>
        </w:rPr>
        <w:t>2017</w:t>
      </w:r>
      <w:r>
        <w:rPr>
          <w:spacing w:val="-2"/>
        </w:rPr>
        <w:t>年年度股东大会审议通过了《</w:t>
      </w:r>
      <w:r>
        <w:rPr>
          <w:rFonts w:ascii="Times New Roman" w:hAnsi="Times New Roman" w:cs="Times New Roman" w:eastAsia="Times New Roman" w:hint="default"/>
          <w:spacing w:val="-2"/>
        </w:rPr>
        <w:t>2017</w:t>
      </w:r>
      <w:r>
        <w:rPr>
          <w:spacing w:val="-2"/>
        </w:rPr>
        <w:t>年度利润分配方案》。公司</w:t>
      </w:r>
      <w:r>
        <w:rPr>
          <w:rFonts w:ascii="Times New Roman" w:hAnsi="Times New Roman" w:cs="Times New Roman" w:eastAsia="Times New Roman" w:hint="default"/>
          <w:spacing w:val="-2"/>
        </w:rPr>
        <w:t>2017</w:t>
      </w:r>
      <w:r>
        <w:rPr>
          <w:spacing w:val="-2"/>
        </w:rPr>
        <w:t>年度利润分配方案为：</w:t>
      </w:r>
      <w:r>
        <w:rPr/>
        <w:t> </w:t>
      </w:r>
      <w:r>
        <w:rPr>
          <w:spacing w:val="-2"/>
        </w:rPr>
        <w:t>本年度利润不分配，结转下一年度；以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日股本数</w:t>
      </w:r>
      <w:r>
        <w:rPr>
          <w:rFonts w:ascii="Times New Roman" w:hAnsi="Times New Roman" w:cs="Times New Roman" w:eastAsia="Times New Roman" w:hint="default"/>
          <w:spacing w:val="-2"/>
        </w:rPr>
        <w:t>415,976,540</w:t>
      </w:r>
      <w:r>
        <w:rPr>
          <w:spacing w:val="-2"/>
        </w:rPr>
        <w:t>为基数，以资本公积金转增股本，每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w:t>
      </w:r>
      <w:r>
        <w:rPr>
          <w:spacing w:val="-44"/>
        </w:rPr>
        <w:t> </w:t>
      </w:r>
      <w:r>
        <w:rPr/>
        <w:t>权益分派方案实施后总股本增至</w:t>
      </w:r>
      <w:r>
        <w:rPr>
          <w:rFonts w:ascii="Times New Roman" w:hAnsi="Times New Roman" w:cs="Times New Roman" w:eastAsia="Times New Roman" w:hint="default"/>
        </w:rPr>
        <w:t>623,964,810</w:t>
      </w:r>
      <w:r>
        <w:rPr/>
        <w:t>股，转增后，公司最近一年的基本每股收益为</w:t>
      </w:r>
      <w:r>
        <w:rPr>
          <w:rFonts w:ascii="Times New Roman" w:hAnsi="Times New Roman" w:cs="Times New Roman" w:eastAsia="Times New Roman" w:hint="default"/>
        </w:rPr>
        <w:t>0.1211</w:t>
      </w:r>
      <w:r>
        <w:rPr/>
        <w:t>元，稀释每股收益为</w:t>
      </w:r>
      <w:r>
        <w:rPr>
          <w:rFonts w:ascii="Times New Roman" w:hAnsi="Times New Roman" w:cs="Times New Roman" w:eastAsia="Times New Roman" w:hint="default"/>
        </w:rPr>
        <w:t>0.1211 </w:t>
      </w:r>
      <w:r>
        <w:rPr/>
        <w:t>元。</w:t>
      </w:r>
    </w:p>
    <w:p>
      <w:pPr>
        <w:spacing w:line="240" w:lineRule="auto" w:before="0"/>
        <w:rPr>
          <w:rFonts w:ascii="宋体" w:hAnsi="宋体" w:cs="宋体" w:eastAsia="宋体" w:hint="default"/>
          <w:sz w:val="18"/>
          <w:szCs w:val="18"/>
        </w:rPr>
      </w:pPr>
    </w:p>
    <w:p>
      <w:pPr>
        <w:pStyle w:val="BodyText"/>
        <w:spacing w:line="240" w:lineRule="auto" w:before="149"/>
        <w:ind w:right="817"/>
        <w:jc w:val="left"/>
      </w:pPr>
      <w:r>
        <w:rPr/>
        <w:t>公司认为必要或证券监管机构要求披露的其他内容</w:t>
      </w:r>
    </w:p>
    <w:p>
      <w:pPr>
        <w:pStyle w:val="BodyText"/>
        <w:spacing w:line="240" w:lineRule="auto" w:before="117"/>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2、限售股份变动情况" w:id="132"/>
      <w:bookmarkEnd w:id="13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0" w:right="1136"/>
        <w:jc w:val="right"/>
      </w:pPr>
      <w:r>
        <w:rPr/>
        <w:pict>
          <v:shape style="position:absolute;margin-left:56.459999pt;margin-top:-119.018288pt;width:479.35pt;height:491.3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277"/>
                    <w:gridCol w:w="1134"/>
                    <w:gridCol w:w="1275"/>
                    <w:gridCol w:w="1276"/>
                    <w:gridCol w:w="1134"/>
                    <w:gridCol w:w="2626"/>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2" w:right="90"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22,990,947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11,495,473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34,486,420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任职期内，每年所持股份总数的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予以锁定</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32,701,415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16,350,707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49,052,122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日所获股份的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解禁，</w:t>
                        </w:r>
                        <w:r>
                          <w:rPr>
                            <w:rFonts w:ascii="Times New Roman" w:hAnsi="Times New Roman" w:cs="Times New Roman" w:eastAsia="Times New Roman" w:hint="default"/>
                            <w:sz w:val="18"/>
                            <w:szCs w:val="18"/>
                          </w:rPr>
                          <w:t>5%</w:t>
                        </w:r>
                        <w:r>
                          <w:rPr>
                            <w:rFonts w:ascii="宋体" w:hAnsi="宋体" w:cs="宋体" w:eastAsia="宋体" w:hint="default"/>
                            <w:sz w:val="18"/>
                            <w:szCs w:val="18"/>
                          </w:rPr>
                          <w:t>锁定期为自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锁定期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为自</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锁定期为自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15,039,763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7,519,882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22,559,645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日所获股份的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解禁， </w:t>
                        </w:r>
                        <w:r>
                          <w:rPr>
                            <w:rFonts w:ascii="Times New Roman" w:hAnsi="Times New Roman" w:cs="Times New Roman" w:eastAsia="Times New Roman" w:hint="default"/>
                            <w:sz w:val="18"/>
                            <w:szCs w:val="18"/>
                          </w:rPr>
                          <w:t>5%</w:t>
                        </w:r>
                        <w:r>
                          <w:rPr>
                            <w:rFonts w:ascii="宋体" w:hAnsi="宋体" w:cs="宋体" w:eastAsia="宋体" w:hint="default"/>
                            <w:sz w:val="18"/>
                            <w:szCs w:val="18"/>
                          </w:rPr>
                          <w:t>锁定期为自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个月；其余股份锁</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定期为自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个月</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陈兆滨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4,062,455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2,031,227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6,093,682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鲁武英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2,743,838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1,371,919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4,115,757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毛智才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1,754,587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877,293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2,631,880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叶泉青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高管辞职，股 份锁定</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p>
                        <w:pPr>
                          <w:pStyle w:val="TableParagraph"/>
                          <w:spacing w:line="302" w:lineRule="auto" w:before="6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日前每年所持股份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许志强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56,925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任职期内，每年所持股份总数的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予以锁定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黄益年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任职期内，每年所持股份总数的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予以锁定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任职期内，每年所持股份总数的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予以锁定</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戴思宏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25,125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37,687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高管辞职，股</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1134"/>
        <w:gridCol w:w="1275"/>
        <w:gridCol w:w="1276"/>
        <w:gridCol w:w="1134"/>
        <w:gridCol w:w="2626"/>
      </w:tblGrid>
      <w:tr>
        <w:trPr>
          <w:trHeight w:val="674"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份锁定</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日前每年所持股份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予以锁定。</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戴良虎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136,950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个月内解禁</w:t>
            </w:r>
          </w:p>
          <w:p>
            <w:pPr>
              <w:pStyle w:val="TableParagraph"/>
              <w:spacing w:line="302" w:lineRule="auto" w:before="61"/>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个月内解禁</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99"/>
                <w:sz w:val="18"/>
                <w:szCs w:val="18"/>
              </w:rPr>
              <w:t> </w:t>
            </w:r>
            <w:r>
              <w:rPr>
                <w:rFonts w:ascii="宋体" w:hAnsi="宋体" w:cs="宋体" w:eastAsia="宋体" w:hint="default"/>
                <w:sz w:val="18"/>
                <w:szCs w:val="18"/>
              </w:rPr>
              <w:t>月解禁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个月内解禁</w:t>
            </w:r>
          </w:p>
          <w:p>
            <w:pPr>
              <w:pStyle w:val="TableParagraph"/>
              <w:spacing w:line="302" w:lineRule="auto" w:before="61"/>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个月内解禁</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99"/>
                <w:sz w:val="18"/>
                <w:szCs w:val="18"/>
              </w:rPr>
              <w:t> </w:t>
            </w:r>
            <w:r>
              <w:rPr>
                <w:rFonts w:ascii="宋体" w:hAnsi="宋体" w:cs="宋体" w:eastAsia="宋体" w:hint="default"/>
                <w:sz w:val="18"/>
                <w:szCs w:val="18"/>
              </w:rPr>
              <w:t>月解禁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其他中层 管理人员 合计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个月内解禁</w:t>
            </w:r>
          </w:p>
          <w:p>
            <w:pPr>
              <w:pStyle w:val="TableParagraph"/>
              <w:spacing w:line="302" w:lineRule="auto" w:before="61"/>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个月内解禁</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99"/>
                <w:sz w:val="18"/>
                <w:szCs w:val="18"/>
              </w:rPr>
              <w:t> </w:t>
            </w:r>
            <w:r>
              <w:rPr>
                <w:rFonts w:ascii="宋体" w:hAnsi="宋体" w:cs="宋体" w:eastAsia="宋体" w:hint="default"/>
                <w:sz w:val="18"/>
                <w:szCs w:val="18"/>
              </w:rPr>
              <w:t>月解禁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674,841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337,421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1,012,262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8"/>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82,434,696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41,163,383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123,598,079</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817"/>
        <w:jc w:val="left"/>
        <w:rPr>
          <w:b w:val="0"/>
          <w:bCs w:val="0"/>
        </w:rPr>
      </w:pPr>
      <w:bookmarkStart w:name="二、证券发行与上市情况" w:id="133"/>
      <w:bookmarkEnd w:id="13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报告期内证券发行（不含优先股）情况" w:id="134"/>
      <w:bookmarkEnd w:id="13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2、公司股份总数及股东结构的变动、公司资产和负债结构的变动情况说明" w:id="135"/>
      <w:bookmarkEnd w:id="13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5"/>
          <w:szCs w:val="15"/>
        </w:rPr>
      </w:pPr>
    </w:p>
    <w:p>
      <w:pPr>
        <w:pStyle w:val="BodyText"/>
        <w:spacing w:line="384" w:lineRule="auto"/>
        <w:ind w:right="104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日，公司召开</w:t>
      </w:r>
      <w:r>
        <w:rPr>
          <w:rFonts w:ascii="Times New Roman" w:hAnsi="Times New Roman" w:cs="Times New Roman" w:eastAsia="Times New Roman" w:hint="default"/>
          <w:spacing w:val="-2"/>
        </w:rPr>
        <w:t>2017</w:t>
      </w:r>
      <w:r>
        <w:rPr>
          <w:spacing w:val="-2"/>
        </w:rPr>
        <w:t>年年度股东大会审议通过了《</w:t>
      </w:r>
      <w:r>
        <w:rPr>
          <w:rFonts w:ascii="Times New Roman" w:hAnsi="Times New Roman" w:cs="Times New Roman" w:eastAsia="Times New Roman" w:hint="default"/>
          <w:spacing w:val="-2"/>
        </w:rPr>
        <w:t>2017</w:t>
      </w:r>
      <w:r>
        <w:rPr>
          <w:spacing w:val="-2"/>
        </w:rPr>
        <w:t>年度利润分配方案》。公司</w:t>
      </w:r>
      <w:r>
        <w:rPr>
          <w:rFonts w:ascii="Times New Roman" w:hAnsi="Times New Roman" w:cs="Times New Roman" w:eastAsia="Times New Roman" w:hint="default"/>
          <w:spacing w:val="-2"/>
        </w:rPr>
        <w:t>2017</w:t>
      </w:r>
      <w:r>
        <w:rPr>
          <w:spacing w:val="-2"/>
        </w:rPr>
        <w:t>年度利润分配方案为：</w:t>
      </w:r>
      <w:r>
        <w:rPr/>
        <w:t> </w:t>
      </w:r>
      <w:r>
        <w:rPr>
          <w:spacing w:val="-2"/>
        </w:rPr>
        <w:t>本年度利润不分配，结转下一年度；以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日股本数</w:t>
      </w:r>
      <w:r>
        <w:rPr>
          <w:rFonts w:ascii="Times New Roman" w:hAnsi="Times New Roman" w:cs="Times New Roman" w:eastAsia="Times New Roman" w:hint="default"/>
          <w:spacing w:val="-2"/>
        </w:rPr>
        <w:t>415,976,540</w:t>
      </w:r>
      <w:r>
        <w:rPr>
          <w:spacing w:val="-2"/>
        </w:rPr>
        <w:t>为基数，以资本公积金转增股本，每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w:t>
      </w:r>
      <w:r>
        <w:rPr>
          <w:spacing w:val="-44"/>
        </w:rPr>
        <w:t> </w:t>
      </w:r>
      <w:r>
        <w:rPr/>
        <w:t>权益分派方案实施后总股本增至</w:t>
      </w:r>
      <w:r>
        <w:rPr>
          <w:rFonts w:ascii="Times New Roman" w:hAnsi="Times New Roman" w:cs="Times New Roman" w:eastAsia="Times New Roman" w:hint="default"/>
        </w:rPr>
        <w:t>623,964,810</w:t>
      </w:r>
      <w:r>
        <w:rPr/>
        <w:t>股，该权益分派已经实施完毕。</w:t>
      </w:r>
    </w:p>
    <w:p>
      <w:pPr>
        <w:pStyle w:val="BodyText"/>
        <w:spacing w:line="240" w:lineRule="auto" w:before="32"/>
        <w:ind w:left="514" w:right="817"/>
        <w:jc w:val="left"/>
      </w:pPr>
      <w:r>
        <w:rPr/>
        <w:t>截止报告期末，公司股份总数为</w:t>
      </w:r>
      <w:r>
        <w:rPr>
          <w:rFonts w:ascii="Times New Roman" w:hAnsi="Times New Roman" w:cs="Times New Roman" w:eastAsia="Times New Roman" w:hint="default"/>
        </w:rPr>
        <w:t>623,964,810</w:t>
      </w:r>
      <w:r>
        <w:rPr/>
        <w:t>股，公司资产总额为</w:t>
      </w:r>
      <w:r>
        <w:rPr>
          <w:rFonts w:ascii="宋体" w:hAnsi="宋体" w:cs="宋体" w:eastAsia="宋体" w:hint="default"/>
        </w:rPr>
        <w:t>2,521,858,973.64</w:t>
      </w:r>
      <w:r>
        <w:rPr/>
        <w:t>元。</w:t>
      </w:r>
    </w:p>
    <w:p>
      <w:pPr>
        <w:spacing w:line="240" w:lineRule="auto" w:before="13"/>
        <w:rPr>
          <w:rFonts w:ascii="宋体" w:hAnsi="宋体" w:cs="宋体" w:eastAsia="宋体" w:hint="default"/>
          <w:sz w:val="24"/>
          <w:szCs w:val="24"/>
        </w:rPr>
      </w:pPr>
    </w:p>
    <w:p>
      <w:pPr>
        <w:pStyle w:val="Heading4"/>
        <w:spacing w:line="240" w:lineRule="auto"/>
        <w:ind w:right="817"/>
        <w:jc w:val="left"/>
        <w:rPr>
          <w:b w:val="0"/>
          <w:bCs w:val="0"/>
        </w:rPr>
      </w:pPr>
      <w:bookmarkStart w:name="3、现存的内部职工股情况" w:id="136"/>
      <w:bookmarkEnd w:id="13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三、股东和实际控制人情况" w:id="137"/>
      <w:bookmarkEnd w:id="13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公司股东数量及持股情况" w:id="138"/>
      <w:bookmarkEnd w:id="13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5"/>
        <w:gridCol w:w="1196"/>
        <w:gridCol w:w="1196"/>
        <w:gridCol w:w="1197"/>
        <w:gridCol w:w="1196"/>
        <w:gridCol w:w="1195"/>
      </w:tblGrid>
      <w:tr>
        <w:trPr>
          <w:trHeight w:val="134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61,314</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42,792</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8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121"/>
                <w:sz w:val="18"/>
                <w:szCs w:val="18"/>
              </w:rPr>
              <w:t>）</w:t>
            </w:r>
            <w:r>
              <w:rPr>
                <w:rFonts w:ascii="宋体" w:hAnsi="宋体" w:cs="宋体" w:eastAsia="宋体" w:hint="default"/>
                <w:sz w:val="18"/>
                <w:szCs w:val="18"/>
              </w:rPr>
              <w:t>（参见</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461"/>
        <w:gridCol w:w="736"/>
        <w:gridCol w:w="116"/>
        <w:gridCol w:w="1120"/>
        <w:gridCol w:w="1004"/>
        <w:gridCol w:w="140"/>
        <w:gridCol w:w="1207"/>
      </w:tblGrid>
      <w:tr>
        <w:trPr>
          <w:trHeight w:val="35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gridSpan w:val="2"/>
            <w:vMerge w:val="restart"/>
            <w:tcBorders>
              <w:top w:val="single" w:sz="4" w:space="0" w:color="000000"/>
              <w:left w:val="single" w:sz="4" w:space="0" w:color="000000"/>
              <w:right w:val="single" w:sz="4" w:space="0" w:color="000000"/>
            </w:tcBorders>
          </w:tcPr>
          <w:p>
            <w:pPr/>
          </w:p>
        </w:tc>
        <w:tc>
          <w:tcPr>
            <w:tcW w:w="1237" w:type="dxa"/>
            <w:gridSpan w:val="2"/>
            <w:vMerge w:val="restart"/>
            <w:tcBorders>
              <w:top w:val="single" w:sz="4" w:space="0" w:color="000000"/>
              <w:left w:val="single" w:sz="4" w:space="0" w:color="000000"/>
              <w:right w:val="single" w:sz="4" w:space="0" w:color="000000"/>
            </w:tcBorders>
            <w:shd w:val="clear" w:color="auto" w:fill="D2D2D2"/>
          </w:tcPr>
          <w:p>
            <w:pPr/>
          </w:p>
        </w:tc>
        <w:tc>
          <w:tcPr>
            <w:tcW w:w="1155" w:type="dxa"/>
            <w:gridSpan w:val="2"/>
            <w:vMerge w:val="restart"/>
            <w:tcBorders>
              <w:top w:val="single" w:sz="4" w:space="0" w:color="000000"/>
              <w:left w:val="single" w:sz="4" w:space="0" w:color="000000"/>
              <w:right w:val="single" w:sz="9" w:space="0" w:color="D2D2D2"/>
            </w:tcBorders>
          </w:tcPr>
          <w:p>
            <w:pP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37" w:type="dxa"/>
            <w:gridSpan w:val="2"/>
            <w:vMerge w:val="restart"/>
            <w:tcBorders>
              <w:top w:val="single" w:sz="4" w:space="0" w:color="000000"/>
              <w:left w:val="single" w:sz="9" w:space="0" w:color="D2D2D2"/>
              <w:right w:val="single" w:sz="9" w:space="0" w:color="D2D2D2"/>
            </w:tcBorders>
          </w:tcPr>
          <w:p>
            <w:pPr/>
          </w:p>
        </w:tc>
        <w:tc>
          <w:tcPr>
            <w:tcW w:w="11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8" w:right="8"/>
              <w:jc w:val="left"/>
              <w:rPr>
                <w:rFonts w:ascii="宋体" w:hAnsi="宋体" w:cs="宋体" w:eastAsia="宋体" w:hint="default"/>
                <w:sz w:val="18"/>
                <w:szCs w:val="18"/>
              </w:rPr>
            </w:pP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gridSpan w:val="2"/>
            <w:vMerge/>
            <w:tcBorders>
              <w:left w:val="single" w:sz="4" w:space="0" w:color="000000"/>
              <w:bottom w:val="single" w:sz="4" w:space="0" w:color="000000"/>
              <w:right w:val="single" w:sz="4" w:space="0" w:color="000000"/>
            </w:tcBorders>
          </w:tcPr>
          <w:p>
            <w:pPr/>
          </w:p>
        </w:tc>
        <w:tc>
          <w:tcPr>
            <w:tcW w:w="1237" w:type="dxa"/>
            <w:gridSpan w:val="2"/>
            <w:vMerge/>
            <w:tcBorders>
              <w:left w:val="single" w:sz="4" w:space="0" w:color="000000"/>
              <w:bottom w:val="single" w:sz="4" w:space="0" w:color="000000"/>
              <w:right w:val="single" w:sz="4" w:space="0" w:color="000000"/>
            </w:tcBorders>
            <w:shd w:val="clear" w:color="auto" w:fill="D2D2D2"/>
          </w:tcPr>
          <w:p>
            <w:pPr/>
          </w:p>
        </w:tc>
        <w:tc>
          <w:tcPr>
            <w:tcW w:w="1155" w:type="dxa"/>
            <w:gridSpan w:val="2"/>
            <w:vMerge/>
            <w:tcBorders>
              <w:left w:val="single" w:sz="4" w:space="0" w:color="000000"/>
              <w:bottom w:val="single" w:sz="4" w:space="0" w:color="000000"/>
              <w:right w:val="single" w:sz="9"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37" w:type="dxa"/>
            <w:gridSpan w:val="2"/>
            <w:vMerge/>
            <w:tcBorders>
              <w:left w:val="single" w:sz="9" w:space="0" w:color="D2D2D2"/>
              <w:bottom w:val="single" w:sz="4" w:space="0" w:color="000000"/>
              <w:right w:val="single" w:sz="9" w:space="0" w:color="D2D2D2"/>
            </w:tcBorders>
          </w:tcPr>
          <w:p>
            <w:pPr/>
          </w:p>
        </w:tc>
        <w:tc>
          <w:tcPr>
            <w:tcW w:w="1145"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8" w:type="dxa"/>
            <w:vMerge w:val="restart"/>
            <w:tcBorders>
              <w:top w:val="single" w:sz="4" w:space="0" w:color="000000"/>
              <w:left w:val="single" w:sz="4" w:space="0" w:color="000000"/>
              <w:right w:val="single" w:sz="4" w:space="0" w:color="000000"/>
            </w:tcBorders>
            <w:shd w:val="clear" w:color="auto" w:fill="D2D2D2"/>
          </w:tcPr>
          <w:p>
            <w:pP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9" w:right="6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1" w:right="9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4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8"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2352" w:type="dxa"/>
            <w:gridSpan w:val="3"/>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1"/>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2352"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4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8" w:type="dxa"/>
            <w:vMerge w:val="restart"/>
            <w:tcBorders>
              <w:top w:val="nil" w:sz="6" w:space="0" w:color="auto"/>
              <w:left w:val="single" w:sz="4" w:space="0" w:color="000000"/>
              <w:right w:val="single" w:sz="4" w:space="0" w:color="000000"/>
            </w:tcBorders>
            <w:shd w:val="clear" w:color="auto" w:fill="D2D2D2"/>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1120"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86,669,68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86,669,683</w:t>
            </w:r>
          </w:p>
        </w:tc>
        <w:tc>
          <w:tcPr>
            <w:tcW w:w="100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3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51,500,000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57,708,37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49,052,12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8,656,255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49,252,122</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45,981,89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34,486,42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11,495,474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15,600,000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22,570,20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22,559,64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10,555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22,559,757</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中欧基金－招商 银行－天津珑曜 恒达资产管理有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1.92%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7"/>
              <w:jc w:val="right"/>
              <w:rPr>
                <w:rFonts w:ascii="Times New Roman" w:hAnsi="Times New Roman" w:cs="Times New Roman" w:eastAsia="Times New Roman" w:hint="default"/>
                <w:sz w:val="18"/>
                <w:szCs w:val="18"/>
              </w:rPr>
            </w:pPr>
            <w:r>
              <w:rPr>
                <w:rFonts w:ascii="Times New Roman"/>
                <w:sz w:val="18"/>
              </w:rPr>
              <w:t>12,000,019</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天津腾云时代数 据服务有限公司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11,860,000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11,860,000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中欧基金－招商 银行－中欧增值 资产管理计划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11,500,000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叶云燕</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7,820,000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陈兆滨</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6,093,682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6,093,682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2,843,682</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鲁武英</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4,115,757</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4,115,757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前述股东中，张杰和林旭曦为夫妻关系；除此之外，公司不知悉其他股东之间是否存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在关联关系。</w:t>
            </w: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335"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3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35"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5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4"/>
            <w:vMerge/>
            <w:tcBorders>
              <w:left w:val="single" w:sz="4" w:space="0" w:color="000000"/>
              <w:bottom w:val="nil" w:sz="6" w:space="0" w:color="auto"/>
              <w:right w:val="single" w:sz="4" w:space="0" w:color="000000"/>
            </w:tcBorders>
            <w:shd w:val="clear" w:color="auto" w:fill="D2D2D2"/>
          </w:tcPr>
          <w:p>
            <w:pPr/>
          </w:p>
        </w:tc>
        <w:tc>
          <w:tcPr>
            <w:tcW w:w="4335" w:type="dxa"/>
            <w:gridSpan w:val="7"/>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335"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433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86,669,683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6"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86,669,683</w:t>
            </w:r>
          </w:p>
        </w:tc>
      </w:tr>
      <w:tr>
        <w:trPr>
          <w:trHeight w:val="714"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中欧基金－招商银行－天津珑曜恒 达资产管理有限公司</w:t>
            </w:r>
          </w:p>
        </w:tc>
        <w:tc>
          <w:tcPr>
            <w:tcW w:w="433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12,000,019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6"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12,000,019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82"/>
        <w:gridCol w:w="4350"/>
        <w:gridCol w:w="990"/>
        <w:gridCol w:w="1348"/>
      </w:tblGrid>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天津腾云时代数据服务有限公司</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中欧基金－招商银行－中欧增值资 产管理计划</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11,495,474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11,495,474</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8,656,255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8,656,255</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叶云燕</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中融基金－平安银行－中融国际信 托有限公司</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3,500,768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3,500,768</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中欧基金－招商银行－中欧回报资 产管理计划</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3,000,050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3,000,050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财通基金－工商银行－国海证券股 份有限公司</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2,512,561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2,512,561</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5" w:right="21"/>
              <w:jc w:val="left"/>
              <w:rPr>
                <w:rFonts w:ascii="宋体" w:hAnsi="宋体" w:cs="宋体" w:eastAsia="宋体" w:hint="default"/>
                <w:sz w:val="18"/>
                <w:szCs w:val="18"/>
              </w:rPr>
            </w:pPr>
            <w:r>
              <w:rPr>
                <w:rFonts w:ascii="宋体" w:hAnsi="宋体" w:cs="宋体" w:eastAsia="宋体" w:hint="default"/>
                <w:spacing w:val="-1"/>
                <w:sz w:val="18"/>
                <w:szCs w:val="18"/>
              </w:rPr>
              <w:t>前述股东中，张杰和林旭曦为夫妻关系；除此之外，公司不知悉其他股东之间是否存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在关联关系。</w:t>
            </w:r>
          </w:p>
        </w:tc>
      </w:tr>
    </w:tbl>
    <w:p>
      <w:pPr>
        <w:pStyle w:val="BodyText"/>
        <w:spacing w:line="240" w:lineRule="auto" w:before="51"/>
        <w:ind w:right="81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81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817"/>
        <w:jc w:val="left"/>
        <w:rPr>
          <w:b w:val="0"/>
          <w:bCs w:val="0"/>
        </w:rPr>
      </w:pPr>
      <w:bookmarkStart w:name="2、公司控股股东情况" w:id="139"/>
      <w:bookmarkEnd w:id="13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张杰为公司董事长、总经理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817"/>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817"/>
        <w:jc w:val="left"/>
        <w:rPr>
          <w:b w:val="0"/>
          <w:bCs w:val="0"/>
        </w:rPr>
      </w:pPr>
      <w:bookmarkStart w:name="3、公司实际控制人及其一致行动人" w:id="140"/>
      <w:bookmarkEnd w:id="140"/>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林旭曦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张杰为公司董事长、总经理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817"/>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20"/>
          <w:szCs w:val="20"/>
        </w:rPr>
      </w:pPr>
    </w:p>
    <w:p>
      <w:pPr>
        <w:spacing w:line="4191" w:lineRule="exact"/>
        <w:ind w:left="2572"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3047617" cy="266166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8" cstate="print"/>
                    <a:stretch>
                      <a:fillRect/>
                    </a:stretch>
                  </pic:blipFill>
                  <pic:spPr>
                    <a:xfrm>
                      <a:off x="0" y="0"/>
                      <a:ext cx="3047617" cy="2661666"/>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3"/>
        <w:rPr>
          <w:rFonts w:ascii="宋体" w:hAnsi="宋体" w:cs="宋体" w:eastAsia="宋体" w:hint="default"/>
          <w:sz w:val="19"/>
          <w:szCs w:val="19"/>
        </w:rPr>
      </w:pPr>
    </w:p>
    <w:p>
      <w:pPr>
        <w:pStyle w:val="Heading3"/>
        <w:spacing w:line="240" w:lineRule="auto"/>
        <w:ind w:left="154" w:right="817"/>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817"/>
        <w:jc w:val="left"/>
        <w:rPr>
          <w:b w:val="0"/>
          <w:bCs w:val="0"/>
        </w:rPr>
      </w:pPr>
      <w:bookmarkStart w:name="4、其他持股在10%以上的法人股东" w:id="141"/>
      <w:bookmarkEnd w:id="14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817"/>
        <w:jc w:val="left"/>
        <w:rPr>
          <w:b w:val="0"/>
          <w:bCs w:val="0"/>
        </w:rPr>
      </w:pPr>
      <w:bookmarkStart w:name="5、控股股东、实际控制人、重组方及其他承诺主体股份限制减持情况" w:id="142"/>
      <w:bookmarkEnd w:id="14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817"/>
        <w:jc w:val="left"/>
        <w:rPr>
          <w:b w:val="0"/>
          <w:bCs w:val="0"/>
        </w:rPr>
      </w:pPr>
      <w:bookmarkStart w:name="_TOC_250005" w:id="143"/>
      <w:bookmarkStart w:name="第七节 优先股相关情况" w:id="144"/>
      <w:r>
        <w:rPr>
          <w:b w:val="0"/>
          <w:bCs w:val="0"/>
        </w:rPr>
      </w:r>
      <w:r>
        <w:rPr/>
        <w:t>第七节</w:t>
      </w:r>
      <w:r>
        <w:rPr>
          <w:spacing w:val="-8"/>
        </w:rPr>
        <w:t> </w:t>
      </w:r>
      <w:r>
        <w:rPr/>
        <w:t>优先股相关情况</w:t>
      </w:r>
      <w:bookmarkEnd w:id="143"/>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817"/>
        <w:jc w:val="left"/>
        <w:rPr>
          <w:b w:val="0"/>
          <w:bCs w:val="0"/>
        </w:rPr>
      </w:pPr>
      <w:bookmarkStart w:name="_TOC_250004" w:id="145"/>
      <w:bookmarkStart w:name="第八节 董事、监事、高级管理人员和员工情况" w:id="146"/>
      <w:r>
        <w:rPr>
          <w:b w:val="0"/>
          <w:bCs w:val="0"/>
        </w:rPr>
      </w:r>
      <w:r>
        <w:rPr/>
        <w:t>第八节</w:t>
      </w:r>
      <w:r>
        <w:rPr>
          <w:spacing w:val="-14"/>
        </w:rPr>
        <w:t> </w:t>
      </w:r>
      <w:r>
        <w:rPr/>
        <w:t>董事、监事、高级管理人员和员工情况</w:t>
      </w:r>
      <w:bookmarkEnd w:id="14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17"/>
        <w:jc w:val="left"/>
        <w:rPr>
          <w:b w:val="0"/>
          <w:bCs w:val="0"/>
        </w:rPr>
      </w:pPr>
      <w:bookmarkStart w:name="一、董事、监事和高级管理人员持股变动" w:id="147"/>
      <w:bookmarkEnd w:id="14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566"/>
        <w:gridCol w:w="568"/>
        <w:gridCol w:w="850"/>
        <w:gridCol w:w="851"/>
        <w:gridCol w:w="992"/>
        <w:gridCol w:w="850"/>
        <w:gridCol w:w="710"/>
        <w:gridCol w:w="992"/>
        <w:gridCol w:w="1067"/>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9"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30,654,596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15,327,298</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45,981,894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38,472,252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19,236,125</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57,708,377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黄益年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许志强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37,950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113,850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戴思宏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16,750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50,250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0"/>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69,545,248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34,772,623</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104,317,871</w:t>
            </w:r>
          </w:p>
        </w:tc>
      </w:tr>
    </w:tbl>
    <w:p>
      <w:pPr>
        <w:spacing w:line="240" w:lineRule="auto" w:before="2"/>
        <w:rPr>
          <w:rFonts w:ascii="宋体" w:hAnsi="宋体" w:cs="宋体" w:eastAsia="宋体" w:hint="default"/>
          <w:b/>
          <w:bCs/>
          <w:sz w:val="18"/>
          <w:szCs w:val="18"/>
        </w:rPr>
      </w:pPr>
    </w:p>
    <w:p>
      <w:pPr>
        <w:pStyle w:val="Heading2"/>
        <w:spacing w:line="240" w:lineRule="auto" w:before="26"/>
        <w:ind w:right="817"/>
        <w:jc w:val="left"/>
        <w:rPr>
          <w:b w:val="0"/>
          <w:bCs w:val="0"/>
        </w:rPr>
      </w:pPr>
      <w:bookmarkStart w:name="二、公司董事、监事、高级管理人员变动情况" w:id="148"/>
      <w:bookmarkEnd w:id="148"/>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2072"/>
        <w:gridCol w:w="994"/>
        <w:gridCol w:w="1842"/>
        <w:gridCol w:w="3330"/>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戴思宏</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陈文坚</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选聘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817"/>
        <w:jc w:val="left"/>
        <w:rPr>
          <w:b w:val="0"/>
          <w:bCs w:val="0"/>
        </w:rPr>
      </w:pPr>
      <w:bookmarkStart w:name="三、任职情况" w:id="149"/>
      <w:bookmarkEnd w:id="149"/>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460" w:lineRule="auto"/>
        <w:ind w:left="574" w:right="3732" w:hanging="420"/>
        <w:jc w:val="left"/>
      </w:pPr>
      <w:r>
        <w:rPr/>
        <w:t>公司现任董事、监事、高级管理人员专业背景、主要工作经历以及目前在公司的主要职责 </w:t>
      </w:r>
      <w:r>
        <w:rPr>
          <w:rFonts w:ascii="宋体" w:hAnsi="宋体" w:cs="宋体" w:eastAsia="宋体" w:hint="default"/>
        </w:rPr>
        <w:t>1</w:t>
      </w:r>
      <w:r>
        <w:rPr/>
        <w:t>、张杰先生，</w:t>
      </w:r>
      <w:r>
        <w:rPr>
          <w:rFonts w:ascii="宋体" w:hAnsi="宋体" w:cs="宋体" w:eastAsia="宋体" w:hint="default"/>
        </w:rPr>
        <w:t>2007</w:t>
      </w:r>
      <w:r>
        <w:rPr/>
        <w:t>年</w:t>
      </w:r>
      <w:r>
        <w:rPr>
          <w:rFonts w:ascii="宋体" w:hAnsi="宋体" w:cs="宋体" w:eastAsia="宋体" w:hint="default"/>
        </w:rPr>
        <w:t>5</w:t>
      </w:r>
      <w:r>
        <w:rPr/>
        <w:t>月起至今任本公司董事长职务。</w:t>
      </w:r>
    </w:p>
    <w:p>
      <w:pPr>
        <w:pStyle w:val="BodyText"/>
        <w:spacing w:line="234" w:lineRule="exact"/>
        <w:ind w:left="574" w:right="817"/>
        <w:jc w:val="left"/>
        <w:rPr>
          <w:rFonts w:ascii="宋体" w:hAnsi="宋体" w:cs="宋体" w:eastAsia="宋体" w:hint="default"/>
        </w:rPr>
      </w:pPr>
      <w:r>
        <w:rPr>
          <w:rFonts w:ascii="宋体" w:hAnsi="宋体" w:cs="宋体" w:eastAsia="宋体" w:hint="default"/>
          <w:spacing w:val="-3"/>
        </w:rPr>
        <w:t>2</w:t>
      </w:r>
      <w:r>
        <w:rPr>
          <w:spacing w:val="-3"/>
        </w:rPr>
        <w:t>、何少平先生，</w:t>
      </w:r>
      <w:r>
        <w:rPr>
          <w:rFonts w:ascii="宋体" w:hAnsi="宋体" w:cs="宋体" w:eastAsia="宋体" w:hint="default"/>
          <w:spacing w:val="-3"/>
        </w:rPr>
        <w:t>2007</w:t>
      </w:r>
      <w:r>
        <w:rPr>
          <w:spacing w:val="-3"/>
        </w:rPr>
        <w:t>年</w:t>
      </w:r>
      <w:r>
        <w:rPr>
          <w:rFonts w:ascii="宋体" w:hAnsi="宋体" w:cs="宋体" w:eastAsia="宋体" w:hint="default"/>
          <w:spacing w:val="-3"/>
        </w:rPr>
        <w:t>6</w:t>
      </w:r>
      <w:r>
        <w:rPr>
          <w:spacing w:val="-3"/>
        </w:rPr>
        <w:t>月至</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月厦门住宅建设集团有限公司任审计部经理，风险控制副总监，</w:t>
      </w:r>
      <w:r>
        <w:rPr>
          <w:rFonts w:ascii="宋体" w:hAnsi="宋体" w:cs="宋体" w:eastAsia="宋体" w:hint="default"/>
          <w:spacing w:val="-3"/>
        </w:rPr>
        <w:t>2007</w:t>
      </w:r>
      <w:r>
        <w:rPr>
          <w:spacing w:val="-3"/>
        </w:rPr>
        <w:t>年</w:t>
      </w:r>
      <w:r>
        <w:rPr>
          <w:rFonts w:ascii="宋体" w:hAnsi="宋体" w:cs="宋体" w:eastAsia="宋体" w:hint="default"/>
          <w:spacing w:val="-3"/>
        </w:rPr>
        <w:t>5</w:t>
      </w:r>
      <w:r>
        <w:rPr>
          <w:spacing w:val="-3"/>
        </w:rPr>
        <w:t>月至</w:t>
      </w:r>
      <w:r>
        <w:rPr>
          <w:rFonts w:ascii="宋体" w:hAnsi="宋体" w:cs="宋体" w:eastAsia="宋体" w:hint="default"/>
          <w:spacing w:val="-3"/>
        </w:rPr>
        <w:t>2013</w:t>
      </w:r>
    </w:p>
    <w:p>
      <w:pPr>
        <w:spacing w:after="0" w:line="234" w:lineRule="exact"/>
        <w:jc w:val="left"/>
        <w:rPr>
          <w:rFonts w:ascii="宋体" w:hAnsi="宋体" w:cs="宋体" w:eastAsia="宋体" w:hint="default"/>
        </w:rPr>
        <w:sectPr>
          <w:pgSz w:w="11910" w:h="16840"/>
          <w:pgMar w:header="877" w:footer="979" w:top="1100" w:bottom="1160" w:left="980" w:right="0"/>
        </w:sectPr>
      </w:pPr>
    </w:p>
    <w:p>
      <w:pPr>
        <w:spacing w:line="240" w:lineRule="auto" w:before="7"/>
        <w:rPr>
          <w:rFonts w:ascii="宋体" w:hAnsi="宋体" w:cs="宋体" w:eastAsia="宋体" w:hint="default"/>
          <w:sz w:val="29"/>
          <w:szCs w:val="29"/>
        </w:rPr>
      </w:pPr>
    </w:p>
    <w:p>
      <w:pPr>
        <w:pStyle w:val="BodyText"/>
        <w:spacing w:line="408" w:lineRule="auto" w:before="44"/>
        <w:ind w:left="574" w:right="1121" w:hanging="420"/>
        <w:jc w:val="left"/>
      </w:pPr>
      <w:r>
        <w:rPr/>
        <w:t>年</w:t>
      </w:r>
      <w:r>
        <w:rPr>
          <w:rFonts w:ascii="宋体" w:hAnsi="宋体" w:cs="宋体" w:eastAsia="宋体" w:hint="default"/>
        </w:rPr>
        <w:t>9</w:t>
      </w:r>
      <w:r>
        <w:rPr/>
        <w:t>月任本公司独立董事；</w:t>
      </w:r>
      <w:r>
        <w:rPr>
          <w:rFonts w:ascii="宋体" w:hAnsi="宋体" w:cs="宋体" w:eastAsia="宋体" w:hint="default"/>
        </w:rPr>
        <w:t>2013</w:t>
      </w:r>
      <w:r>
        <w:rPr/>
        <w:t>年</w:t>
      </w:r>
      <w:r>
        <w:rPr>
          <w:rFonts w:ascii="宋体" w:hAnsi="宋体" w:cs="宋体" w:eastAsia="宋体" w:hint="default"/>
        </w:rPr>
        <w:t>9</w:t>
      </w:r>
      <w:r>
        <w:rPr/>
        <w:t>月起任本公司董事。 </w:t>
      </w:r>
      <w:r>
        <w:rPr>
          <w:rFonts w:ascii="宋体" w:hAnsi="宋体" w:cs="宋体" w:eastAsia="宋体" w:hint="default"/>
          <w:spacing w:val="-1"/>
        </w:rPr>
        <w:t>3</w:t>
      </w:r>
      <w:r>
        <w:rPr>
          <w:spacing w:val="-1"/>
        </w:rPr>
        <w:t>、黄清华女士，</w:t>
      </w:r>
      <w:r>
        <w:rPr>
          <w:rFonts w:ascii="宋体" w:hAnsi="宋体" w:cs="宋体" w:eastAsia="宋体" w:hint="default"/>
          <w:spacing w:val="-1"/>
        </w:rPr>
        <w:t>1998</w:t>
      </w:r>
      <w:r>
        <w:rPr>
          <w:spacing w:val="-1"/>
        </w:rPr>
        <w:t>年进入公司，历任业务经理、业务部负责人等职务，</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月起至今任公司董事，</w:t>
      </w:r>
      <w:r>
        <w:rPr>
          <w:rFonts w:ascii="宋体" w:hAnsi="宋体" w:cs="宋体" w:eastAsia="宋体" w:hint="default"/>
          <w:spacing w:val="-1"/>
        </w:rPr>
        <w:t>2013</w:t>
      </w:r>
      <w:r>
        <w:rPr>
          <w:spacing w:val="-1"/>
        </w:rPr>
        <w:t>年</w:t>
      </w:r>
      <w:r>
        <w:rPr>
          <w:rFonts w:ascii="宋体" w:hAnsi="宋体" w:cs="宋体" w:eastAsia="宋体" w:hint="default"/>
          <w:spacing w:val="-1"/>
        </w:rPr>
        <w:t>9</w:t>
      </w:r>
      <w:r>
        <w:rPr>
          <w:spacing w:val="-1"/>
        </w:rPr>
        <w:t>月起</w:t>
      </w:r>
    </w:p>
    <w:p>
      <w:pPr>
        <w:pStyle w:val="BodyText"/>
        <w:spacing w:line="408" w:lineRule="auto" w:before="39"/>
        <w:ind w:left="574" w:right="2592" w:hanging="420"/>
        <w:jc w:val="left"/>
      </w:pPr>
      <w:r>
        <w:rPr/>
        <w:t>任公司副总经理，</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22</w:t>
      </w:r>
      <w:r>
        <w:rPr/>
        <w:t>日起兼任公司董事会秘书。 </w:t>
      </w:r>
      <w:r>
        <w:rPr>
          <w:rFonts w:ascii="宋体" w:hAnsi="宋体" w:cs="宋体" w:eastAsia="宋体" w:hint="default"/>
        </w:rPr>
        <w:t>4</w:t>
      </w:r>
      <w:r>
        <w:rPr/>
        <w:t>、杨超先生，</w:t>
      </w:r>
      <w:r>
        <w:rPr>
          <w:rFonts w:ascii="宋体" w:hAnsi="宋体" w:cs="宋体" w:eastAsia="宋体" w:hint="default"/>
        </w:rPr>
        <w:t>2008</w:t>
      </w:r>
      <w:r>
        <w:rPr/>
        <w:t>年起至今任北京畅元国讯科技有限公司总裁，</w:t>
      </w:r>
      <w:r>
        <w:rPr>
          <w:rFonts w:ascii="宋体" w:hAnsi="宋体" w:cs="宋体" w:eastAsia="宋体" w:hint="default"/>
        </w:rPr>
        <w:t>2016</w:t>
      </w:r>
      <w:r>
        <w:rPr/>
        <w:t>年</w:t>
      </w:r>
      <w:r>
        <w:rPr>
          <w:rFonts w:ascii="宋体" w:hAnsi="宋体" w:cs="宋体" w:eastAsia="宋体" w:hint="default"/>
        </w:rPr>
        <w:t>9</w:t>
      </w:r>
      <w:r>
        <w:rPr/>
        <w:t>月起至今任本公司董事。</w:t>
      </w:r>
    </w:p>
    <w:p>
      <w:pPr>
        <w:pStyle w:val="BodyText"/>
        <w:spacing w:line="408" w:lineRule="auto" w:before="38"/>
        <w:ind w:right="1131" w:firstLine="420"/>
        <w:jc w:val="both"/>
      </w:pPr>
      <w:r>
        <w:rPr>
          <w:rFonts w:ascii="宋体" w:hAnsi="宋体" w:cs="宋体" w:eastAsia="宋体" w:hint="default"/>
          <w:spacing w:val="-3"/>
        </w:rPr>
        <w:t>5</w:t>
      </w:r>
      <w:r>
        <w:rPr>
          <w:spacing w:val="-3"/>
        </w:rPr>
        <w:t>、涂连东先生，</w:t>
      </w:r>
      <w:r>
        <w:rPr>
          <w:rFonts w:ascii="宋体" w:hAnsi="宋体" w:cs="宋体" w:eastAsia="宋体" w:hint="default"/>
          <w:spacing w:val="-3"/>
        </w:rPr>
        <w:t>2003</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-2016</w:t>
      </w:r>
      <w:r>
        <w:rPr>
          <w:spacing w:val="-3"/>
        </w:rPr>
        <w:t>年</w:t>
      </w:r>
      <w:r>
        <w:rPr>
          <w:rFonts w:ascii="宋体" w:hAnsi="宋体" w:cs="宋体" w:eastAsia="宋体" w:hint="default"/>
          <w:spacing w:val="-3"/>
        </w:rPr>
        <w:t>7</w:t>
      </w:r>
      <w:r>
        <w:rPr>
          <w:spacing w:val="-3"/>
        </w:rPr>
        <w:t>月就职于厦门高能投资咨询有限公司，担任首席财务官、合伙人。</w:t>
      </w:r>
      <w:r>
        <w:rPr>
          <w:rFonts w:ascii="宋体" w:hAnsi="宋体" w:cs="宋体" w:eastAsia="宋体" w:hint="default"/>
          <w:spacing w:val="-3"/>
        </w:rPr>
        <w:t>2016</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-2016</w:t>
      </w:r>
      <w:r>
        <w:rPr>
          <w:rFonts w:ascii="宋体" w:hAnsi="宋体" w:cs="宋体" w:eastAsia="宋体" w:hint="default"/>
        </w:rPr>
        <w:t> </w:t>
      </w:r>
      <w:r>
        <w:rPr>
          <w:spacing w:val="-2"/>
        </w:rPr>
        <w:t>年</w:t>
      </w:r>
      <w:r>
        <w:rPr>
          <w:rFonts w:ascii="宋体" w:hAnsi="宋体" w:cs="宋体" w:eastAsia="宋体" w:hint="default"/>
          <w:spacing w:val="-2"/>
        </w:rPr>
        <w:t>11</w:t>
      </w:r>
      <w:r>
        <w:rPr>
          <w:spacing w:val="-2"/>
        </w:rPr>
        <w:t>月厦门泛泰创业投资管理有限公司副总经理，</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月担任厦门南方谦和投资管理有限公司执行董事兼总</w:t>
      </w:r>
      <w:r>
        <w:rPr>
          <w:spacing w:val="-49"/>
        </w:rPr>
        <w:t> </w:t>
      </w:r>
      <w:r>
        <w:rPr/>
        <w:t>经理，</w:t>
      </w:r>
      <w:r>
        <w:rPr>
          <w:rFonts w:ascii="宋体" w:hAnsi="宋体" w:cs="宋体" w:eastAsia="宋体" w:hint="default"/>
        </w:rPr>
        <w:t>2017</w:t>
      </w:r>
      <w:r>
        <w:rPr/>
        <w:t>年</w:t>
      </w:r>
      <w:r>
        <w:rPr>
          <w:rFonts w:ascii="宋体" w:hAnsi="宋体" w:cs="宋体" w:eastAsia="宋体" w:hint="default"/>
        </w:rPr>
        <w:t>11</w:t>
      </w:r>
      <w:r>
        <w:rPr/>
        <w:t>月至今担任厦门宣凯投资运营管理有限公司执行董事兼总经理。</w:t>
      </w:r>
      <w:r>
        <w:rPr>
          <w:rFonts w:ascii="宋体" w:hAnsi="宋体" w:cs="宋体" w:eastAsia="宋体" w:hint="default"/>
        </w:rPr>
        <w:t>2013</w:t>
      </w:r>
      <w:r>
        <w:rPr/>
        <w:t>年</w:t>
      </w:r>
      <w:r>
        <w:rPr>
          <w:rFonts w:ascii="宋体" w:hAnsi="宋体" w:cs="宋体" w:eastAsia="宋体" w:hint="default"/>
        </w:rPr>
        <w:t>9</w:t>
      </w:r>
      <w:r>
        <w:rPr/>
        <w:t>月至今担任本公司独立董事。</w:t>
      </w:r>
    </w:p>
    <w:p>
      <w:pPr>
        <w:pStyle w:val="BodyText"/>
        <w:spacing w:line="240" w:lineRule="auto" w:before="38"/>
        <w:ind w:left="574" w:right="817"/>
        <w:jc w:val="left"/>
      </w:pPr>
      <w:r>
        <w:rPr>
          <w:rFonts w:ascii="宋体" w:hAnsi="宋体" w:cs="宋体" w:eastAsia="宋体" w:hint="default"/>
        </w:rPr>
        <w:t>6</w:t>
      </w:r>
      <w:r>
        <w:rPr/>
        <w:t>、刘世平先生，</w:t>
      </w:r>
      <w:r>
        <w:rPr>
          <w:rFonts w:ascii="宋体" w:hAnsi="宋体" w:cs="宋体" w:eastAsia="宋体" w:hint="default"/>
        </w:rPr>
        <w:t>2009</w:t>
      </w:r>
      <w:r>
        <w:rPr/>
        <w:t>年</w:t>
      </w:r>
      <w:r>
        <w:rPr>
          <w:rFonts w:ascii="宋体" w:hAnsi="宋体" w:cs="宋体" w:eastAsia="宋体" w:hint="default"/>
        </w:rPr>
        <w:t>1</w:t>
      </w:r>
      <w:r>
        <w:rPr/>
        <w:t>月起至今任北京大成（厦门）律师事务所合伙人，</w:t>
      </w:r>
      <w:r>
        <w:rPr>
          <w:rFonts w:ascii="宋体" w:hAnsi="宋体" w:cs="宋体" w:eastAsia="宋体" w:hint="default"/>
        </w:rPr>
        <w:t>2013</w:t>
      </w:r>
      <w:r>
        <w:rPr/>
        <w:t>年</w:t>
      </w:r>
      <w:r>
        <w:rPr>
          <w:rFonts w:ascii="宋体" w:hAnsi="宋体" w:cs="宋体" w:eastAsia="宋体" w:hint="default"/>
        </w:rPr>
        <w:t>9</w:t>
      </w:r>
      <w:r>
        <w:rPr/>
        <w:t>月起至今任本公司独立董事。</w:t>
      </w:r>
    </w:p>
    <w:p>
      <w:pPr>
        <w:spacing w:line="240" w:lineRule="auto" w:before="8"/>
        <w:rPr>
          <w:rFonts w:ascii="宋体" w:hAnsi="宋体" w:cs="宋体" w:eastAsia="宋体" w:hint="default"/>
          <w:sz w:val="12"/>
          <w:szCs w:val="12"/>
        </w:rPr>
      </w:pPr>
    </w:p>
    <w:p>
      <w:pPr>
        <w:pStyle w:val="BodyText"/>
        <w:spacing w:line="240" w:lineRule="auto"/>
        <w:ind w:left="604" w:right="817"/>
        <w:jc w:val="left"/>
      </w:pPr>
      <w:r>
        <w:rPr>
          <w:rFonts w:ascii="宋体" w:hAnsi="宋体" w:cs="宋体" w:eastAsia="宋体" w:hint="default"/>
        </w:rPr>
        <w:t>7</w:t>
      </w:r>
      <w:r>
        <w:rPr/>
        <w:t>、刘晓海先生，</w:t>
      </w:r>
      <w:r>
        <w:rPr>
          <w:rFonts w:ascii="宋体" w:hAnsi="宋体" w:cs="宋体" w:eastAsia="宋体" w:hint="default"/>
        </w:rPr>
        <w:t>2003</w:t>
      </w:r>
      <w:r>
        <w:rPr/>
        <w:t>年至今为同济大学知识产权学院教授，</w:t>
      </w:r>
      <w:r>
        <w:rPr>
          <w:rFonts w:ascii="宋体" w:hAnsi="宋体" w:cs="宋体" w:eastAsia="宋体" w:hint="default"/>
        </w:rPr>
        <w:t>2016</w:t>
      </w:r>
      <w:r>
        <w:rPr/>
        <w:t>年</w:t>
      </w:r>
      <w:r>
        <w:rPr>
          <w:rFonts w:ascii="宋体" w:hAnsi="宋体" w:cs="宋体" w:eastAsia="宋体" w:hint="default"/>
        </w:rPr>
        <w:t>9</w:t>
      </w:r>
      <w:r>
        <w:rPr/>
        <w:t>月起至今任本公司独立董事。</w:t>
      </w:r>
    </w:p>
    <w:p>
      <w:pPr>
        <w:spacing w:line="240" w:lineRule="auto" w:before="7"/>
        <w:rPr>
          <w:rFonts w:ascii="宋体" w:hAnsi="宋体" w:cs="宋体" w:eastAsia="宋体" w:hint="default"/>
          <w:sz w:val="12"/>
          <w:szCs w:val="12"/>
        </w:rPr>
      </w:pPr>
    </w:p>
    <w:p>
      <w:pPr>
        <w:pStyle w:val="BodyText"/>
        <w:spacing w:line="408" w:lineRule="auto"/>
        <w:ind w:right="1130" w:firstLine="420"/>
        <w:jc w:val="both"/>
      </w:pPr>
      <w:r>
        <w:rPr>
          <w:rFonts w:ascii="宋体" w:hAnsi="宋体" w:cs="宋体" w:eastAsia="宋体" w:hint="default"/>
        </w:rPr>
        <w:t>8</w:t>
      </w:r>
      <w:r>
        <w:rPr/>
        <w:t>、王惠女士，</w:t>
      </w:r>
      <w:r>
        <w:rPr>
          <w:rFonts w:ascii="宋体" w:hAnsi="宋体" w:cs="宋体" w:eastAsia="宋体" w:hint="default"/>
        </w:rPr>
        <w:t>2005</w:t>
      </w:r>
      <w:r>
        <w:rPr/>
        <w:t>年</w:t>
      </w:r>
      <w:r>
        <w:rPr>
          <w:rFonts w:ascii="宋体" w:hAnsi="宋体" w:cs="宋体" w:eastAsia="宋体" w:hint="default"/>
        </w:rPr>
        <w:t>3</w:t>
      </w:r>
      <w:r>
        <w:rPr/>
        <w:t>月</w:t>
      </w:r>
      <w:r>
        <w:rPr>
          <w:rFonts w:ascii="宋体" w:hAnsi="宋体" w:cs="宋体" w:eastAsia="宋体" w:hint="default"/>
        </w:rPr>
        <w:t>-2008</w:t>
      </w:r>
      <w:r>
        <w:rPr/>
        <w:t>年</w:t>
      </w:r>
      <w:r>
        <w:rPr>
          <w:rFonts w:ascii="宋体" w:hAnsi="宋体" w:cs="宋体" w:eastAsia="宋体" w:hint="default"/>
        </w:rPr>
        <w:t>5</w:t>
      </w:r>
      <w:r>
        <w:rPr/>
        <w:t>月就职于厦门固特友橡胶有限公司任总经理助理；</w:t>
      </w:r>
      <w:r>
        <w:rPr>
          <w:rFonts w:ascii="宋体" w:hAnsi="宋体" w:cs="宋体" w:eastAsia="宋体" w:hint="default"/>
        </w:rPr>
        <w:t>2008</w:t>
      </w:r>
      <w:r>
        <w:rPr/>
        <w:t>年</w:t>
      </w:r>
      <w:r>
        <w:rPr>
          <w:rFonts w:ascii="宋体" w:hAnsi="宋体" w:cs="宋体" w:eastAsia="宋体" w:hint="default"/>
        </w:rPr>
        <w:t>6</w:t>
      </w:r>
      <w:r>
        <w:rPr/>
        <w:t>月至</w:t>
      </w:r>
      <w:r>
        <w:rPr>
          <w:rFonts w:ascii="宋体" w:hAnsi="宋体" w:cs="宋体" w:eastAsia="宋体" w:hint="default"/>
        </w:rPr>
        <w:t>2010</w:t>
      </w:r>
      <w:r>
        <w:rPr/>
        <w:t>年</w:t>
      </w:r>
      <w:r>
        <w:rPr>
          <w:rFonts w:ascii="宋体" w:hAnsi="宋体" w:cs="宋体" w:eastAsia="宋体" w:hint="default"/>
        </w:rPr>
        <w:t>4</w:t>
      </w:r>
      <w:r>
        <w:rPr/>
        <w:t>月就职于厦 </w:t>
      </w:r>
      <w:r>
        <w:rPr>
          <w:spacing w:val="-2"/>
        </w:rPr>
        <w:t>门市亿林电子技术开发有限公司任营销总监助理；</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月至今任厦门安妮股份有限公司商纸事业部总经理助理，</w:t>
      </w:r>
      <w:r>
        <w:rPr>
          <w:rFonts w:ascii="宋体" w:hAnsi="宋体" w:cs="宋体" w:eastAsia="宋体" w:hint="default"/>
          <w:spacing w:val="-2"/>
        </w:rPr>
        <w:t>2018</w:t>
      </w:r>
      <w:r>
        <w:rPr>
          <w:spacing w:val="-2"/>
        </w:rPr>
        <w:t>年</w:t>
      </w:r>
      <w:r>
        <w:rPr>
          <w:rFonts w:ascii="宋体" w:hAnsi="宋体" w:cs="宋体" w:eastAsia="宋体" w:hint="default"/>
          <w:spacing w:val="-2"/>
        </w:rPr>
        <w:t>5</w:t>
      </w:r>
      <w:r>
        <w:rPr>
          <w:rFonts w:ascii="宋体" w:hAnsi="宋体" w:cs="宋体" w:eastAsia="宋体" w:hint="default"/>
          <w:spacing w:val="-53"/>
        </w:rPr>
        <w:t> </w:t>
      </w:r>
      <w:r>
        <w:rPr/>
        <w:t>月起任公司监事会主席。</w:t>
      </w:r>
    </w:p>
    <w:p>
      <w:pPr>
        <w:pStyle w:val="BodyText"/>
        <w:spacing w:line="240" w:lineRule="auto" w:before="38"/>
        <w:ind w:left="574" w:right="817"/>
        <w:jc w:val="left"/>
      </w:pPr>
      <w:r>
        <w:rPr>
          <w:rFonts w:ascii="宋体" w:hAnsi="宋体" w:cs="宋体" w:eastAsia="宋体" w:hint="default"/>
        </w:rPr>
        <w:t>9</w:t>
      </w:r>
      <w:r>
        <w:rPr/>
        <w:t>、谢蓉女士，</w:t>
      </w:r>
      <w:r>
        <w:rPr>
          <w:rFonts w:ascii="宋体" w:hAnsi="宋体" w:cs="宋体" w:eastAsia="宋体" w:hint="default"/>
        </w:rPr>
        <w:t>2011</w:t>
      </w:r>
      <w:r>
        <w:rPr/>
        <w:t>年</w:t>
      </w:r>
      <w:r>
        <w:rPr>
          <w:rFonts w:ascii="宋体" w:hAnsi="宋体" w:cs="宋体" w:eastAsia="宋体" w:hint="default"/>
        </w:rPr>
        <w:t>7</w:t>
      </w:r>
      <w:r>
        <w:rPr/>
        <w:t>月至今担任本公司法务、证券事务代表；</w:t>
      </w:r>
      <w:r>
        <w:rPr>
          <w:rFonts w:ascii="宋体" w:hAnsi="宋体" w:cs="宋体" w:eastAsia="宋体" w:hint="default"/>
        </w:rPr>
        <w:t>2016</w:t>
      </w:r>
      <w:r>
        <w:rPr/>
        <w:t>年</w:t>
      </w:r>
      <w:r>
        <w:rPr>
          <w:rFonts w:ascii="宋体" w:hAnsi="宋体" w:cs="宋体" w:eastAsia="宋体" w:hint="default"/>
        </w:rPr>
        <w:t>9</w:t>
      </w:r>
      <w:r>
        <w:rPr/>
        <w:t>月起至今任本公司监事兼证券事务代表。</w:t>
      </w:r>
    </w:p>
    <w:p>
      <w:pPr>
        <w:spacing w:line="240" w:lineRule="auto" w:before="7"/>
        <w:rPr>
          <w:rFonts w:ascii="宋体" w:hAnsi="宋体" w:cs="宋体" w:eastAsia="宋体" w:hint="default"/>
          <w:sz w:val="12"/>
          <w:szCs w:val="12"/>
        </w:rPr>
      </w:pPr>
    </w:p>
    <w:p>
      <w:pPr>
        <w:pStyle w:val="BodyText"/>
        <w:spacing w:line="240" w:lineRule="auto"/>
        <w:ind w:left="574" w:right="817"/>
        <w:jc w:val="left"/>
      </w:pPr>
      <w:r>
        <w:rPr>
          <w:rFonts w:ascii="宋体" w:hAnsi="宋体" w:cs="宋体" w:eastAsia="宋体" w:hint="default"/>
        </w:rPr>
        <w:t>10</w:t>
      </w:r>
      <w:r>
        <w:rPr/>
        <w:t>、黄益年先生，</w:t>
      </w:r>
      <w:r>
        <w:rPr>
          <w:rFonts w:ascii="宋体" w:hAnsi="宋体" w:cs="宋体" w:eastAsia="宋体" w:hint="default"/>
        </w:rPr>
        <w:t>2004</w:t>
      </w:r>
      <w:r>
        <w:rPr/>
        <w:t>年</w:t>
      </w:r>
      <w:r>
        <w:rPr>
          <w:rFonts w:ascii="宋体" w:hAnsi="宋体" w:cs="宋体" w:eastAsia="宋体" w:hint="default"/>
        </w:rPr>
        <w:t>2</w:t>
      </w:r>
      <w:r>
        <w:rPr/>
        <w:t>月起至今在本公司任职，</w:t>
      </w:r>
      <w:r>
        <w:rPr>
          <w:rFonts w:ascii="宋体" w:hAnsi="宋体" w:cs="宋体" w:eastAsia="宋体" w:hint="default"/>
        </w:rPr>
        <w:t>2014</w:t>
      </w:r>
      <w:r>
        <w:rPr/>
        <w:t>年起担任公司运营部总监，</w:t>
      </w:r>
      <w:r>
        <w:rPr>
          <w:rFonts w:ascii="宋体" w:hAnsi="宋体" w:cs="宋体" w:eastAsia="宋体" w:hint="default"/>
        </w:rPr>
        <w:t>2016</w:t>
      </w:r>
      <w:r>
        <w:rPr/>
        <w:t>年</w:t>
      </w:r>
      <w:r>
        <w:rPr>
          <w:rFonts w:ascii="宋体" w:hAnsi="宋体" w:cs="宋体" w:eastAsia="宋体" w:hint="default"/>
        </w:rPr>
        <w:t>9</w:t>
      </w:r>
      <w:r>
        <w:rPr/>
        <w:t>月起至今任公司监事。</w:t>
      </w:r>
    </w:p>
    <w:p>
      <w:pPr>
        <w:spacing w:line="240" w:lineRule="auto" w:before="8"/>
        <w:rPr>
          <w:rFonts w:ascii="宋体" w:hAnsi="宋体" w:cs="宋体" w:eastAsia="宋体" w:hint="default"/>
          <w:sz w:val="12"/>
          <w:szCs w:val="12"/>
        </w:rPr>
      </w:pPr>
    </w:p>
    <w:p>
      <w:pPr>
        <w:pStyle w:val="BodyText"/>
        <w:spacing w:line="408" w:lineRule="auto"/>
        <w:ind w:right="1129" w:firstLine="420"/>
        <w:jc w:val="both"/>
      </w:pPr>
      <w:r>
        <w:rPr>
          <w:rFonts w:ascii="宋体" w:hAnsi="宋体" w:cs="宋体" w:eastAsia="宋体" w:hint="default"/>
          <w:spacing w:val="-1"/>
        </w:rPr>
        <w:t>11</w:t>
      </w:r>
      <w:r>
        <w:rPr>
          <w:spacing w:val="-1"/>
        </w:rPr>
        <w:t>、许志强先生，</w:t>
      </w:r>
      <w:r>
        <w:rPr>
          <w:rFonts w:ascii="宋体" w:hAnsi="宋体" w:cs="宋体" w:eastAsia="宋体" w:hint="default"/>
          <w:spacing w:val="-1"/>
        </w:rPr>
        <w:t>2007</w:t>
      </w:r>
      <w:r>
        <w:rPr>
          <w:spacing w:val="-1"/>
        </w:rPr>
        <w:t>年</w:t>
      </w:r>
      <w:r>
        <w:rPr>
          <w:rFonts w:ascii="宋体" w:hAnsi="宋体" w:cs="宋体" w:eastAsia="宋体" w:hint="default"/>
          <w:spacing w:val="-1"/>
        </w:rPr>
        <w:t>1</w:t>
      </w:r>
      <w:r>
        <w:rPr>
          <w:spacing w:val="-1"/>
        </w:rPr>
        <w:t>月至</w:t>
      </w:r>
      <w:r>
        <w:rPr>
          <w:rFonts w:ascii="宋体" w:hAnsi="宋体" w:cs="宋体" w:eastAsia="宋体" w:hint="default"/>
          <w:spacing w:val="-1"/>
        </w:rPr>
        <w:t>2011</w:t>
      </w:r>
      <w:r>
        <w:rPr>
          <w:spacing w:val="-1"/>
        </w:rPr>
        <w:t>年</w:t>
      </w:r>
      <w:r>
        <w:rPr>
          <w:rFonts w:ascii="宋体" w:hAnsi="宋体" w:cs="宋体" w:eastAsia="宋体" w:hint="default"/>
          <w:spacing w:val="-1"/>
        </w:rPr>
        <w:t>4</w:t>
      </w:r>
      <w:r>
        <w:rPr>
          <w:spacing w:val="-1"/>
        </w:rPr>
        <w:t>月在中审国际会计会计师事务所有限公司厦门分公司任职；</w:t>
      </w:r>
      <w:r>
        <w:rPr>
          <w:rFonts w:ascii="宋体" w:hAnsi="宋体" w:cs="宋体" w:eastAsia="宋体" w:hint="default"/>
          <w:spacing w:val="-1"/>
        </w:rPr>
        <w:t>2011</w:t>
      </w:r>
      <w:r>
        <w:rPr>
          <w:spacing w:val="-1"/>
        </w:rPr>
        <w:t>年</w:t>
      </w:r>
      <w:r>
        <w:rPr>
          <w:rFonts w:ascii="宋体" w:hAnsi="宋体" w:cs="宋体" w:eastAsia="宋体" w:hint="default"/>
          <w:spacing w:val="-1"/>
        </w:rPr>
        <w:t>6</w:t>
      </w:r>
      <w:r>
        <w:rPr>
          <w:spacing w:val="-1"/>
        </w:rPr>
        <w:t>月起至今任</w:t>
      </w:r>
      <w:r>
        <w:rPr/>
        <w:t> 本公司财务总监。</w:t>
      </w:r>
    </w:p>
    <w:p>
      <w:pPr>
        <w:pStyle w:val="BodyText"/>
        <w:spacing w:line="408" w:lineRule="auto" w:before="38"/>
        <w:ind w:right="1132" w:firstLine="420"/>
        <w:jc w:val="both"/>
      </w:pPr>
      <w:r>
        <w:rPr>
          <w:rFonts w:ascii="宋体" w:hAnsi="宋体" w:cs="宋体" w:eastAsia="宋体" w:hint="default"/>
        </w:rPr>
        <w:t>12</w:t>
      </w:r>
      <w:r>
        <w:rPr/>
        <w:t>、陈文坚先生，</w:t>
      </w:r>
      <w:r>
        <w:rPr>
          <w:rFonts w:ascii="宋体" w:hAnsi="宋体" w:cs="宋体" w:eastAsia="宋体" w:hint="default"/>
        </w:rPr>
        <w:t>2010</w:t>
      </w:r>
      <w:r>
        <w:rPr/>
        <w:t>年</w:t>
      </w:r>
      <w:r>
        <w:rPr>
          <w:rFonts w:ascii="宋体" w:hAnsi="宋体" w:cs="宋体" w:eastAsia="宋体" w:hint="default"/>
        </w:rPr>
        <w:t>1</w:t>
      </w:r>
      <w:r>
        <w:rPr/>
        <w:t>月至</w:t>
      </w:r>
      <w:r>
        <w:rPr>
          <w:rFonts w:ascii="宋体" w:hAnsi="宋体" w:cs="宋体" w:eastAsia="宋体" w:hint="default"/>
        </w:rPr>
        <w:t>2012</w:t>
      </w:r>
      <w:r>
        <w:rPr/>
        <w:t>年</w:t>
      </w:r>
      <w:r>
        <w:rPr>
          <w:rFonts w:ascii="宋体" w:hAnsi="宋体" w:cs="宋体" w:eastAsia="宋体" w:hint="default"/>
        </w:rPr>
        <w:t>7</w:t>
      </w:r>
      <w:r>
        <w:rPr/>
        <w:t>月任职于华泰联合证券销售交易部机构销售经理，</w:t>
      </w:r>
      <w:r>
        <w:rPr>
          <w:rFonts w:ascii="宋体" w:hAnsi="宋体" w:cs="宋体" w:eastAsia="宋体" w:hint="default"/>
        </w:rPr>
        <w:t>2012</w:t>
      </w:r>
      <w:r>
        <w:rPr/>
        <w:t>年</w:t>
      </w:r>
      <w:r>
        <w:rPr>
          <w:rFonts w:ascii="宋体" w:hAnsi="宋体" w:cs="宋体" w:eastAsia="宋体" w:hint="default"/>
        </w:rPr>
        <w:t>8</w:t>
      </w:r>
      <w:r>
        <w:rPr/>
        <w:t>月至</w:t>
      </w:r>
      <w:r>
        <w:rPr>
          <w:rFonts w:ascii="宋体" w:hAnsi="宋体" w:cs="宋体" w:eastAsia="宋体" w:hint="default"/>
        </w:rPr>
        <w:t>2014</w:t>
      </w:r>
      <w:r>
        <w:rPr/>
        <w:t>年</w:t>
      </w:r>
      <w:r>
        <w:rPr>
          <w:rFonts w:ascii="宋体" w:hAnsi="宋体" w:cs="宋体" w:eastAsia="宋体" w:hint="default"/>
        </w:rPr>
        <w:t>9</w:t>
      </w:r>
      <w:r>
        <w:rPr/>
        <w:t>月任职 </w:t>
      </w:r>
      <w:r>
        <w:rPr>
          <w:spacing w:val="-3"/>
        </w:rPr>
        <w:t>于民生证券机构销售部交易部高级销售经理，</w:t>
      </w:r>
      <w:r>
        <w:rPr>
          <w:rFonts w:ascii="宋体" w:hAnsi="宋体" w:cs="宋体" w:eastAsia="宋体" w:hint="default"/>
          <w:spacing w:val="-3"/>
        </w:rPr>
        <w:t>2014</w:t>
      </w:r>
      <w:r>
        <w:rPr>
          <w:spacing w:val="-3"/>
        </w:rPr>
        <w:t>年</w:t>
      </w:r>
      <w:r>
        <w:rPr>
          <w:rFonts w:ascii="宋体" w:hAnsi="宋体" w:cs="宋体" w:eastAsia="宋体" w:hint="default"/>
          <w:spacing w:val="-3"/>
        </w:rPr>
        <w:t>9</w:t>
      </w:r>
      <w:r>
        <w:rPr>
          <w:spacing w:val="-3"/>
        </w:rPr>
        <w:t>月至</w:t>
      </w:r>
      <w:r>
        <w:rPr>
          <w:rFonts w:ascii="宋体" w:hAnsi="宋体" w:cs="宋体" w:eastAsia="宋体" w:hint="default"/>
          <w:spacing w:val="-3"/>
        </w:rPr>
        <w:t>2017</w:t>
      </w:r>
      <w:r>
        <w:rPr>
          <w:spacing w:val="-3"/>
        </w:rPr>
        <w:t>年</w:t>
      </w:r>
      <w:r>
        <w:rPr>
          <w:rFonts w:ascii="宋体" w:hAnsi="宋体" w:cs="宋体" w:eastAsia="宋体" w:hint="default"/>
          <w:spacing w:val="-3"/>
        </w:rPr>
        <w:t>2</w:t>
      </w:r>
      <w:r>
        <w:rPr>
          <w:spacing w:val="-3"/>
        </w:rPr>
        <w:t>月任职于方正证券研究所高级销售经理，</w:t>
      </w:r>
      <w:r>
        <w:rPr>
          <w:rFonts w:ascii="宋体" w:hAnsi="宋体" w:cs="宋体" w:eastAsia="宋体" w:hint="default"/>
          <w:spacing w:val="-3"/>
        </w:rPr>
        <w:t>2017</w:t>
      </w:r>
      <w:r>
        <w:rPr>
          <w:spacing w:val="-3"/>
        </w:rPr>
        <w:t>年</w:t>
      </w:r>
      <w:r>
        <w:rPr>
          <w:rFonts w:ascii="宋体" w:hAnsi="宋体" w:cs="宋体" w:eastAsia="宋体" w:hint="default"/>
          <w:spacing w:val="-3"/>
        </w:rPr>
        <w:t>2</w:t>
      </w:r>
      <w:r>
        <w:rPr>
          <w:spacing w:val="-3"/>
        </w:rPr>
        <w:t>月至</w:t>
      </w:r>
      <w:r>
        <w:rPr>
          <w:rFonts w:ascii="宋体" w:hAnsi="宋体" w:cs="宋体" w:eastAsia="宋体" w:hint="default"/>
          <w:spacing w:val="-3"/>
        </w:rPr>
        <w:t>2018</w:t>
      </w:r>
      <w:r>
        <w:rPr>
          <w:rFonts w:ascii="宋体" w:hAnsi="宋体" w:cs="宋体" w:eastAsia="宋体" w:hint="default"/>
          <w:spacing w:val="-70"/>
        </w:rPr>
        <w:t> </w:t>
      </w:r>
      <w:r>
        <w:rPr/>
        <w:t>年</w:t>
      </w:r>
      <w:r>
        <w:rPr>
          <w:rFonts w:ascii="宋体" w:hAnsi="宋体" w:cs="宋体" w:eastAsia="宋体" w:hint="default"/>
        </w:rPr>
        <w:t>3</w:t>
      </w:r>
      <w:r>
        <w:rPr/>
        <w:t>月方正证券机构业务部高级副总裁。</w:t>
      </w:r>
      <w:r>
        <w:rPr>
          <w:rFonts w:ascii="宋体" w:hAnsi="宋体" w:cs="宋体" w:eastAsia="宋体" w:hint="default"/>
        </w:rPr>
        <w:t>2018</w:t>
      </w:r>
      <w:r>
        <w:rPr/>
        <w:t>年</w:t>
      </w:r>
      <w:r>
        <w:rPr>
          <w:rFonts w:ascii="宋体" w:hAnsi="宋体" w:cs="宋体" w:eastAsia="宋体" w:hint="default"/>
        </w:rPr>
        <w:t>5</w:t>
      </w:r>
      <w:r>
        <w:rPr/>
        <w:t>月起至今任本公司董事会秘书、副总经理。</w:t>
      </w:r>
    </w:p>
    <w:p>
      <w:pPr>
        <w:spacing w:line="240" w:lineRule="auto" w:before="3"/>
        <w:rPr>
          <w:rFonts w:ascii="宋体" w:hAnsi="宋体" w:cs="宋体" w:eastAsia="宋体" w:hint="default"/>
          <w:sz w:val="22"/>
          <w:szCs w:val="22"/>
        </w:rPr>
      </w:pPr>
    </w:p>
    <w:p>
      <w:pPr>
        <w:pStyle w:val="BodyText"/>
        <w:spacing w:line="240" w:lineRule="auto"/>
        <w:ind w:right="817"/>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安妮（香港）有限公司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安之行（厦门）企业咨询服务有限公司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世融（厦门）投资控股有限公司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安策（厦门）投资管理有限公司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安妮（厦门）投资控股集团有限公司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壹捷天成（厦门）投资管理有限公司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安信依（厦门）投资管理有限公司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安之初（厦门）教育咨询有限公司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安妮（厦门）健康管理有限公司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川隆（厦门）投资管理有限公司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北京安妮全版权科技发展有限公司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北京版全家科技发展有限公司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厦门版全家科技有限公司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北京至美数码防伪印务有限公司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厦门安妮知识产权服务有限公司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北京畅元国讯科技有限公司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上海鸿晟物业管理有限公司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何少平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福建龙净环保股份有限公司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涂连东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厦门三五互联科技股份有限公司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刘世平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北京大成（厦门）律师事务所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刘晓海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同济大学知识产权学院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北京畅元国讯科技有限公司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畅元国讯（天津）科技有限公司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北京华迪希艾科技发展有限公司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北京畅华科技有限公司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成都思品科技有限公司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中广云（北京）科技有限公司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817"/>
        <w:jc w:val="left"/>
      </w:pPr>
      <w:r>
        <w:rPr/>
        <w:t>公司现任及报告期内离任董事、监事和高级管理人员近三年证券监管机构处罚的情况</w:t>
      </w:r>
    </w:p>
    <w:p>
      <w:pPr>
        <w:pStyle w:val="BodyText"/>
        <w:spacing w:line="240" w:lineRule="auto" w:before="117"/>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四、董事、监事、高级管理人员报酬情况" w:id="150"/>
      <w:bookmarkEnd w:id="15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458" w:lineRule="auto"/>
        <w:ind w:left="574" w:right="1152" w:hanging="420"/>
        <w:jc w:val="left"/>
      </w:pPr>
      <w:r>
        <w:rPr/>
        <w:t>董事、监事、高级管理人员报酬的决策程序、确定依据、实际支付情况 公司按照《公司章程》的规定确定董事、监事和高级管理人员的报酬；董事和监事报酬和支付方法由股东大会确定，</w:t>
      </w:r>
    </w:p>
    <w:p>
      <w:pPr>
        <w:pStyle w:val="BodyText"/>
        <w:spacing w:line="408" w:lineRule="auto" w:before="1"/>
        <w:ind w:right="817"/>
        <w:jc w:val="left"/>
      </w:pPr>
      <w:r>
        <w:rPr>
          <w:spacing w:val="-2"/>
        </w:rPr>
        <w:t>高级管理人员公司以行业薪酬水平、经济发展状况、居民生活标准、公司经营业绩、岗位职责要求等为依据，在充分协商的</w:t>
      </w:r>
      <w:r>
        <w:rPr>
          <w:spacing w:val="-66"/>
        </w:rPr>
        <w:t> </w:t>
      </w:r>
      <w:r>
        <w:rPr>
          <w:spacing w:val="-66"/>
        </w:rPr>
      </w:r>
      <w:r>
        <w:rPr/>
        <w:t>前提下由总经理制定薪酬方案，由董事会确定。</w:t>
      </w:r>
    </w:p>
    <w:p>
      <w:pPr>
        <w:spacing w:line="240" w:lineRule="auto" w:before="8"/>
        <w:rPr>
          <w:rFonts w:ascii="宋体" w:hAnsi="宋体" w:cs="宋体" w:eastAsia="宋体" w:hint="default"/>
          <w:sz w:val="25"/>
          <w:szCs w:val="25"/>
        </w:rPr>
      </w:pPr>
    </w:p>
    <w:p>
      <w:pPr>
        <w:pStyle w:val="BodyText"/>
        <w:spacing w:line="240" w:lineRule="auto" w:before="44"/>
        <w:ind w:right="817"/>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466"/>
        <w:gridCol w:w="1268"/>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何少平</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涂连东</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刘世平</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刘晓海</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杨超</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黄益年</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谢蓉</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许志强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陈文坚</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226.35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7"/>
        <w:jc w:val="left"/>
      </w:pPr>
      <w:r>
        <w:rPr/>
        <w:t>公司董事、高级管理人员报告期内被授予的股权激励情况</w:t>
      </w:r>
    </w:p>
    <w:p>
      <w:pPr>
        <w:pStyle w:val="BodyText"/>
        <w:spacing w:line="240" w:lineRule="auto" w:before="117"/>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黄清华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5.13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许志强</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360,000</w:t>
            </w:r>
          </w:p>
        </w:tc>
      </w:tr>
      <w:tr>
        <w:trPr>
          <w:trHeight w:val="1339"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年年度股东大会审议通过《厦门安妮股份有限公司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w:t>
            </w:r>
          </w:p>
          <w:p>
            <w:pPr>
              <w:pStyle w:val="TableParagraph"/>
              <w:spacing w:line="240" w:lineRule="auto" w:before="6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配方案</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年度利润分配方案为</w:t>
            </w:r>
            <w:r>
              <w:rPr>
                <w:rFonts w:ascii="宋体" w:hAnsi="宋体" w:cs="宋体" w:eastAsia="宋体" w:hint="default"/>
                <w:spacing w:val="-2"/>
                <w:sz w:val="18"/>
                <w:szCs w:val="18"/>
              </w:rPr>
              <w:t>：</w:t>
            </w:r>
            <w:r>
              <w:rPr>
                <w:rFonts w:ascii="宋体" w:hAnsi="宋体" w:cs="宋体" w:eastAsia="宋体" w:hint="default"/>
                <w:sz w:val="18"/>
                <w:szCs w:val="18"/>
              </w:rPr>
              <w:t>本年度利润不分配</w:t>
            </w:r>
            <w:r>
              <w:rPr>
                <w:rFonts w:ascii="宋体" w:hAnsi="宋体" w:cs="宋体" w:eastAsia="宋体" w:hint="default"/>
                <w:spacing w:val="-2"/>
                <w:sz w:val="18"/>
                <w:szCs w:val="18"/>
              </w:rPr>
              <w:t>，</w:t>
            </w:r>
            <w:r>
              <w:rPr>
                <w:rFonts w:ascii="宋体" w:hAnsi="宋体" w:cs="宋体" w:eastAsia="宋体" w:hint="default"/>
                <w:sz w:val="18"/>
                <w:szCs w:val="18"/>
              </w:rPr>
              <w:t>结转下一年度</w:t>
            </w:r>
            <w:r>
              <w:rPr>
                <w:rFonts w:ascii="宋体" w:hAnsi="宋体" w:cs="宋体" w:eastAsia="宋体" w:hint="default"/>
                <w:spacing w:val="-2"/>
                <w:sz w:val="18"/>
                <w:szCs w:val="18"/>
              </w:rPr>
              <w:t>；</w:t>
            </w: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日股本数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415,976,540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为基数，以资本公积金转增股本，每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股。该方案于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日实施完毕。黄清华持有的限制性股票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股未解锁。</w:t>
            </w:r>
          </w:p>
        </w:tc>
      </w:tr>
    </w:tbl>
    <w:p>
      <w:pPr>
        <w:spacing w:line="240" w:lineRule="auto" w:before="2"/>
        <w:rPr>
          <w:rFonts w:ascii="宋体" w:hAnsi="宋体" w:cs="宋体" w:eastAsia="宋体" w:hint="default"/>
          <w:sz w:val="18"/>
          <w:szCs w:val="18"/>
        </w:rPr>
      </w:pPr>
    </w:p>
    <w:p>
      <w:pPr>
        <w:pStyle w:val="Heading2"/>
        <w:spacing w:line="240" w:lineRule="auto" w:before="26"/>
        <w:ind w:right="817"/>
        <w:jc w:val="left"/>
        <w:rPr>
          <w:b w:val="0"/>
          <w:bCs w:val="0"/>
        </w:rPr>
      </w:pPr>
      <w:bookmarkStart w:name="五、公司员工情况" w:id="151"/>
      <w:bookmarkEnd w:id="151"/>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员工数量、专业构成及教育程度" w:id="152"/>
      <w:bookmarkEnd w:id="15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采购、计划、客服及其他等人员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r>
    </w:tbl>
    <w:p>
      <w:pPr>
        <w:spacing w:line="240" w:lineRule="auto" w:before="2"/>
        <w:rPr>
          <w:rFonts w:ascii="宋体" w:hAnsi="宋体" w:cs="宋体" w:eastAsia="宋体" w:hint="default"/>
          <w:b/>
          <w:bCs/>
          <w:sz w:val="19"/>
          <w:szCs w:val="19"/>
        </w:rPr>
      </w:pPr>
    </w:p>
    <w:p>
      <w:pPr>
        <w:pStyle w:val="Heading4"/>
        <w:spacing w:line="240" w:lineRule="auto" w:before="35"/>
        <w:ind w:right="817"/>
        <w:jc w:val="left"/>
        <w:rPr>
          <w:b w:val="0"/>
          <w:bCs w:val="0"/>
        </w:rPr>
      </w:pPr>
      <w:bookmarkStart w:name="2、薪酬政策" w:id="153"/>
      <w:bookmarkEnd w:id="15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9"/>
        <w:ind w:right="1131" w:firstLine="360"/>
        <w:jc w:val="both"/>
      </w:pPr>
      <w:r>
        <w:rPr>
          <w:spacing w:val="-2"/>
        </w:rPr>
        <w:t>公司遵从相关法律法规，结合企业的发展阶段，向员工提供在行业内较有竞争力的薪酬，薪酬定价参考同类型上市公司</w:t>
      </w:r>
      <w:r>
        <w:rPr/>
        <w:t> </w:t>
      </w:r>
      <w:r>
        <w:rPr>
          <w:spacing w:val="-2"/>
        </w:rPr>
        <w:t>劳动力市场价格及岗位职责制定，薪酬分配以岗位职责及业绩为导向；遵循效率优先、兼顾公平、按劳分配原则，劳动力市</w:t>
      </w:r>
      <w:r>
        <w:rPr>
          <w:spacing w:val="-66"/>
        </w:rPr>
        <w:t> </w:t>
      </w:r>
      <w:r>
        <w:rPr>
          <w:spacing w:val="-66"/>
        </w:rPr>
      </w:r>
      <w:r>
        <w:rPr>
          <w:spacing w:val="-2"/>
        </w:rPr>
        <w:t>场工资指导原则；激励性、经济性原则；易岗易薪原则。工资增长遵循工资总额增长与经济效益增长挂钩，年人均工资增长</w:t>
      </w:r>
      <w:r>
        <w:rPr>
          <w:spacing w:val="-66"/>
        </w:rPr>
        <w:t> </w:t>
      </w:r>
      <w:r>
        <w:rPr>
          <w:spacing w:val="-66"/>
        </w:rPr>
      </w:r>
      <w:r>
        <w:rPr>
          <w:spacing w:val="-2"/>
        </w:rPr>
        <w:t>与劳动生产率增长挂钩的原则。公司将逐步建立、完善工资集体协商制度，使企业工资总额与公司财务支付能力相匹配，工</w:t>
      </w:r>
      <w:r>
        <w:rPr>
          <w:spacing w:val="-66"/>
        </w:rPr>
        <w:t> </w:t>
      </w:r>
      <w:r>
        <w:rPr>
          <w:spacing w:val="-66"/>
        </w:rPr>
      </w:r>
      <w:r>
        <w:rPr/>
        <w:t>资增长与企业发展相适应，员工工资水平合理增长。</w:t>
      </w:r>
    </w:p>
    <w:p>
      <w:pPr>
        <w:spacing w:line="240" w:lineRule="auto" w:before="5"/>
        <w:rPr>
          <w:rFonts w:ascii="宋体" w:hAnsi="宋体" w:cs="宋体" w:eastAsia="宋体" w:hint="default"/>
          <w:sz w:val="16"/>
          <w:szCs w:val="16"/>
        </w:rPr>
      </w:pPr>
    </w:p>
    <w:p>
      <w:pPr>
        <w:pStyle w:val="Heading4"/>
        <w:spacing w:line="240" w:lineRule="auto"/>
        <w:ind w:right="817"/>
        <w:jc w:val="left"/>
        <w:rPr>
          <w:b w:val="0"/>
          <w:bCs w:val="0"/>
        </w:rPr>
      </w:pPr>
      <w:bookmarkStart w:name="3、培训计划" w:id="154"/>
      <w:bookmarkEnd w:id="15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131" w:firstLine="420"/>
        <w:jc w:val="both"/>
      </w:pPr>
      <w:r>
        <w:rPr/>
        <w:t>公司立足于经营需要、岗位任职、人才梯队建设和员工个人成长，构建了完善的培训体，根据员工不同的管理层级、 </w:t>
      </w:r>
      <w:r>
        <w:rPr>
          <w:spacing w:val="-2"/>
        </w:rPr>
        <w:t>业务职能、岗位特点，公司制定了管理、安全、环保、技术、生产、新员工等多层次的培训计划。公司通过内部讲师、外聘</w:t>
      </w:r>
      <w:r>
        <w:rPr>
          <w:spacing w:val="-69"/>
        </w:rPr>
        <w:t> </w:t>
      </w:r>
      <w:r>
        <w:rPr>
          <w:spacing w:val="-69"/>
        </w:rPr>
      </w:r>
      <w:r>
        <w:rPr>
          <w:spacing w:val="-2"/>
        </w:rPr>
        <w:t>专业讲师、外部培训、团队拓展训练等多种培训形式，积极打造分专业、多层级、多维度、多形式的培训平台，全面助力员</w:t>
      </w:r>
      <w:r>
        <w:rPr>
          <w:spacing w:val="-72"/>
        </w:rPr>
        <w:t> </w:t>
      </w:r>
      <w:r>
        <w:rPr>
          <w:spacing w:val="-72"/>
        </w:rPr>
      </w:r>
      <w:r>
        <w:rPr/>
        <w:t>工成长和企业发展。</w:t>
      </w:r>
    </w:p>
    <w:p>
      <w:pPr>
        <w:spacing w:line="240" w:lineRule="auto" w:before="5"/>
        <w:rPr>
          <w:rFonts w:ascii="宋体" w:hAnsi="宋体" w:cs="宋体" w:eastAsia="宋体" w:hint="default"/>
          <w:sz w:val="16"/>
          <w:szCs w:val="16"/>
        </w:rPr>
      </w:pPr>
    </w:p>
    <w:p>
      <w:pPr>
        <w:pStyle w:val="Heading4"/>
        <w:spacing w:line="240" w:lineRule="auto"/>
        <w:ind w:right="817"/>
        <w:jc w:val="left"/>
        <w:rPr>
          <w:b w:val="0"/>
          <w:bCs w:val="0"/>
        </w:rPr>
      </w:pPr>
      <w:bookmarkStart w:name="4、劳务外包情况" w:id="155"/>
      <w:bookmarkEnd w:id="15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723"/>
        <w:jc w:val="center"/>
        <w:rPr>
          <w:b w:val="0"/>
          <w:bCs w:val="0"/>
        </w:rPr>
      </w:pPr>
      <w:bookmarkStart w:name="_TOC_250003" w:id="156"/>
      <w:bookmarkStart w:name="第九节 公司治理" w:id="157"/>
      <w:r>
        <w:rPr>
          <w:b w:val="0"/>
          <w:bCs w:val="0"/>
        </w:rPr>
      </w:r>
      <w:r>
        <w:rPr/>
        <w:t>第九节</w:t>
      </w:r>
      <w:r>
        <w:rPr>
          <w:spacing w:val="-5"/>
        </w:rPr>
        <w:t> </w:t>
      </w:r>
      <w:r>
        <w:rPr/>
        <w:t>公司治理</w:t>
      </w:r>
      <w:bookmarkEnd w:id="15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bookmarkStart w:name="一、公司治理的基本状况" w:id="158"/>
      <w:bookmarkEnd w:id="158"/>
      <w:r>
        <w:rPr>
          <w:b w:val="0"/>
          <w:bCs w:val="0"/>
        </w:rPr>
      </w:r>
      <w:r>
        <w:rPr/>
        <w:t>一、公司治理的基本状况</w:t>
      </w:r>
      <w:r>
        <w:rPr>
          <w:b w:val="0"/>
          <w:bCs w:val="0"/>
        </w:rPr>
      </w:r>
    </w:p>
    <w:p>
      <w:pPr>
        <w:spacing w:line="240" w:lineRule="auto" w:before="1"/>
        <w:rPr>
          <w:rFonts w:ascii="宋体" w:hAnsi="宋体" w:cs="宋体" w:eastAsia="宋体" w:hint="default"/>
          <w:b/>
          <w:bCs/>
          <w:sz w:val="34"/>
          <w:szCs w:val="34"/>
        </w:rPr>
      </w:pPr>
    </w:p>
    <w:p>
      <w:pPr>
        <w:pStyle w:val="BodyText"/>
        <w:spacing w:line="408" w:lineRule="auto"/>
        <w:ind w:right="1133" w:firstLine="420"/>
        <w:jc w:val="both"/>
      </w:pPr>
      <w:r>
        <w:rPr/>
        <w:t>报告期内，公司按照《公司法》、《证券法》、《上市公司治理准则》和《深圳证券交易所股票上市规则》、《上市 </w:t>
      </w:r>
      <w:r>
        <w:rPr>
          <w:spacing w:val="-2"/>
        </w:rPr>
        <w:t>公司信息披露管理办法》等相关法律、法规及规范性文件的规定，不断完善公司法人治理结构，建立健全内部控制体系，规</w:t>
      </w:r>
      <w:r>
        <w:rPr>
          <w:spacing w:val="-66"/>
        </w:rPr>
        <w:t> </w:t>
      </w:r>
      <w:r>
        <w:rPr>
          <w:spacing w:val="-66"/>
        </w:rPr>
      </w:r>
      <w:r>
        <w:rPr/>
        <w:t>范运作。公司整体运作符合上市公司治理规范性文件要求。</w:t>
      </w:r>
    </w:p>
    <w:p>
      <w:pPr>
        <w:pStyle w:val="BodyText"/>
        <w:spacing w:line="408" w:lineRule="auto" w:before="38"/>
        <w:ind w:right="1040" w:firstLine="420"/>
        <w:jc w:val="both"/>
      </w:pPr>
      <w:r>
        <w:rPr>
          <w:rFonts w:ascii="宋体" w:hAnsi="宋体" w:cs="宋体" w:eastAsia="宋体" w:hint="default"/>
          <w:spacing w:val="-3"/>
        </w:rPr>
        <w:t>1</w:t>
      </w:r>
      <w:r>
        <w:rPr>
          <w:spacing w:val="-3"/>
        </w:rPr>
        <w:t>、关于股东与股东大会：报告期内，公司严格按照《公司章程》、《上市公司股东大会规则》，规范股东大会的召集、</w:t>
      </w:r>
      <w:r>
        <w:rPr/>
        <w:t> 召开、表决程序，平等对待所有股东，积极以网络投票、累积投票等方式确保股东特别是中小股东能充分行使其权利。</w:t>
      </w:r>
    </w:p>
    <w:p>
      <w:pPr>
        <w:pStyle w:val="BodyText"/>
        <w:spacing w:line="408" w:lineRule="auto" w:before="38"/>
        <w:ind w:right="1129" w:firstLine="420"/>
        <w:jc w:val="both"/>
      </w:pPr>
      <w:r>
        <w:rPr>
          <w:rFonts w:ascii="宋体" w:hAnsi="宋体" w:cs="宋体" w:eastAsia="宋体" w:hint="default"/>
          <w:spacing w:val="-1"/>
        </w:rPr>
        <w:t>2</w:t>
      </w:r>
      <w:r>
        <w:rPr>
          <w:spacing w:val="-1"/>
        </w:rPr>
        <w:t>、关于控股股东与上市公司：公司控股股东通过股东大会依法行使其权利并承担相应义务，未超越公司股东大会直接</w:t>
      </w:r>
      <w:r>
        <w:rPr/>
        <w:t> </w:t>
      </w:r>
      <w:r>
        <w:rPr>
          <w:spacing w:val="-2"/>
        </w:rPr>
        <w:t>或间接干预公司的决策和经营管理活动。公司具有独立的业务和经营自主能力，在业务、资产、人员、机构、财务等方面均</w:t>
      </w:r>
      <w:r>
        <w:rPr>
          <w:spacing w:val="-68"/>
        </w:rPr>
        <w:t> </w:t>
      </w:r>
      <w:r>
        <w:rPr>
          <w:spacing w:val="-68"/>
        </w:rPr>
      </w:r>
      <w:r>
        <w:rPr/>
        <w:t>独立于控股股东，公司董事会、监事会和内部机构能够独立运作。</w:t>
      </w:r>
    </w:p>
    <w:p>
      <w:pPr>
        <w:pStyle w:val="BodyText"/>
        <w:spacing w:line="408" w:lineRule="auto" w:before="38"/>
        <w:ind w:right="1131" w:firstLine="420"/>
        <w:jc w:val="both"/>
      </w:pPr>
      <w:r>
        <w:rPr>
          <w:rFonts w:ascii="宋体" w:hAnsi="宋体" w:cs="宋体" w:eastAsia="宋体" w:hint="default"/>
          <w:spacing w:val="-2"/>
        </w:rPr>
        <w:t>3</w:t>
      </w:r>
      <w:r>
        <w:rPr>
          <w:spacing w:val="-2"/>
        </w:rPr>
        <w:t>、关于董事和董事会：公司制定《董事会议事规则》、《独立董事制度》等相关规则；现任董事具备任职资格；独立</w:t>
      </w:r>
      <w:r>
        <w:rPr/>
        <w:t> </w:t>
      </w:r>
      <w:r>
        <w:rPr>
          <w:spacing w:val="-2"/>
        </w:rPr>
        <w:t>董事人数符合规定，能够积极参与公司重大事务的决策，未出现连续二次未亲自出席董事会的情况；董事会的召集、召开程</w:t>
      </w:r>
      <w:r>
        <w:rPr>
          <w:spacing w:val="-66"/>
        </w:rPr>
        <w:t> </w:t>
      </w:r>
      <w:r>
        <w:rPr>
          <w:spacing w:val="-66"/>
        </w:rPr>
      </w:r>
      <w:r>
        <w:rPr/>
        <w:t>序符合《公司法》、《深圳证券交易所股票上市规则》、《公司章程》和《董事会议事规则》的相关规定。</w:t>
      </w:r>
    </w:p>
    <w:p>
      <w:pPr>
        <w:pStyle w:val="BodyText"/>
        <w:spacing w:line="408" w:lineRule="auto" w:before="38"/>
        <w:ind w:right="817" w:firstLine="420"/>
        <w:jc w:val="left"/>
      </w:pPr>
      <w:r>
        <w:rPr>
          <w:rFonts w:ascii="宋体" w:hAnsi="宋体" w:cs="宋体" w:eastAsia="宋体" w:hint="default"/>
        </w:rPr>
        <w:t>4</w:t>
      </w:r>
      <w:r>
        <w:rPr/>
        <w:t>、关于监事和监事会：公司制定《监事会议事规则》；监事的任职资格、任免程序符合规定；公司监事会通过召开监 </w:t>
      </w:r>
      <w:r>
        <w:rPr>
          <w:spacing w:val="-4"/>
        </w:rPr>
        <w:t>事会会议、出席股东大会、列席董事会会议等方式，审核董事会编制的定期报告并提出书面审核意见；对公司董事、总经理、</w:t>
      </w:r>
      <w:r>
        <w:rPr>
          <w:spacing w:val="-44"/>
        </w:rPr>
        <w:t> </w:t>
      </w:r>
      <w:r>
        <w:rPr>
          <w:spacing w:val="-44"/>
        </w:rPr>
      </w:r>
      <w:r>
        <w:rPr>
          <w:spacing w:val="-2"/>
        </w:rPr>
        <w:t>财务负责人等高级管理人员执行公司职务的行为进行监督；对公司依法运作情况、财务情况、收购资产、关联交易情况等发</w:t>
      </w:r>
      <w:r>
        <w:rPr>
          <w:spacing w:val="-66"/>
        </w:rPr>
        <w:t> </w:t>
      </w:r>
      <w:r>
        <w:rPr>
          <w:spacing w:val="-66"/>
        </w:rPr>
      </w:r>
      <w:r>
        <w:rPr/>
        <w:t>表意见。</w:t>
      </w:r>
    </w:p>
    <w:p>
      <w:pPr>
        <w:pStyle w:val="BodyText"/>
        <w:spacing w:line="408" w:lineRule="auto" w:before="38"/>
        <w:ind w:right="1132" w:firstLine="420"/>
        <w:jc w:val="both"/>
      </w:pPr>
      <w:r>
        <w:rPr>
          <w:rFonts w:ascii="宋体" w:hAnsi="宋体" w:cs="宋体" w:eastAsia="宋体" w:hint="default"/>
          <w:spacing w:val="-2"/>
        </w:rPr>
        <w:t>5</w:t>
      </w:r>
      <w:r>
        <w:rPr>
          <w:spacing w:val="-2"/>
        </w:rPr>
        <w:t>、关于绩效评价与激励约束机制：公司建立并持续完善公正、透明的董事、监事和高级管理人员的绩效评价标准和激</w:t>
      </w:r>
      <w:r>
        <w:rPr/>
        <w:t> 励约束机制；公司高管人员的聘任公开、透明，符合法律法规的规定。</w:t>
      </w:r>
    </w:p>
    <w:p>
      <w:pPr>
        <w:pStyle w:val="BodyText"/>
        <w:spacing w:line="408" w:lineRule="auto" w:before="38"/>
        <w:ind w:right="1042" w:firstLine="420"/>
        <w:jc w:val="both"/>
      </w:pPr>
      <w:r>
        <w:rPr>
          <w:rFonts w:ascii="宋体" w:hAnsi="宋体" w:cs="宋体" w:eastAsia="宋体" w:hint="default"/>
          <w:spacing w:val="-3"/>
        </w:rPr>
        <w:t>6</w:t>
      </w:r>
      <w:r>
        <w:rPr>
          <w:spacing w:val="-3"/>
        </w:rPr>
        <w:t>、关于相关利益者：公司充分尊重和维护相关利益者的合法权益，积极与相关利益者合作，加强与各方的沟通和交流，</w:t>
      </w:r>
      <w:r>
        <w:rPr/>
        <w:t> 实现股东、员工、社会等各方利益的均衡，共同推动公司持续、稳定、健康发展。</w:t>
      </w:r>
    </w:p>
    <w:p>
      <w:pPr>
        <w:pStyle w:val="BodyText"/>
        <w:spacing w:line="408" w:lineRule="auto" w:before="39"/>
        <w:ind w:right="1032" w:firstLine="420"/>
        <w:jc w:val="left"/>
      </w:pPr>
      <w:r>
        <w:rPr>
          <w:rFonts w:ascii="宋体" w:hAnsi="宋体" w:cs="宋体" w:eastAsia="宋体" w:hint="default"/>
        </w:rPr>
        <w:t>7</w:t>
      </w:r>
      <w:r>
        <w:rPr/>
        <w:t>、关于信息披露与透明度：公司严格按照《信息披露管理制度》和《投资者关系管理制度》的要求，指定公司董事会 秘书负责信息披露工作、接待股东来访和咨询；并指定《中国证券报》、《证券时报》、《上海证劵报》、《证券日报》、 </w:t>
      </w:r>
      <w:r>
        <w:rPr>
          <w:spacing w:val="-2"/>
        </w:rPr>
        <w:t>巨潮资讯网为公司信息披露的报纸和网站，严格按照有关规定真实、准确、完整、及时地披露有关信息，确保公司所有股东</w:t>
      </w:r>
      <w:r>
        <w:rPr>
          <w:spacing w:val="-66"/>
        </w:rPr>
        <w:t> </w:t>
      </w:r>
      <w:r>
        <w:rPr>
          <w:spacing w:val="-66"/>
        </w:rPr>
      </w:r>
      <w:r>
        <w:rPr/>
        <w:t>能够以平等的机会获得信息。</w:t>
      </w:r>
    </w:p>
    <w:p>
      <w:pPr>
        <w:spacing w:line="240" w:lineRule="auto" w:before="3"/>
        <w:rPr>
          <w:rFonts w:ascii="宋体" w:hAnsi="宋体" w:cs="宋体" w:eastAsia="宋体" w:hint="default"/>
          <w:sz w:val="22"/>
          <w:szCs w:val="22"/>
        </w:rPr>
      </w:pPr>
    </w:p>
    <w:p>
      <w:pPr>
        <w:pStyle w:val="BodyText"/>
        <w:spacing w:line="240" w:lineRule="auto"/>
        <w:ind w:right="817"/>
        <w:jc w:val="left"/>
      </w:pPr>
      <w:r>
        <w:rPr/>
        <w:t>公司治理的实际状况与中国证监会发布的有关上市公司治理的规范性文件是否存在重大差异</w:t>
      </w:r>
    </w:p>
    <w:p>
      <w:pPr>
        <w:pStyle w:val="BodyText"/>
        <w:spacing w:line="240" w:lineRule="auto" w:before="117"/>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514" w:right="817"/>
        <w:jc w:val="left"/>
      </w:pPr>
      <w:r>
        <w:rPr/>
        <w:t>公司治理的实际状况与中国证监会发布的有关上市公司治理的规范性文件不存在重大差异。</w:t>
      </w:r>
    </w:p>
    <w:p>
      <w:pPr>
        <w:spacing w:line="240" w:lineRule="auto" w:before="0"/>
        <w:rPr>
          <w:rFonts w:ascii="宋体" w:hAnsi="宋体" w:cs="宋体" w:eastAsia="宋体" w:hint="default"/>
          <w:sz w:val="25"/>
          <w:szCs w:val="25"/>
        </w:rPr>
      </w:pPr>
    </w:p>
    <w:p>
      <w:pPr>
        <w:pStyle w:val="Heading2"/>
        <w:spacing w:line="240" w:lineRule="auto"/>
        <w:ind w:right="817"/>
        <w:jc w:val="left"/>
        <w:rPr>
          <w:b w:val="0"/>
          <w:bCs w:val="0"/>
        </w:rPr>
      </w:pPr>
      <w:bookmarkStart w:name="二、公司相对于控股股东在业务、人员、资产、机构、财务等方面的独立情况" w:id="159"/>
      <w:bookmarkEnd w:id="159"/>
      <w:r>
        <w:rPr>
          <w:b w:val="0"/>
          <w:bCs w:val="0"/>
        </w:rPr>
      </w:r>
      <w:r>
        <w:rPr/>
        <w:t>二、公司相对于控股股东在业务、人员、资产、机构、财务等方面的独立情况</w:t>
      </w:r>
      <w:r>
        <w:rPr>
          <w:b w:val="0"/>
          <w:bCs w:val="0"/>
        </w:rPr>
      </w:r>
    </w:p>
    <w:p>
      <w:pPr>
        <w:spacing w:line="240" w:lineRule="auto" w:before="2"/>
        <w:rPr>
          <w:rFonts w:ascii="宋体" w:hAnsi="宋体" w:cs="宋体" w:eastAsia="宋体" w:hint="default"/>
          <w:b/>
          <w:bCs/>
          <w:sz w:val="34"/>
          <w:szCs w:val="34"/>
        </w:rPr>
      </w:pPr>
    </w:p>
    <w:p>
      <w:pPr>
        <w:pStyle w:val="BodyText"/>
        <w:spacing w:line="240" w:lineRule="auto"/>
        <w:ind w:left="574" w:right="817"/>
        <w:jc w:val="left"/>
      </w:pPr>
      <w:r>
        <w:rPr/>
        <w:t>公司具备完整、规范的产、供、销生产经营管理体制和运行机制，公司与控股股东在业务、人员、资产、机构、财务</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9"/>
          <w:szCs w:val="29"/>
        </w:rPr>
      </w:pPr>
    </w:p>
    <w:p>
      <w:pPr>
        <w:pStyle w:val="BodyText"/>
        <w:spacing w:line="240" w:lineRule="auto" w:before="44"/>
        <w:ind w:right="817"/>
        <w:jc w:val="left"/>
      </w:pPr>
      <w:r>
        <w:rPr/>
        <w:t>等方面完全分开，具有独立完整的业务及自主经营能力。</w:t>
      </w:r>
    </w:p>
    <w:p>
      <w:pPr>
        <w:spacing w:line="240" w:lineRule="auto" w:before="7"/>
        <w:rPr>
          <w:rFonts w:ascii="宋体" w:hAnsi="宋体" w:cs="宋体" w:eastAsia="宋体" w:hint="default"/>
          <w:sz w:val="12"/>
          <w:szCs w:val="12"/>
        </w:rPr>
      </w:pPr>
    </w:p>
    <w:p>
      <w:pPr>
        <w:pStyle w:val="BodyText"/>
        <w:spacing w:line="408" w:lineRule="auto"/>
        <w:ind w:right="1114" w:firstLine="420"/>
        <w:jc w:val="left"/>
      </w:pPr>
      <w:r>
        <w:rPr/>
        <w:t>（一）业务独立：公司具有完整的采购供应体系、完整的生产管理体系和独立的销售运作体系，</w:t>
      </w:r>
      <w:r>
        <w:rPr>
          <w:spacing w:val="-52"/>
        </w:rPr>
        <w:t> </w:t>
      </w:r>
      <w:r>
        <w:rPr/>
        <w:t>独立开展业务，不依</w:t>
      </w:r>
      <w:r>
        <w:rPr/>
        <w:t> 赖于任何股东及关联方。</w:t>
      </w:r>
    </w:p>
    <w:p>
      <w:pPr>
        <w:pStyle w:val="BodyText"/>
        <w:spacing w:line="408" w:lineRule="auto" w:before="38"/>
        <w:ind w:right="1152" w:firstLine="420"/>
        <w:jc w:val="left"/>
      </w:pPr>
      <w:r>
        <w:rPr/>
        <w:t>（二）人员独立：本公司董事、监事及高级管理人员严格按照《公司法》《公司章程》的有关规定产生；公司建有独 立的人事及工资管理系统；公司还制订了严格的《人事管理制度》，人员管理做到了制度化。</w:t>
      </w:r>
    </w:p>
    <w:p>
      <w:pPr>
        <w:pStyle w:val="BodyText"/>
        <w:spacing w:line="408" w:lineRule="auto" w:before="39"/>
        <w:ind w:right="1152" w:firstLine="420"/>
        <w:jc w:val="left"/>
      </w:pPr>
      <w:r>
        <w:rPr/>
        <w:t>（三）资产独立：本公司的主要资产包括主营业务所需的完整的生产设备、土地、厂房、办公用房、仓储用房、交通 工具和知识产权，具有完整的配套设施。上述资产产权清晰，完全独立于股东。</w:t>
      </w:r>
    </w:p>
    <w:p>
      <w:pPr>
        <w:pStyle w:val="BodyText"/>
        <w:spacing w:line="408" w:lineRule="auto" w:before="38"/>
        <w:ind w:right="1152" w:firstLine="420"/>
        <w:jc w:val="left"/>
      </w:pPr>
      <w:r>
        <w:rPr/>
        <w:t>（四）机构独立：本公司设股东大会、董事会、监事会，按照《公司章程》的规定履行相关权利和义务。公司拥有独 立的组织机构，拥有独立的运作、管理和考核机制。公司高级管理人员均在公司领取报酬。</w:t>
      </w:r>
    </w:p>
    <w:p>
      <w:pPr>
        <w:pStyle w:val="BodyText"/>
        <w:spacing w:line="408" w:lineRule="auto" w:before="38"/>
        <w:ind w:right="1152" w:firstLine="420"/>
        <w:jc w:val="left"/>
      </w:pPr>
      <w:r>
        <w:rPr/>
        <w:t>（五）财务独立：公司设有独立的财务部门，建立独立的财务会计核算体系和财务管理制度，财务人员与股东完全独 立，不存在交叉任职情况。公司独立开设银行帐户，作为独立的纳税人依法独立纳税。</w:t>
      </w:r>
    </w:p>
    <w:p>
      <w:pPr>
        <w:spacing w:line="240" w:lineRule="auto" w:before="9"/>
        <w:rPr>
          <w:rFonts w:ascii="宋体" w:hAnsi="宋体" w:cs="宋体" w:eastAsia="宋体" w:hint="default"/>
          <w:sz w:val="14"/>
          <w:szCs w:val="14"/>
        </w:rPr>
      </w:pPr>
    </w:p>
    <w:p>
      <w:pPr>
        <w:pStyle w:val="Heading2"/>
        <w:spacing w:line="240" w:lineRule="auto"/>
        <w:ind w:right="817"/>
        <w:jc w:val="left"/>
        <w:rPr>
          <w:b w:val="0"/>
          <w:bCs w:val="0"/>
        </w:rPr>
      </w:pPr>
      <w:bookmarkStart w:name="三、同业竞争情况" w:id="160"/>
      <w:bookmarkEnd w:id="16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四、报告期内召开的年度股东大会和临时股东大会的有关情况" w:id="161"/>
      <w:bookmarkEnd w:id="16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本报告期股东大会情况" w:id="162"/>
      <w:bookmarkEnd w:id="16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418"/>
        <w:gridCol w:w="1559"/>
        <w:gridCol w:w="1560"/>
        <w:gridCol w:w="21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日厦门安妮股份有限公司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年度股东大会决议（公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2018-032</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日厦门安妮股份有限公司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 大会决议（公告编号： </w:t>
            </w:r>
            <w:r>
              <w:rPr>
                <w:rFonts w:ascii="Times New Roman" w:hAnsi="Times New Roman" w:cs="Times New Roman" w:eastAsia="Times New Roman" w:hint="default"/>
                <w:sz w:val="18"/>
                <w:szCs w:val="18"/>
              </w:rPr>
              <w:t>2018-048</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日厦门安妮股份有限公司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 大会决议（公告编号： </w:t>
            </w:r>
            <w:r>
              <w:rPr>
                <w:rFonts w:ascii="Times New Roman" w:hAnsi="Times New Roman" w:cs="Times New Roman" w:eastAsia="Times New Roman" w:hint="default"/>
                <w:sz w:val="18"/>
                <w:szCs w:val="18"/>
              </w:rPr>
              <w:t>2018-067</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日厦门安妮股份有限公司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年度第三次临时股东 大会决议（公告编号： </w:t>
            </w:r>
            <w:r>
              <w:rPr>
                <w:rFonts w:ascii="Times New Roman" w:hAnsi="Times New Roman" w:cs="Times New Roman" w:eastAsia="Times New Roman" w:hint="default"/>
                <w:sz w:val="18"/>
                <w:szCs w:val="18"/>
              </w:rPr>
              <w:t>2018-088</w:t>
            </w:r>
            <w:r>
              <w:rPr>
                <w:rFonts w:ascii="宋体" w:hAnsi="宋体" w:cs="宋体" w:eastAsia="宋体" w:hint="default"/>
                <w:sz w:val="18"/>
                <w:szCs w:val="18"/>
              </w:rPr>
              <w:t>）</w:t>
            </w:r>
          </w:p>
        </w:tc>
      </w:tr>
    </w:tbl>
    <w:p>
      <w:pPr>
        <w:spacing w:after="0" w:line="30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right="817"/>
        <w:jc w:val="left"/>
        <w:rPr>
          <w:b w:val="0"/>
          <w:bCs w:val="0"/>
        </w:rPr>
      </w:pPr>
      <w:bookmarkStart w:name="2、表决权恢复的优先股股东请求召开临时股东大会" w:id="163"/>
      <w:bookmarkEnd w:id="16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17"/>
        <w:jc w:val="left"/>
        <w:rPr>
          <w:b w:val="0"/>
          <w:bCs w:val="0"/>
        </w:rPr>
      </w:pPr>
      <w:bookmarkStart w:name="五、报告期内独立董事履行职责的情况" w:id="164"/>
      <w:bookmarkEnd w:id="16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独立董事出席董事会及股东大会的情况" w:id="165"/>
      <w:bookmarkEnd w:id="16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涂连东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刘世平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刘晓海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817"/>
        <w:jc w:val="left"/>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2、独立董事对公司有关事项提出异议的情况" w:id="166"/>
      <w:bookmarkEnd w:id="16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817"/>
        <w:jc w:val="left"/>
        <w:rPr>
          <w:b w:val="0"/>
          <w:bCs w:val="0"/>
        </w:rPr>
      </w:pPr>
      <w:bookmarkStart w:name="3、独立董事履行职责的其他说明" w:id="167"/>
      <w:bookmarkEnd w:id="16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08" w:lineRule="auto" w:before="142"/>
        <w:ind w:right="1131" w:firstLine="420"/>
        <w:jc w:val="both"/>
      </w:pPr>
      <w:r>
        <w:rPr/>
        <w:t>报告期内，公司尊重独立董事提出的各项建议和意见，在信息披露、财务审计、利润分配、重大投资决策、高管人员 </w:t>
      </w:r>
      <w:r>
        <w:rPr>
          <w:spacing w:val="-2"/>
        </w:rPr>
        <w:t>任免等方面，提请独立董事审议，确保独立董事能够全面和深入了解具体内容，为公司规范化治理的提高，起到了积极地推</w:t>
      </w:r>
      <w:r>
        <w:rPr>
          <w:spacing w:val="-66"/>
        </w:rPr>
        <w:t> </w:t>
      </w:r>
      <w:r>
        <w:rPr>
          <w:spacing w:val="-66"/>
        </w:rPr>
      </w:r>
      <w:r>
        <w:rPr/>
        <w:t>动作用。</w:t>
      </w:r>
    </w:p>
    <w:p>
      <w:pPr>
        <w:spacing w:line="240" w:lineRule="auto" w:before="9"/>
        <w:rPr>
          <w:rFonts w:ascii="宋体" w:hAnsi="宋体" w:cs="宋体" w:eastAsia="宋体" w:hint="default"/>
          <w:sz w:val="14"/>
          <w:szCs w:val="14"/>
        </w:rPr>
      </w:pPr>
    </w:p>
    <w:p>
      <w:pPr>
        <w:pStyle w:val="Heading2"/>
        <w:spacing w:line="240" w:lineRule="auto"/>
        <w:ind w:right="817"/>
        <w:jc w:val="left"/>
        <w:rPr>
          <w:b w:val="0"/>
          <w:bCs w:val="0"/>
        </w:rPr>
      </w:pPr>
      <w:bookmarkStart w:name="六、董事会下设专门委员会在报告期内履行职责情况" w:id="168"/>
      <w:bookmarkEnd w:id="168"/>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34"/>
          <w:szCs w:val="34"/>
        </w:rPr>
      </w:pPr>
    </w:p>
    <w:p>
      <w:pPr>
        <w:pStyle w:val="BodyText"/>
        <w:spacing w:line="408" w:lineRule="auto"/>
        <w:ind w:left="574" w:right="1152"/>
        <w:jc w:val="left"/>
      </w:pPr>
      <w:r>
        <w:rPr/>
        <w:t>（一）、战略委员会履职情况 报告期内，战略委员会对公司重大投资计划进行了研究和审议，并向董事会提出了相关议案。 </w:t>
      </w:r>
      <w:r>
        <w:rPr>
          <w:rFonts w:ascii="宋体" w:hAnsi="宋体" w:cs="宋体" w:eastAsia="宋体" w:hint="default"/>
        </w:rPr>
        <w:t>2018</w:t>
      </w:r>
      <w:r>
        <w:rPr/>
        <w:t>年度，公司董事会战略委员会严格按照相关法律法规及《公司章程》《董事会战略委员会议事规则》的有关规定</w:t>
      </w:r>
    </w:p>
    <w:p>
      <w:pPr>
        <w:pStyle w:val="BodyText"/>
        <w:spacing w:line="408" w:lineRule="auto" w:before="39"/>
        <w:ind w:right="1122"/>
        <w:jc w:val="left"/>
      </w:pPr>
      <w:r>
        <w:rPr/>
        <w:t>积极开展相关工作，结合行业发展态势和公司发展的实际情况，向董事会提出公司中长期战略规划的合理建议，共计召开</w:t>
      </w:r>
      <w:r>
        <w:rPr>
          <w:rFonts w:ascii="宋体" w:hAnsi="宋体" w:cs="宋体" w:eastAsia="宋体" w:hint="default"/>
        </w:rPr>
        <w:t>2 </w:t>
      </w:r>
      <w:r>
        <w:rPr/>
        <w:t>次会议。</w:t>
      </w:r>
    </w:p>
    <w:p>
      <w:pPr>
        <w:pStyle w:val="BodyText"/>
        <w:spacing w:line="240" w:lineRule="auto" w:before="38"/>
        <w:ind w:left="574" w:right="817"/>
        <w:jc w:val="left"/>
      </w:pPr>
      <w:r>
        <w:rPr/>
        <w:t>（二）、提名委员会履职情况</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9"/>
          <w:szCs w:val="29"/>
        </w:rPr>
      </w:pPr>
    </w:p>
    <w:p>
      <w:pPr>
        <w:pStyle w:val="BodyText"/>
        <w:spacing w:line="408" w:lineRule="auto" w:before="44"/>
        <w:ind w:right="1050" w:firstLine="420"/>
        <w:jc w:val="both"/>
      </w:pPr>
      <w:r>
        <w:rPr/>
        <w:t>报告期内，董事会提名委员会共召开会议</w:t>
      </w:r>
      <w:r>
        <w:rPr>
          <w:rFonts w:ascii="宋体" w:hAnsi="宋体" w:cs="宋体" w:eastAsia="宋体" w:hint="default"/>
        </w:rPr>
        <w:t>1</w:t>
      </w:r>
      <w:r>
        <w:rPr/>
        <w:t>次。董事会提名委员会依据公司《提名委员会工作细则》开展各项工作，研 究高级管理人员的选择标准和程序并提出建议；遴选合格的高级管理人员人选；对高级管理人员人选进行审核并提出建议。</w:t>
      </w:r>
    </w:p>
    <w:p>
      <w:pPr>
        <w:pStyle w:val="BodyText"/>
        <w:spacing w:line="240" w:lineRule="auto" w:before="39"/>
        <w:ind w:left="604" w:right="817"/>
        <w:jc w:val="left"/>
      </w:pPr>
      <w:r>
        <w:rPr/>
        <w:t>（三）、薪酬与考核委员会履职情况</w:t>
      </w:r>
    </w:p>
    <w:p>
      <w:pPr>
        <w:spacing w:line="240" w:lineRule="auto" w:before="7"/>
        <w:rPr>
          <w:rFonts w:ascii="宋体" w:hAnsi="宋体" w:cs="宋体" w:eastAsia="宋体" w:hint="default"/>
          <w:sz w:val="12"/>
          <w:szCs w:val="12"/>
        </w:rPr>
      </w:pPr>
    </w:p>
    <w:p>
      <w:pPr>
        <w:pStyle w:val="BodyText"/>
        <w:spacing w:line="408" w:lineRule="auto"/>
        <w:ind w:right="1139" w:firstLine="360"/>
        <w:jc w:val="both"/>
      </w:pPr>
      <w:r>
        <w:rPr>
          <w:rFonts w:ascii="宋体" w:hAnsi="宋体" w:cs="宋体" w:eastAsia="宋体" w:hint="default"/>
        </w:rPr>
        <w:t>2018 </w:t>
      </w:r>
      <w:r>
        <w:rPr/>
        <w:t>年度，公司董事会薪酬与考核委员会按照《公司章程》《薪酬与考核委员会议事规则》等相关要求，积极履行职 责，研究董事与高级管理人员考核的标准</w:t>
      </w:r>
      <w:r>
        <w:rPr>
          <w:rFonts w:ascii="宋体" w:hAnsi="宋体" w:cs="宋体" w:eastAsia="宋体" w:hint="default"/>
        </w:rPr>
        <w:t>,</w:t>
      </w:r>
      <w:r>
        <w:rPr/>
        <w:t>并提出合理化建议，根据董事及高级管理人员的职责制定合理的薪酬考核方案， 并监督公司薪酬制度的执行情况。报告期内，薪酬与考核委员会共召开</w:t>
      </w:r>
      <w:r>
        <w:rPr>
          <w:rFonts w:ascii="宋体" w:hAnsi="宋体" w:cs="宋体" w:eastAsia="宋体" w:hint="default"/>
        </w:rPr>
        <w:t>1</w:t>
      </w:r>
      <w:r>
        <w:rPr/>
        <w:t>次会议。审议批准了公司董事、监事及高级管理人 员</w:t>
      </w:r>
      <w:r>
        <w:rPr>
          <w:rFonts w:ascii="宋体" w:hAnsi="宋体" w:cs="宋体" w:eastAsia="宋体" w:hint="default"/>
        </w:rPr>
        <w:t>2018</w:t>
      </w:r>
      <w:r>
        <w:rPr/>
        <w:t>年度薪酬状况，促进公司建立利益共享、风险共担机制，吸引与稳定更多的优秀人才。</w:t>
      </w:r>
    </w:p>
    <w:p>
      <w:pPr>
        <w:pStyle w:val="BodyText"/>
        <w:spacing w:line="408" w:lineRule="auto" w:before="38"/>
        <w:ind w:left="574" w:right="817" w:hanging="60"/>
        <w:jc w:val="left"/>
      </w:pPr>
      <w:r>
        <w:rPr/>
        <w:t>（四）、审计委员会履职情况 </w:t>
      </w:r>
      <w:r>
        <w:rPr>
          <w:rFonts w:ascii="宋体" w:hAnsi="宋体" w:cs="宋体" w:eastAsia="宋体" w:hint="default"/>
        </w:rPr>
        <w:t>2018</w:t>
      </w:r>
      <w:r>
        <w:rPr/>
        <w:t>年度，公司董事会审计委员会根据《公司章程》《董事会审计委员会议事规则》的有关要求，认真履行了监督、</w:t>
      </w:r>
    </w:p>
    <w:p>
      <w:pPr>
        <w:pStyle w:val="BodyText"/>
        <w:spacing w:line="408" w:lineRule="auto" w:before="38"/>
        <w:ind w:right="817"/>
        <w:jc w:val="left"/>
      </w:pPr>
      <w:r>
        <w:rPr>
          <w:spacing w:val="-4"/>
        </w:rPr>
        <w:t>检查职责。对公司财务报告、内部控制情况、内外审计机构的工作情况等事项进行审议，并将相关报告提交公司董事会审议。</w:t>
      </w:r>
      <w:r>
        <w:rPr>
          <w:spacing w:val="-46"/>
        </w:rPr>
        <w:t> </w:t>
      </w:r>
      <w:r>
        <w:rPr>
          <w:spacing w:val="-46"/>
        </w:rPr>
      </w:r>
      <w:r>
        <w:rPr/>
        <w:t>报告期内，审计委员会以现场或通讯方式召开了</w:t>
      </w:r>
      <w:r>
        <w:rPr>
          <w:rFonts w:ascii="宋体" w:hAnsi="宋体" w:cs="宋体" w:eastAsia="宋体" w:hint="default"/>
        </w:rPr>
        <w:t>3</w:t>
      </w:r>
      <w:r>
        <w:rPr/>
        <w:t>次会议，主要完成了财务报告的审计、年度审计机构的聘任、关联交易、</w:t>
      </w:r>
      <w:r>
        <w:rPr>
          <w:spacing w:val="-81"/>
        </w:rPr>
        <w:t> </w:t>
      </w:r>
      <w:r>
        <w:rPr>
          <w:spacing w:val="-81"/>
        </w:rPr>
      </w:r>
      <w:r>
        <w:rPr/>
        <w:t>监督与内部控制评价等工作，充分发挥了审计委员会的审计监督作用，推动公司治理不断规范。</w:t>
      </w:r>
    </w:p>
    <w:p>
      <w:pPr>
        <w:spacing w:line="240" w:lineRule="auto" w:before="8"/>
        <w:rPr>
          <w:rFonts w:ascii="宋体" w:hAnsi="宋体" w:cs="宋体" w:eastAsia="宋体" w:hint="default"/>
          <w:sz w:val="14"/>
          <w:szCs w:val="14"/>
        </w:rPr>
      </w:pPr>
    </w:p>
    <w:p>
      <w:pPr>
        <w:pStyle w:val="Heading2"/>
        <w:spacing w:line="240" w:lineRule="auto"/>
        <w:ind w:right="817"/>
        <w:jc w:val="left"/>
        <w:rPr>
          <w:b w:val="0"/>
          <w:bCs w:val="0"/>
        </w:rPr>
      </w:pPr>
      <w:bookmarkStart w:name="七、监事会工作情况" w:id="169"/>
      <w:bookmarkEnd w:id="16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817"/>
        <w:jc w:val="left"/>
        <w:rPr>
          <w:b w:val="0"/>
          <w:bCs w:val="0"/>
        </w:rPr>
      </w:pPr>
      <w:bookmarkStart w:name="八、高级管理人员的考评及激励情况" w:id="170"/>
      <w:bookmarkEnd w:id="170"/>
      <w:r>
        <w:rPr>
          <w:b w:val="0"/>
          <w:bCs w:val="0"/>
        </w:rPr>
      </w:r>
      <w:r>
        <w:rPr/>
        <w:t>八、高级管理人员的考评及激励情况</w:t>
      </w:r>
      <w:r>
        <w:rPr>
          <w:b w:val="0"/>
          <w:bCs w:val="0"/>
        </w:rPr>
      </w:r>
    </w:p>
    <w:p>
      <w:pPr>
        <w:spacing w:line="240" w:lineRule="auto" w:before="2"/>
        <w:rPr>
          <w:rFonts w:ascii="宋体" w:hAnsi="宋体" w:cs="宋体" w:eastAsia="宋体" w:hint="default"/>
          <w:b/>
          <w:bCs/>
          <w:sz w:val="34"/>
          <w:szCs w:val="34"/>
        </w:rPr>
      </w:pPr>
    </w:p>
    <w:p>
      <w:pPr>
        <w:pStyle w:val="BodyText"/>
        <w:spacing w:line="408" w:lineRule="auto"/>
        <w:ind w:right="817" w:firstLine="482"/>
        <w:jc w:val="left"/>
      </w:pPr>
      <w:r>
        <w:rPr>
          <w:rFonts w:ascii="宋体" w:hAnsi="宋体" w:cs="宋体" w:eastAsia="宋体" w:hint="default"/>
          <w:spacing w:val="-1"/>
        </w:rPr>
        <w:t>1</w:t>
      </w:r>
      <w:r>
        <w:rPr>
          <w:spacing w:val="-1"/>
        </w:rPr>
        <w:t>、考评机制：由公司董事会按年度对公司高级管理人员的业绩和履职情况进行考评，并根据工作业绩决定年度薪酬，</w:t>
      </w:r>
      <w:r>
        <w:rPr/>
        <w:t> 以考核结果作为下一年度的岗位安排、年薪档次、是否续聘及职位升降和下一届任免的依据。</w:t>
      </w:r>
    </w:p>
    <w:p>
      <w:pPr>
        <w:pStyle w:val="BodyText"/>
        <w:spacing w:line="240" w:lineRule="auto" w:before="38"/>
        <w:ind w:left="636" w:right="817"/>
        <w:jc w:val="left"/>
      </w:pPr>
      <w:r>
        <w:rPr>
          <w:rFonts w:ascii="宋体" w:hAnsi="宋体" w:cs="宋体" w:eastAsia="宋体" w:hint="default"/>
        </w:rPr>
        <w:t>2</w:t>
      </w:r>
      <w:r>
        <w:rPr/>
        <w:t>、激励机制：公司根据公司近几年的经营状况和个人的岗位职责，确定年度薪酬。</w:t>
      </w:r>
    </w:p>
    <w:p>
      <w:pPr>
        <w:spacing w:line="240" w:lineRule="auto" w:before="4"/>
        <w:rPr>
          <w:rFonts w:ascii="宋体" w:hAnsi="宋体" w:cs="宋体" w:eastAsia="宋体" w:hint="default"/>
          <w:sz w:val="24"/>
          <w:szCs w:val="24"/>
        </w:rPr>
      </w:pPr>
    </w:p>
    <w:p>
      <w:pPr>
        <w:pStyle w:val="Heading2"/>
        <w:spacing w:line="240" w:lineRule="auto"/>
        <w:ind w:right="817"/>
        <w:jc w:val="left"/>
        <w:rPr>
          <w:b w:val="0"/>
          <w:bCs w:val="0"/>
        </w:rPr>
      </w:pPr>
      <w:bookmarkStart w:name="九、内部控制评价报告" w:id="171"/>
      <w:bookmarkEnd w:id="17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报告期内发现的内部控制重大缺陷的具体情况" w:id="172"/>
      <w:bookmarkEnd w:id="17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2、内控自我评价报告" w:id="173"/>
      <w:bookmarkEnd w:id="17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巨潮资讯网《厦门安妮股份有限公司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年内部控制自我评价报告》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left"/>
              <w:rPr>
                <w:rFonts w:ascii="宋体" w:hAnsi="宋体" w:cs="宋体" w:eastAsia="宋体" w:hint="default"/>
                <w:sz w:val="18"/>
                <w:szCs w:val="18"/>
              </w:rPr>
            </w:pPr>
            <w:r>
              <w:rPr>
                <w:rFonts w:ascii="宋体" w:hAnsi="宋体" w:cs="宋体" w:eastAsia="宋体" w:hint="default"/>
                <w:spacing w:val="-3"/>
                <w:sz w:val="18"/>
                <w:szCs w:val="18"/>
              </w:rPr>
              <w:t>财务报告重大缺陷的迹象包括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董事、监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事和高级管理人员舞弊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 布的财务报告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注册会计师发现当期财 务报告存在重大错报而公司内部控制在运 行过程中未能发现该错报</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 和内部审计机构对内部控制的监督无效。 财务报告重要缺陷的迹象包括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 公认会计准则选择和应用会计政策</w:t>
            </w:r>
            <w:r>
              <w:rPr>
                <w:rFonts w:ascii="Times New Roman" w:hAnsi="Times New Roman" w:cs="Times New Roman" w:eastAsia="Times New Roman" w:hint="default"/>
                <w:sz w:val="18"/>
                <w:szCs w:val="18"/>
              </w:rPr>
              <w:t>;(2)</w:t>
            </w:r>
            <w:r>
              <w:rPr>
                <w:rFonts w:ascii="宋体" w:hAnsi="宋体" w:cs="宋体" w:eastAsia="宋体" w:hint="default"/>
                <w:sz w:val="18"/>
                <w:szCs w:val="18"/>
              </w:rPr>
              <w:t>未 建立反舞弊程序和控制措施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 规或特殊交易的账务处理没有建立相应的 控制机制或没有实施且没有相应的补偿性 控制</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对于期末财务报告的控制存在一 项或多项缺陷且不能合理保证编制的财务 </w:t>
            </w:r>
            <w:r>
              <w:rPr>
                <w:rFonts w:ascii="宋体" w:hAnsi="宋体" w:cs="宋体" w:eastAsia="宋体" w:hint="default"/>
                <w:spacing w:val="-3"/>
                <w:sz w:val="18"/>
                <w:szCs w:val="18"/>
              </w:rPr>
              <w:t>报表达到真实、完整的目标。</w:t>
            </w:r>
            <w:r>
              <w:rPr>
                <w:rFonts w:ascii="宋体" w:hAnsi="宋体" w:cs="宋体" w:eastAsia="宋体" w:hint="default"/>
                <w:spacing w:val="-28"/>
                <w:sz w:val="18"/>
                <w:szCs w:val="18"/>
              </w:rPr>
              <w:t> </w:t>
            </w:r>
            <w:r>
              <w:rPr>
                <w:rFonts w:ascii="宋体" w:hAnsi="宋体" w:cs="宋体" w:eastAsia="宋体" w:hint="default"/>
                <w:sz w:val="18"/>
                <w:szCs w:val="18"/>
              </w:rPr>
              <w:t>一般缺陷是</w:t>
            </w:r>
            <w:r>
              <w:rPr>
                <w:rFonts w:ascii="宋体" w:hAnsi="宋体" w:cs="宋体" w:eastAsia="宋体" w:hint="default"/>
                <w:sz w:val="18"/>
                <w:szCs w:val="18"/>
              </w:rPr>
              <w:t> 指除上述重大缺陷、重要缺陷之外的其他 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小</w:t>
            </w:r>
            <w:r>
              <w:rPr>
                <w:rFonts w:ascii="Times New Roman" w:hAnsi="Times New Roman" w:cs="Times New Roman" w:eastAsia="Times New Roman" w:hint="default"/>
                <w:sz w:val="18"/>
                <w:szCs w:val="18"/>
              </w:rPr>
              <w:t>,</w:t>
            </w:r>
            <w:r>
              <w:rPr>
                <w:rFonts w:ascii="宋体" w:hAnsi="宋体" w:cs="宋体" w:eastAsia="宋体" w:hint="default"/>
                <w:sz w:val="18"/>
                <w:szCs w:val="18"/>
              </w:rPr>
              <w:t>会降低工作效率或效果、或加大效 </w:t>
            </w:r>
            <w:r>
              <w:rPr>
                <w:rFonts w:ascii="宋体" w:hAnsi="宋体" w:cs="宋体" w:eastAsia="宋体" w:hint="default"/>
                <w:spacing w:val="-4"/>
                <w:sz w:val="18"/>
                <w:szCs w:val="18"/>
              </w:rPr>
              <w:t>果的不确定性、或使之偏离预期目标的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如果缺陷发生的可能性较 高</w:t>
            </w:r>
            <w:r>
              <w:rPr>
                <w:rFonts w:ascii="Times New Roman" w:hAnsi="Times New Roman" w:cs="Times New Roman" w:eastAsia="Times New Roman" w:hint="default"/>
                <w:sz w:val="18"/>
                <w:szCs w:val="18"/>
              </w:rPr>
              <w:t>,</w:t>
            </w:r>
            <w:r>
              <w:rPr>
                <w:rFonts w:ascii="宋体" w:hAnsi="宋体" w:cs="宋体" w:eastAsia="宋体" w:hint="default"/>
                <w:sz w:val="18"/>
                <w:szCs w:val="18"/>
              </w:rPr>
              <w:t>会显著降低工作效率或效果、或显 </w:t>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离预期目标的为重要缺陷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如果缺陷发 生的可能性高</w:t>
            </w:r>
            <w:r>
              <w:rPr>
                <w:rFonts w:ascii="Times New Roman" w:hAnsi="Times New Roman" w:cs="Times New Roman" w:eastAsia="Times New Roman" w:hint="default"/>
                <w:sz w:val="18"/>
                <w:szCs w:val="18"/>
              </w:rPr>
              <w:t>,</w:t>
            </w:r>
            <w:r>
              <w:rPr>
                <w:rFonts w:ascii="宋体" w:hAnsi="宋体" w:cs="宋体" w:eastAsia="宋体" w:hint="default"/>
                <w:sz w:val="18"/>
                <w:szCs w:val="18"/>
              </w:rPr>
              <w:t>会严重降低工作效率或 </w:t>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使之严重偏离预期目标的为重大缺陷。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312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60"/>
              <w:ind w:left="16" w:right="20"/>
              <w:jc w:val="left"/>
              <w:rPr>
                <w:rFonts w:ascii="宋体" w:hAnsi="宋体" w:cs="宋体" w:eastAsia="宋体" w:hint="default"/>
                <w:sz w:val="18"/>
                <w:szCs w:val="18"/>
              </w:rPr>
            </w:pPr>
            <w:r>
              <w:rPr>
                <w:rFonts w:ascii="宋体" w:hAnsi="宋体" w:cs="宋体" w:eastAsia="宋体" w:hint="default"/>
                <w:sz w:val="18"/>
                <w:szCs w:val="18"/>
              </w:rPr>
              <w:t>以营业收入、资产总额作为衡量指标。内 部控制缺陷可能导致或导致的损失与利润 </w:t>
            </w:r>
            <w:r>
              <w:rPr>
                <w:rFonts w:ascii="宋体" w:hAnsi="宋体" w:cs="宋体" w:eastAsia="宋体" w:hint="default"/>
                <w:spacing w:val="-2"/>
                <w:sz w:val="18"/>
                <w:szCs w:val="18"/>
              </w:rPr>
              <w:t>表相关的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以营业收入指标衡量。如果该缺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陷单独或连同其他缺陷可能导致的财务报 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 为一般缺陷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 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如果超过营业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r>
              <w:rPr>
                <w:rFonts w:ascii="宋体" w:hAnsi="宋体" w:cs="宋体" w:eastAsia="宋体" w:hint="default"/>
                <w:spacing w:val="-33"/>
                <w:sz w:val="18"/>
                <w:szCs w:val="18"/>
              </w:rPr>
              <w:t> </w:t>
            </w:r>
            <w:r>
              <w:rPr>
                <w:rFonts w:ascii="宋体" w:hAnsi="宋体" w:cs="宋体" w:eastAsia="宋体" w:hint="default"/>
                <w:sz w:val="18"/>
                <w:szCs w:val="18"/>
              </w:rPr>
              <w:t>内部控制</w:t>
            </w:r>
            <w:r>
              <w:rPr>
                <w:rFonts w:ascii="宋体" w:hAnsi="宋体" w:cs="宋体" w:eastAsia="宋体" w:hint="default"/>
                <w:sz w:val="18"/>
                <w:szCs w:val="18"/>
              </w:rPr>
              <w:t> 缺陷可能导致或导致的损失与资产管理相 </w:t>
            </w:r>
            <w:r>
              <w:rPr>
                <w:rFonts w:ascii="宋体" w:hAnsi="宋体" w:cs="宋体" w:eastAsia="宋体" w:hint="default"/>
                <w:spacing w:val="-2"/>
                <w:sz w:val="18"/>
                <w:szCs w:val="18"/>
              </w:rPr>
              <w:t>关的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以资产总额指标衡量。如果该缺陷单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独或连同其他缺陷可能导致的财务报告错 报金额小于资产总额的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 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如果超过资产总额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内部控制缺陷可能直接导致财产损失 的</w:t>
            </w:r>
            <w:r>
              <w:rPr>
                <w:rFonts w:ascii="Times New Roman" w:hAnsi="Times New Roman" w:cs="Times New Roman" w:eastAsia="Times New Roman" w:hint="default"/>
                <w:sz w:val="18"/>
                <w:szCs w:val="18"/>
              </w:rPr>
              <w:t>,</w:t>
            </w:r>
            <w:r>
              <w:rPr>
                <w:rFonts w:ascii="宋体" w:hAnsi="宋体" w:cs="宋体" w:eastAsia="宋体" w:hint="default"/>
                <w:sz w:val="18"/>
                <w:szCs w:val="18"/>
              </w:rPr>
              <w:t>以直接财产损失金额指标衡量：如 果该缺陷单独或连同其他缺陷可能导 致或导致的直接财产损失金额等于或 大于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万元但小于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则认定为 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直接财产损失金额等于或大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则认定为</w:t>
            </w:r>
          </w:p>
          <w:p>
            <w:pPr>
              <w:pStyle w:val="TableParagraph"/>
              <w:spacing w:line="304"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直接财产损失金额大于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则认定为重大缺陷。内部控制缺 陷可能产生重大负面影响的</w:t>
            </w:r>
            <w:r>
              <w:rPr>
                <w:rFonts w:ascii="Times New Roman" w:hAnsi="Times New Roman" w:cs="Times New Roman" w:eastAsia="Times New Roman" w:hint="default"/>
                <w:sz w:val="18"/>
                <w:szCs w:val="18"/>
              </w:rPr>
              <w:t>,</w:t>
            </w:r>
            <w:r>
              <w:rPr>
                <w:rFonts w:ascii="宋体" w:hAnsi="宋体" w:cs="宋体" w:eastAsia="宋体" w:hint="default"/>
                <w:sz w:val="18"/>
                <w:szCs w:val="18"/>
              </w:rPr>
              <w:t>以重大负 </w:t>
            </w:r>
            <w:r>
              <w:rPr>
                <w:rFonts w:ascii="宋体" w:hAnsi="宋体" w:cs="宋体" w:eastAsia="宋体" w:hint="default"/>
                <w:spacing w:val="-4"/>
                <w:sz w:val="18"/>
                <w:szCs w:val="18"/>
              </w:rPr>
              <w:t>面影响指标衡量：如果该缺陷单独或连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同其他缺陷可能导致受到省级</w:t>
            </w:r>
            <w:r>
              <w:rPr>
                <w:rFonts w:ascii="Times New Roman" w:hAnsi="Times New Roman" w:cs="Times New Roman" w:eastAsia="Times New Roman" w:hint="default"/>
                <w:sz w:val="18"/>
                <w:szCs w:val="18"/>
              </w:rPr>
              <w:t>(</w:t>
            </w:r>
            <w:r>
              <w:rPr>
                <w:rFonts w:ascii="宋体" w:hAnsi="宋体" w:cs="宋体" w:eastAsia="宋体" w:hint="default"/>
                <w:sz w:val="18"/>
                <w:szCs w:val="18"/>
              </w:rPr>
              <w:t>含省 级</w:t>
            </w:r>
            <w:r>
              <w:rPr>
                <w:rFonts w:ascii="Times New Roman" w:hAnsi="Times New Roman" w:cs="Times New Roman" w:eastAsia="Times New Roman" w:hint="default"/>
                <w:sz w:val="18"/>
                <w:szCs w:val="18"/>
              </w:rPr>
              <w:t>)</w:t>
            </w:r>
            <w:r>
              <w:rPr>
                <w:rFonts w:ascii="宋体" w:hAnsi="宋体" w:cs="宋体" w:eastAsia="宋体" w:hint="default"/>
                <w:sz w:val="18"/>
                <w:szCs w:val="18"/>
              </w:rPr>
              <w:t>以下政府部门处罚但未对本公司定 期报告披露造成负面影响</w:t>
            </w:r>
            <w:r>
              <w:rPr>
                <w:rFonts w:ascii="Times New Roman" w:hAnsi="Times New Roman" w:cs="Times New Roman" w:eastAsia="Times New Roman" w:hint="default"/>
                <w:sz w:val="18"/>
                <w:szCs w:val="18"/>
              </w:rPr>
              <w:t>,</w:t>
            </w:r>
            <w:r>
              <w:rPr>
                <w:rFonts w:ascii="宋体" w:hAnsi="宋体" w:cs="宋体" w:eastAsia="宋体" w:hint="default"/>
                <w:sz w:val="18"/>
                <w:szCs w:val="18"/>
              </w:rPr>
              <w:t>则认定为一 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受到省级以上政府部门或监管 机构处罚但未对本公司定期报告披露 造成负面影响</w:t>
            </w:r>
            <w:r>
              <w:rPr>
                <w:rFonts w:ascii="Times New Roman" w:hAnsi="Times New Roman" w:cs="Times New Roman" w:eastAsia="Times New Roman" w:hint="default"/>
                <w:sz w:val="18"/>
                <w:szCs w:val="18"/>
              </w:rPr>
              <w:t>,</w:t>
            </w:r>
            <w:r>
              <w:rPr>
                <w:rFonts w:ascii="宋体" w:hAnsi="宋体" w:cs="宋体" w:eastAsia="宋体" w:hint="default"/>
                <w:sz w:val="18"/>
                <w:szCs w:val="18"/>
              </w:rPr>
              <w:t>则认定为重要缺陷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受到 省级以上政府部门或监管机构处罚已 经对外正式披露并对本公司定期报告 披露造成负面影响</w:t>
            </w:r>
            <w:r>
              <w:rPr>
                <w:rFonts w:ascii="Times New Roman" w:hAnsi="Times New Roman" w:cs="Times New Roman" w:eastAsia="Times New Roman" w:hint="default"/>
                <w:sz w:val="18"/>
                <w:szCs w:val="18"/>
              </w:rPr>
              <w:t>,</w:t>
            </w:r>
            <w:r>
              <w:rPr>
                <w:rFonts w:ascii="宋体" w:hAnsi="宋体" w:cs="宋体" w:eastAsia="宋体" w:hint="default"/>
                <w:sz w:val="18"/>
                <w:szCs w:val="18"/>
              </w:rPr>
              <w:t>则认定为重大缺 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12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817"/>
        <w:jc w:val="left"/>
        <w:rPr>
          <w:b w:val="0"/>
          <w:bCs w:val="0"/>
        </w:rPr>
      </w:pPr>
      <w:bookmarkStart w:name="十、内部控制审计报告或鉴证报告" w:id="174"/>
      <w:bookmarkEnd w:id="174"/>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我们认为，贵公司按照财政部等五委颁发的《企业内控制基本规范》及相关定于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日在所有重大方面保 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巨潮资讯网《厦门安妮股份有限公司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817"/>
        <w:jc w:val="left"/>
      </w:pPr>
      <w:r>
        <w:rPr/>
        <w:t>会计师事务所是否出具非标准意见的内部控制鉴证报告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817"/>
        <w:jc w:val="left"/>
        <w:rPr>
          <w:b w:val="0"/>
          <w:bCs w:val="0"/>
        </w:rPr>
      </w:pPr>
      <w:bookmarkStart w:name="_TOC_250002" w:id="175"/>
      <w:bookmarkStart w:name="第十节 公司债券相关情况" w:id="176"/>
      <w:r>
        <w:rPr>
          <w:b w:val="0"/>
          <w:bCs w:val="0"/>
        </w:rPr>
      </w:r>
      <w:r>
        <w:rPr/>
        <w:t>第十节</w:t>
      </w:r>
      <w:r>
        <w:rPr>
          <w:spacing w:val="-9"/>
        </w:rPr>
        <w:t> </w:t>
      </w:r>
      <w:r>
        <w:rPr/>
        <w:t>公司债券相关情况</w:t>
      </w:r>
      <w:bookmarkEnd w:id="175"/>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left="3560" w:right="817"/>
        <w:jc w:val="left"/>
        <w:rPr>
          <w:b w:val="0"/>
          <w:bCs w:val="0"/>
        </w:rPr>
      </w:pPr>
      <w:bookmarkStart w:name="_TOC_250001" w:id="177"/>
      <w:bookmarkStart w:name="第十一节 财务报告" w:id="178"/>
      <w:r>
        <w:rPr>
          <w:b w:val="0"/>
          <w:bCs w:val="0"/>
        </w:rPr>
      </w:r>
      <w:r>
        <w:rPr/>
        <w:t>第十一节</w:t>
      </w:r>
      <w:r>
        <w:rPr>
          <w:spacing w:val="-6"/>
        </w:rPr>
        <w:t> </w:t>
      </w:r>
      <w:r>
        <w:rPr/>
        <w:t>财务报告</w:t>
      </w:r>
      <w:bookmarkEnd w:id="17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bookmarkStart w:name="一、审计报告" w:id="179"/>
      <w:bookmarkEnd w:id="179"/>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5-00149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陈菁佩、连伟</w:t>
            </w:r>
          </w:p>
        </w:tc>
      </w:tr>
    </w:tbl>
    <w:p>
      <w:pPr>
        <w:spacing w:line="240" w:lineRule="auto" w:before="6"/>
        <w:rPr>
          <w:rFonts w:ascii="宋体" w:hAnsi="宋体" w:cs="宋体" w:eastAsia="宋体" w:hint="default"/>
          <w:b/>
          <w:bCs/>
          <w:sz w:val="27"/>
          <w:szCs w:val="27"/>
        </w:rPr>
      </w:pPr>
    </w:p>
    <w:p>
      <w:pPr>
        <w:pStyle w:val="BodyText"/>
        <w:spacing w:line="240" w:lineRule="auto" w:before="44"/>
        <w:ind w:left="2649" w:right="3723"/>
        <w:jc w:val="center"/>
      </w:pPr>
      <w:r>
        <w:rPr/>
        <w:t>审计报告正文</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spacing w:before="0"/>
        <w:ind w:left="2649" w:right="3723" w:firstLine="0"/>
        <w:jc w:val="center"/>
        <w:rPr>
          <w:rFonts w:ascii="黑体" w:hAnsi="黑体" w:cs="黑体" w:eastAsia="黑体" w:hint="default"/>
          <w:sz w:val="36"/>
          <w:szCs w:val="36"/>
        </w:rPr>
      </w:pPr>
      <w:bookmarkStart w:name="审计报告" w:id="180"/>
      <w:bookmarkEnd w:id="180"/>
      <w:r>
        <w:rPr/>
      </w:r>
      <w:r>
        <w:rPr>
          <w:rFonts w:ascii="黑体" w:hAnsi="黑体" w:cs="黑体" w:eastAsia="黑体" w:hint="default"/>
          <w:b/>
          <w:bCs/>
          <w:sz w:val="36"/>
          <w:szCs w:val="36"/>
        </w:rPr>
        <w:t>审计报告</w:t>
      </w:r>
      <w:r>
        <w:rPr>
          <w:rFonts w:ascii="黑体" w:hAnsi="黑体" w:cs="黑体" w:eastAsia="黑体" w:hint="default"/>
          <w:sz w:val="36"/>
          <w:szCs w:val="36"/>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4"/>
          <w:szCs w:val="14"/>
        </w:rPr>
      </w:pPr>
    </w:p>
    <w:p>
      <w:pPr>
        <w:spacing w:after="0" w:line="240" w:lineRule="auto"/>
        <w:rPr>
          <w:rFonts w:ascii="黑体" w:hAnsi="黑体" w:cs="黑体" w:eastAsia="黑体" w:hint="default"/>
          <w:sz w:val="14"/>
          <w:szCs w:val="14"/>
        </w:rPr>
        <w:sectPr>
          <w:pgSz w:w="11910" w:h="16840"/>
          <w:pgMar w:header="877" w:footer="979" w:top="1100" w:bottom="1160" w:left="980" w:right="0"/>
        </w:sectPr>
      </w:pPr>
    </w:p>
    <w:p>
      <w:pPr>
        <w:spacing w:line="240" w:lineRule="auto" w:before="6"/>
        <w:rPr>
          <w:rFonts w:ascii="黑体" w:hAnsi="黑体" w:cs="黑体" w:eastAsia="黑体" w:hint="default"/>
          <w:b/>
          <w:bCs/>
          <w:sz w:val="34"/>
          <w:szCs w:val="34"/>
        </w:rPr>
      </w:pPr>
    </w:p>
    <w:p>
      <w:pPr>
        <w:pStyle w:val="Heading2"/>
        <w:spacing w:line="240" w:lineRule="auto"/>
        <w:ind w:right="0"/>
        <w:jc w:val="left"/>
        <w:rPr>
          <w:b w:val="0"/>
          <w:bCs w:val="0"/>
        </w:rPr>
      </w:pPr>
      <w:r>
        <w:rPr>
          <w:w w:val="95"/>
        </w:rPr>
        <w:t>厦门安妮股份有限公司全体股东：</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634" w:right="0"/>
        <w:jc w:val="left"/>
      </w:pPr>
      <w:r>
        <w:rPr/>
        <w:t>一、审计意见</w:t>
      </w:r>
    </w:p>
    <w:p>
      <w:pPr>
        <w:pStyle w:val="Heading5"/>
        <w:spacing w:line="240" w:lineRule="auto" w:before="35"/>
        <w:ind w:left="153" w:right="0"/>
        <w:jc w:val="left"/>
      </w:pPr>
      <w:r>
        <w:rPr/>
        <w:br w:type="column"/>
      </w:r>
      <w:r>
        <w:rPr/>
        <w:t>大信审字</w:t>
      </w:r>
      <w:r>
        <w:rPr>
          <w:rFonts w:ascii="宋体" w:hAnsi="宋体" w:cs="宋体" w:eastAsia="宋体" w:hint="default"/>
        </w:rPr>
        <w:t>[2019]</w:t>
      </w:r>
      <w:r>
        <w:rPr/>
        <w:t>第</w:t>
      </w:r>
      <w:r>
        <w:rPr>
          <w:spacing w:val="-55"/>
        </w:rPr>
        <w:t> </w:t>
      </w:r>
      <w:r>
        <w:rPr>
          <w:rFonts w:ascii="宋体" w:hAnsi="宋体" w:cs="宋体" w:eastAsia="宋体" w:hint="default"/>
        </w:rPr>
        <w:t>5-00149</w:t>
      </w:r>
      <w:r>
        <w:rPr>
          <w:rFonts w:ascii="宋体" w:hAnsi="宋体" w:cs="宋体" w:eastAsia="宋体" w:hint="default"/>
          <w:spacing w:val="-54"/>
        </w:rPr>
        <w:t> </w:t>
      </w:r>
      <w:r>
        <w:rPr/>
        <w:t>号</w:t>
      </w:r>
    </w:p>
    <w:p>
      <w:pPr>
        <w:spacing w:after="0" w:line="240" w:lineRule="auto"/>
        <w:jc w:val="left"/>
        <w:sectPr>
          <w:type w:val="continuous"/>
          <w:pgSz w:w="11910" w:h="16840"/>
          <w:pgMar w:top="1060" w:bottom="700" w:left="980" w:right="0"/>
          <w:cols w:num="2" w:equalWidth="0">
            <w:col w:w="3768" w:space="3045"/>
            <w:col w:w="4117"/>
          </w:cols>
        </w:sectPr>
      </w:pPr>
    </w:p>
    <w:p>
      <w:pPr>
        <w:spacing w:line="240" w:lineRule="auto" w:before="11"/>
        <w:rPr>
          <w:rFonts w:ascii="宋体" w:hAnsi="宋体" w:cs="宋体" w:eastAsia="宋体" w:hint="default"/>
          <w:sz w:val="11"/>
          <w:szCs w:val="11"/>
        </w:rPr>
      </w:pPr>
    </w:p>
    <w:p>
      <w:pPr>
        <w:pStyle w:val="Heading5"/>
        <w:spacing w:line="400" w:lineRule="auto" w:before="35"/>
        <w:ind w:right="1130" w:firstLine="420"/>
        <w:jc w:val="both"/>
      </w:pPr>
      <w:r>
        <w:rPr/>
        <w:t>我们审计了厦门安妮股份有限公司（以下简称“贵公司”）的财务报表，包括</w:t>
      </w:r>
      <w:r>
        <w:rPr>
          <w:spacing w:val="-40"/>
        </w:rPr>
        <w:t> </w:t>
      </w:r>
      <w:r>
        <w:rPr>
          <w:rFonts w:ascii="宋体" w:hAnsi="宋体" w:cs="宋体" w:eastAsia="宋体" w:hint="default"/>
        </w:rPr>
        <w:t>2018</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日的 </w:t>
      </w:r>
      <w:r>
        <w:rPr>
          <w:spacing w:val="-2"/>
        </w:rPr>
        <w:t>合并及母公司资产负债表，</w:t>
      </w:r>
      <w:r>
        <w:rPr>
          <w:rFonts w:ascii="宋体" w:hAnsi="宋体" w:cs="宋体" w:eastAsia="宋体" w:hint="default"/>
          <w:spacing w:val="-2"/>
        </w:rPr>
        <w:t>2018</w:t>
      </w:r>
      <w:r>
        <w:rPr>
          <w:rFonts w:ascii="宋体" w:hAnsi="宋体" w:cs="宋体" w:eastAsia="宋体" w:hint="default"/>
          <w:spacing w:val="-41"/>
        </w:rPr>
        <w:t> </w:t>
      </w:r>
      <w:r>
        <w:rPr>
          <w:spacing w:val="-2"/>
        </w:rPr>
        <w:t>年度的合并及母公司利润表、合并及母公司现金流量表、合并及母公司股</w:t>
      </w:r>
      <w:r>
        <w:rPr>
          <w:spacing w:val="-102"/>
        </w:rPr>
        <w:t> </w:t>
      </w:r>
      <w:r>
        <w:rPr>
          <w:spacing w:val="-102"/>
        </w:rPr>
      </w:r>
      <w:r>
        <w:rPr/>
        <w:t>东权益变动表，以及财务报表附注。</w:t>
      </w:r>
    </w:p>
    <w:p>
      <w:pPr>
        <w:pStyle w:val="Heading5"/>
        <w:spacing w:line="240" w:lineRule="auto" w:before="45"/>
        <w:ind w:left="574" w:right="817"/>
        <w:jc w:val="left"/>
        <w:rPr>
          <w:rFonts w:ascii="宋体" w:hAnsi="宋体" w:cs="宋体" w:eastAsia="宋体" w:hint="default"/>
        </w:rPr>
      </w:pPr>
      <w:r>
        <w:rPr/>
        <w:t>我们认为，后附的财务报表在所有重大方面按照企业会计准则的规定编制，公允反映了贵公司</w:t>
      </w:r>
      <w:r>
        <w:rPr>
          <w:spacing w:val="75"/>
        </w:rPr>
        <w:t> </w:t>
      </w:r>
      <w:r>
        <w:rPr>
          <w:rFonts w:ascii="宋体" w:hAnsi="宋体" w:cs="宋体" w:eastAsia="宋体" w:hint="default"/>
        </w:rPr>
        <w:t>2018</w:t>
      </w:r>
    </w:p>
    <w:p>
      <w:pPr>
        <w:spacing w:line="240" w:lineRule="auto" w:before="2"/>
        <w:rPr>
          <w:rFonts w:ascii="宋体" w:hAnsi="宋体" w:cs="宋体" w:eastAsia="宋体" w:hint="default"/>
          <w:sz w:val="14"/>
          <w:szCs w:val="14"/>
        </w:rPr>
      </w:pPr>
    </w:p>
    <w:p>
      <w:pPr>
        <w:pStyle w:val="Heading5"/>
        <w:spacing w:line="240" w:lineRule="auto" w:before="0"/>
        <w:ind w:right="817"/>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2018</w:t>
      </w:r>
      <w:r>
        <w:rPr>
          <w:rFonts w:ascii="宋体" w:hAnsi="宋体" w:cs="宋体" w:eastAsia="宋体" w:hint="default"/>
          <w:spacing w:val="-53"/>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right="817"/>
        <w:jc w:val="left"/>
      </w:pPr>
      <w:r>
        <w:rPr/>
        <w:t>二、形成审计意见的基础</w:t>
      </w:r>
    </w:p>
    <w:p>
      <w:pPr>
        <w:pStyle w:val="Heading5"/>
        <w:spacing w:line="400" w:lineRule="auto" w:before="189"/>
        <w:ind w:right="1130" w:firstLine="42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的责任”部分进一步阐述了我们在这些准则下的责任。按照中国注册会计师职业道德守则，我们独立于贵</w:t>
      </w:r>
      <w:r>
        <w:rPr>
          <w:spacing w:val="-83"/>
        </w:rPr>
        <w:t> </w:t>
      </w:r>
      <w:r>
        <w:rPr>
          <w:spacing w:val="-83"/>
        </w:rPr>
      </w:r>
      <w:r>
        <w:rPr/>
        <w:t>公司，并履行了职业道德方面的其他责任。</w:t>
      </w:r>
    </w:p>
    <w:p>
      <w:pPr>
        <w:pStyle w:val="Heading5"/>
        <w:spacing w:line="240" w:lineRule="auto" w:before="44"/>
        <w:ind w:left="574" w:right="817"/>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ind w:right="817"/>
        <w:jc w:val="left"/>
      </w:pPr>
      <w:r>
        <w:rPr/>
        <w:t>三、关键审计事项</w:t>
      </w:r>
    </w:p>
    <w:p>
      <w:pPr>
        <w:spacing w:after="0" w:line="240" w:lineRule="auto"/>
        <w:jc w:val="left"/>
        <w:sectPr>
          <w:type w:val="continuous"/>
          <w:pgSz w:w="11910" w:h="16840"/>
          <w:pgMar w:top="1060" w:bottom="700" w:left="980" w:right="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6"/>
          <w:szCs w:val="16"/>
        </w:rPr>
      </w:pPr>
    </w:p>
    <w:p>
      <w:pPr>
        <w:pStyle w:val="Heading5"/>
        <w:spacing w:line="400" w:lineRule="auto" w:before="0"/>
        <w:ind w:right="1131" w:firstLine="420"/>
        <w:jc w:val="both"/>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Heading5"/>
        <w:spacing w:line="400" w:lineRule="auto" w:before="45"/>
        <w:ind w:left="574" w:right="8862"/>
        <w:jc w:val="left"/>
      </w:pPr>
      <w:r>
        <w:rPr/>
        <w:t>（一）商誉减值 </w:t>
      </w:r>
      <w:r>
        <w:rPr>
          <w:rFonts w:ascii="宋体" w:hAnsi="宋体" w:cs="宋体" w:eastAsia="宋体" w:hint="default"/>
        </w:rPr>
        <w:t>1</w:t>
      </w:r>
      <w:r>
        <w:rPr/>
        <w:t>、事件描述</w:t>
      </w:r>
    </w:p>
    <w:p>
      <w:pPr>
        <w:pStyle w:val="Heading5"/>
        <w:spacing w:line="240" w:lineRule="auto" w:before="44"/>
        <w:ind w:left="574" w:right="817"/>
        <w:jc w:val="left"/>
      </w:pPr>
      <w:r>
        <w:rPr/>
        <w:t>如财务报表附注五、（十四）条所述，截至</w:t>
      </w:r>
      <w:r>
        <w:rPr>
          <w:spacing w:val="-39"/>
        </w:rPr>
        <w:t> </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日，贵公司合并财务报表中商誉的账面</w:t>
      </w:r>
    </w:p>
    <w:p>
      <w:pPr>
        <w:spacing w:line="240" w:lineRule="auto" w:before="3"/>
        <w:rPr>
          <w:rFonts w:ascii="宋体" w:hAnsi="宋体" w:cs="宋体" w:eastAsia="宋体" w:hint="default"/>
          <w:sz w:val="14"/>
          <w:szCs w:val="14"/>
        </w:rPr>
      </w:pPr>
    </w:p>
    <w:p>
      <w:pPr>
        <w:pStyle w:val="Heading5"/>
        <w:spacing w:line="400" w:lineRule="auto" w:before="0"/>
        <w:ind w:right="1121"/>
        <w:jc w:val="left"/>
      </w:pPr>
      <w:r>
        <w:rPr/>
        <w:t>原值为</w:t>
      </w:r>
      <w:r>
        <w:rPr>
          <w:spacing w:val="-27"/>
        </w:rPr>
        <w:t> </w:t>
      </w:r>
      <w:r>
        <w:rPr>
          <w:rFonts w:ascii="宋体" w:hAnsi="宋体" w:cs="宋体" w:eastAsia="宋体" w:hint="default"/>
        </w:rPr>
        <w:t>1,134,291,406.24</w:t>
      </w:r>
      <w:r>
        <w:rPr>
          <w:rFonts w:ascii="宋体" w:hAnsi="宋体" w:cs="宋体" w:eastAsia="宋体" w:hint="default"/>
          <w:spacing w:val="-27"/>
        </w:rPr>
        <w:t> </w:t>
      </w:r>
      <w:r>
        <w:rPr/>
        <w:t>元，商誉减值准备为</w:t>
      </w:r>
      <w:r>
        <w:rPr>
          <w:spacing w:val="-27"/>
        </w:rPr>
        <w:t> </w:t>
      </w:r>
      <w:r>
        <w:rPr>
          <w:rFonts w:ascii="宋体" w:hAnsi="宋体" w:cs="宋体" w:eastAsia="宋体" w:hint="default"/>
        </w:rPr>
        <w:t>390,631,134.05</w:t>
      </w:r>
      <w:r>
        <w:rPr>
          <w:rFonts w:ascii="宋体" w:hAnsi="宋体" w:cs="宋体" w:eastAsia="宋体" w:hint="default"/>
          <w:spacing w:val="-26"/>
        </w:rPr>
        <w:t> </w:t>
      </w:r>
      <w:r>
        <w:rPr/>
        <w:t>元，商誉的账面价值为</w:t>
      </w:r>
      <w:r>
        <w:rPr>
          <w:spacing w:val="-27"/>
        </w:rPr>
        <w:t> </w:t>
      </w:r>
      <w:r>
        <w:rPr>
          <w:rFonts w:ascii="宋体" w:hAnsi="宋体" w:cs="宋体" w:eastAsia="宋体" w:hint="default"/>
        </w:rPr>
        <w:t>743,660,272.19 </w:t>
      </w:r>
      <w:r>
        <w:rPr/>
        <w:t>元，账面价值较高占合并财务报表资产总额的</w:t>
      </w:r>
      <w:r>
        <w:rPr>
          <w:spacing w:val="-52"/>
        </w:rPr>
        <w:t> </w:t>
      </w:r>
      <w:r>
        <w:rPr>
          <w:rFonts w:ascii="宋体" w:hAnsi="宋体" w:cs="宋体" w:eastAsia="宋体" w:hint="default"/>
        </w:rPr>
        <w:t>29.49%</w:t>
      </w:r>
      <w:r>
        <w:rPr/>
        <w:t>。</w:t>
      </w:r>
    </w:p>
    <w:p>
      <w:pPr>
        <w:pStyle w:val="Heading5"/>
        <w:spacing w:line="400" w:lineRule="auto" w:before="44"/>
        <w:ind w:right="1132" w:firstLine="420"/>
        <w:jc w:val="both"/>
      </w:pPr>
      <w:r>
        <w:rPr>
          <w:spacing w:val="-1"/>
        </w:rPr>
        <w:t>在财务报表中单独列示的商誉，无论是否存在减值迹象，至少每年进行减值测试。减值测试时，商誉</w:t>
      </w:r>
      <w:r>
        <w:rPr/>
        <w:t> </w:t>
      </w:r>
      <w:r>
        <w:rPr>
          <w:spacing w:val="-1"/>
        </w:rPr>
        <w:t>的账面价值分摊至预期从企业合并的协同效应中受益的资产组或资产组组合。测试结果表明包含分摊的商</w:t>
      </w:r>
      <w:r>
        <w:rPr>
          <w:spacing w:val="-81"/>
        </w:rPr>
        <w:t> </w:t>
      </w:r>
      <w:r>
        <w:rPr>
          <w:spacing w:val="-81"/>
        </w:rPr>
      </w:r>
      <w:r>
        <w:rPr/>
        <w:t>誉的资产组或资产组组合的可收回金额低于其账面价值的，确认相应的减值损失。</w:t>
      </w:r>
    </w:p>
    <w:p>
      <w:pPr>
        <w:pStyle w:val="Heading5"/>
        <w:spacing w:line="400" w:lineRule="auto" w:before="44"/>
        <w:ind w:right="1130" w:firstLine="420"/>
        <w:jc w:val="both"/>
      </w:pPr>
      <w:r>
        <w:rPr>
          <w:spacing w:val="-1"/>
        </w:rPr>
        <w:t>由于商誉减值测试的结果很大程度上依赖于管理层所做的估计和采用的假设，该等假设及估计均存在</w:t>
      </w:r>
      <w:r>
        <w:rPr/>
        <w:t> </w:t>
      </w:r>
      <w:r>
        <w:rPr>
          <w:spacing w:val="-1"/>
        </w:rPr>
        <w:t>重大不确定性，受管理层对未来市场以及对经济环境判断的影响，采用不同的估计和假设会对评估的商誉</w:t>
      </w:r>
      <w:r>
        <w:rPr>
          <w:spacing w:val="-81"/>
        </w:rPr>
        <w:t> </w:t>
      </w:r>
      <w:r>
        <w:rPr>
          <w:spacing w:val="-81"/>
        </w:rPr>
      </w:r>
      <w:r>
        <w:rPr>
          <w:spacing w:val="-1"/>
        </w:rPr>
        <w:t>可收回价值有很大的影响。由于商誉金额重大，且管理层需要作出重大判断，因此我们将商誉的减值识别</w:t>
      </w:r>
      <w:r>
        <w:rPr>
          <w:spacing w:val="-83"/>
        </w:rPr>
        <w:t> </w:t>
      </w:r>
      <w:r>
        <w:rPr>
          <w:spacing w:val="-83"/>
        </w:rPr>
      </w:r>
      <w:r>
        <w:rPr/>
        <w:t>为关键审计事项。</w:t>
      </w:r>
    </w:p>
    <w:p>
      <w:pPr>
        <w:pStyle w:val="Heading5"/>
        <w:spacing w:line="400" w:lineRule="auto" w:before="45"/>
        <w:ind w:left="574" w:right="5922"/>
        <w:jc w:val="left"/>
      </w:pPr>
      <w:r>
        <w:rPr>
          <w:rFonts w:ascii="宋体" w:hAnsi="宋体" w:cs="宋体" w:eastAsia="宋体" w:hint="default"/>
        </w:rPr>
        <w:t>2</w:t>
      </w:r>
      <w:r>
        <w:rPr/>
        <w:t>、审计应对 我们针对商誉的减值执行的主要审计程序包括：</w:t>
      </w:r>
    </w:p>
    <w:p>
      <w:pPr>
        <w:pStyle w:val="Heading5"/>
        <w:spacing w:line="240" w:lineRule="auto" w:before="44"/>
        <w:ind w:left="574" w:right="817"/>
        <w:jc w:val="left"/>
      </w:pPr>
      <w:r>
        <w:rPr/>
        <w:t>（</w:t>
      </w:r>
      <w:r>
        <w:rPr>
          <w:rFonts w:ascii="宋体" w:hAnsi="宋体" w:cs="宋体" w:eastAsia="宋体" w:hint="default"/>
        </w:rPr>
        <w:t>1</w:t>
      </w:r>
      <w:r>
        <w:rPr/>
        <w:t>）我们对贵公司与商誉评估相关的内部控制的设计及运行有效性进行了解、评估及测试；</w:t>
      </w:r>
    </w:p>
    <w:p>
      <w:pPr>
        <w:spacing w:line="240" w:lineRule="auto" w:before="3"/>
        <w:rPr>
          <w:rFonts w:ascii="宋体" w:hAnsi="宋体" w:cs="宋体" w:eastAsia="宋体" w:hint="default"/>
          <w:sz w:val="14"/>
          <w:szCs w:val="14"/>
        </w:rPr>
      </w:pPr>
    </w:p>
    <w:p>
      <w:pPr>
        <w:pStyle w:val="Heading5"/>
        <w:spacing w:line="400" w:lineRule="auto" w:before="0"/>
        <w:ind w:right="1141" w:firstLine="420"/>
        <w:jc w:val="both"/>
      </w:pPr>
      <w:r>
        <w:rPr/>
        <w:t>（</w:t>
      </w:r>
      <w:r>
        <w:rPr>
          <w:rFonts w:ascii="宋体" w:hAnsi="宋体" w:cs="宋体" w:eastAsia="宋体" w:hint="default"/>
        </w:rPr>
        <w:t>2</w:t>
      </w:r>
      <w:r>
        <w:rPr/>
        <w:t>）我们与贵公司管理层讨论商誉减值测试过程中所使用的方法、关键评估的假设、参数的选择、 预测未来收入及现金流折现率等的合理性，项目组内部讨论并实施独立复核程序；</w:t>
      </w:r>
    </w:p>
    <w:p>
      <w:pPr>
        <w:pStyle w:val="Heading5"/>
        <w:spacing w:line="403" w:lineRule="auto" w:before="44"/>
        <w:ind w:right="1135" w:firstLine="420"/>
        <w:jc w:val="both"/>
      </w:pPr>
      <w:r>
        <w:rPr/>
        <w:t>（</w:t>
      </w:r>
      <w:r>
        <w:rPr>
          <w:rFonts w:ascii="宋体" w:hAnsi="宋体" w:cs="宋体" w:eastAsia="宋体" w:hint="default"/>
        </w:rPr>
        <w:t>3</w:t>
      </w:r>
      <w:r>
        <w:rPr/>
        <w:t>）评价管理层对商誉所在资产组或资产组组合的认定依据，比较与收购时点资产组的认定是否一 致；</w:t>
      </w:r>
    </w:p>
    <w:p>
      <w:pPr>
        <w:pStyle w:val="Heading5"/>
        <w:spacing w:line="400" w:lineRule="auto" w:before="42"/>
        <w:ind w:right="1023" w:firstLine="420"/>
        <w:jc w:val="left"/>
      </w:pPr>
      <w:r>
        <w:rPr/>
        <w:t>（</w:t>
      </w:r>
      <w:r>
        <w:rPr>
          <w:rFonts w:ascii="宋体" w:hAnsi="宋体" w:cs="宋体" w:eastAsia="宋体" w:hint="default"/>
        </w:rPr>
        <w:t>4</w:t>
      </w:r>
      <w:r>
        <w:rPr/>
        <w:t>）我们复核评估公司出具的关于贵公司相关标的公司以商誉减值测试为目的的评估报告，特别是 </w:t>
      </w:r>
      <w:r>
        <w:rPr>
          <w:spacing w:val="-3"/>
        </w:rPr>
        <w:t>关键参数的选取方法和依据的合理性；评价由贵公司管理层聘请的外部评估机构的独立性、客观性、经验、</w:t>
      </w:r>
      <w:r>
        <w:rPr>
          <w:spacing w:val="-90"/>
        </w:rPr>
        <w:t> </w:t>
      </w:r>
      <w:r>
        <w:rPr>
          <w:spacing w:val="-90"/>
        </w:rPr>
      </w:r>
      <w:r>
        <w:rPr/>
        <w:t>资质及专业胜任能力；</w:t>
      </w:r>
    </w:p>
    <w:p>
      <w:pPr>
        <w:pStyle w:val="Heading5"/>
        <w:spacing w:line="400" w:lineRule="auto" w:before="44"/>
        <w:ind w:right="1141" w:firstLine="420"/>
        <w:jc w:val="both"/>
      </w:pPr>
      <w:r>
        <w:rPr/>
        <w:t>（</w:t>
      </w:r>
      <w:r>
        <w:rPr>
          <w:rFonts w:ascii="宋体" w:hAnsi="宋体" w:cs="宋体" w:eastAsia="宋体" w:hint="default"/>
        </w:rPr>
        <w:t>5</w:t>
      </w:r>
      <w:r>
        <w:rPr/>
        <w:t>）我们评价估值方法及估值模型中采用的关键假设；审慎评价估值模型中的预算收入、资本性投 入、营运资金追加额、永续期增长率和利润率以及采用的折现率等关键参数输入值的合理性；</w:t>
      </w:r>
    </w:p>
    <w:p>
      <w:pPr>
        <w:pStyle w:val="Heading5"/>
        <w:spacing w:line="400" w:lineRule="auto" w:before="45"/>
        <w:ind w:right="1131" w:firstLine="420"/>
        <w:jc w:val="both"/>
      </w:pPr>
      <w:r>
        <w:rPr/>
        <w:t>（</w:t>
      </w:r>
      <w:r>
        <w:rPr>
          <w:rFonts w:ascii="宋体" w:hAnsi="宋体" w:cs="宋体" w:eastAsia="宋体" w:hint="default"/>
        </w:rPr>
        <w:t>6</w:t>
      </w:r>
      <w:r>
        <w:rPr/>
        <w:t>）我们通过实施相关程序对管理层商誉减值测试的关键假设进行了评估：包括将现金流量增长率 </w:t>
      </w:r>
      <w:r>
        <w:rPr>
          <w:spacing w:val="-1"/>
        </w:rPr>
        <w:t>与历史现金流量增长率以及行业历史数据进行比较，将毛利率与以往业绩进行比较，并考虑市场趋势，复</w:t>
      </w:r>
      <w:r>
        <w:rPr>
          <w:spacing w:val="-83"/>
        </w:rPr>
        <w:t> </w:t>
      </w:r>
      <w:r>
        <w:rPr>
          <w:spacing w:val="-83"/>
        </w:rPr>
      </w:r>
      <w:r>
        <w:rPr/>
        <w:t>核现金流量预测水平和所采用折现率的合理性等；</w:t>
      </w:r>
    </w:p>
    <w:p>
      <w:pPr>
        <w:pStyle w:val="Heading5"/>
        <w:spacing w:line="240" w:lineRule="auto" w:before="45"/>
        <w:ind w:left="574" w:right="817"/>
        <w:jc w:val="left"/>
      </w:pPr>
      <w:r>
        <w:rPr/>
        <w:t>（</w:t>
      </w:r>
      <w:r>
        <w:rPr>
          <w:rFonts w:ascii="宋体" w:hAnsi="宋体" w:cs="宋体" w:eastAsia="宋体" w:hint="default"/>
        </w:rPr>
        <w:t>7</w:t>
      </w:r>
      <w:r>
        <w:rPr/>
        <w:t>）复核商誉减值测试计算过程，评价商誉减值测试的影响；</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240" w:lineRule="auto" w:before="0"/>
        <w:ind w:left="574" w:right="817"/>
        <w:jc w:val="left"/>
      </w:pPr>
      <w:r>
        <w:rPr/>
        <w:t>（</w:t>
      </w:r>
      <w:r>
        <w:rPr>
          <w:rFonts w:ascii="宋体" w:hAnsi="宋体" w:cs="宋体" w:eastAsia="宋体" w:hint="default"/>
        </w:rPr>
        <w:t>8</w:t>
      </w:r>
      <w:r>
        <w:rPr/>
        <w:t>）评估贵公司管理层对商誉及其减值估计结果、财务报表的披露是否恰当。</w:t>
      </w:r>
    </w:p>
    <w:p>
      <w:pPr>
        <w:spacing w:line="240" w:lineRule="auto" w:before="2"/>
        <w:rPr>
          <w:rFonts w:ascii="宋体" w:hAnsi="宋体" w:cs="宋体" w:eastAsia="宋体" w:hint="default"/>
          <w:sz w:val="14"/>
          <w:szCs w:val="14"/>
        </w:rPr>
      </w:pPr>
    </w:p>
    <w:p>
      <w:pPr>
        <w:pStyle w:val="Heading5"/>
        <w:spacing w:line="403" w:lineRule="auto" w:before="0"/>
        <w:ind w:left="574" w:right="7182"/>
        <w:jc w:val="left"/>
      </w:pPr>
      <w:r>
        <w:rPr/>
        <w:t>（二）销售收入的真实性和截止性 </w:t>
      </w:r>
      <w:r>
        <w:rPr>
          <w:rFonts w:ascii="宋体" w:hAnsi="宋体" w:cs="宋体" w:eastAsia="宋体" w:hint="default"/>
        </w:rPr>
        <w:t>1</w:t>
      </w:r>
      <w:r>
        <w:rPr/>
        <w:t>、事件描述</w:t>
      </w:r>
    </w:p>
    <w:p>
      <w:pPr>
        <w:pStyle w:val="Heading5"/>
        <w:spacing w:line="400" w:lineRule="auto" w:before="42"/>
        <w:ind w:right="1023" w:firstLine="420"/>
        <w:jc w:val="left"/>
      </w:pPr>
      <w:r>
        <w:rPr/>
        <w:t>如财务报表附注三、重要会计政策和会计估计注释（二十五）所述的会计政策及合并财务报表重要项 </w:t>
      </w:r>
      <w:r>
        <w:rPr>
          <w:spacing w:val="-3"/>
        </w:rPr>
        <w:t>目注释五、（三十三）所述。由于收入是安妮股份控股子公司北京畅元国讯科技有限公司（“畅元国讯”）</w:t>
      </w:r>
      <w:r>
        <w:rPr>
          <w:spacing w:val="-95"/>
        </w:rPr>
        <w:t> </w:t>
      </w:r>
      <w:r>
        <w:rPr>
          <w:spacing w:val="-95"/>
        </w:rPr>
      </w:r>
      <w:r>
        <w:rPr/>
        <w:t>的关键业绩指标，从而存在管理层为了达到特定目标或期望操纵收入确认时点的固有风险，我们将安妮股</w:t>
      </w:r>
      <w:r>
        <w:rPr/>
        <w:t> 份控股子公司畅元国讯的销售收入的真实性和截止性识别为关键审计事项。</w:t>
      </w:r>
    </w:p>
    <w:p>
      <w:pPr>
        <w:pStyle w:val="Heading5"/>
        <w:spacing w:line="403" w:lineRule="auto" w:before="44"/>
        <w:ind w:left="574" w:right="4452"/>
        <w:jc w:val="left"/>
      </w:pPr>
      <w:r>
        <w:rPr>
          <w:rFonts w:ascii="宋体" w:hAnsi="宋体" w:cs="宋体" w:eastAsia="宋体" w:hint="default"/>
        </w:rPr>
        <w:t>2</w:t>
      </w:r>
      <w:r>
        <w:rPr/>
        <w:t>、审计应对 审计项目组就销售收入的真实性和截止性实施的审计程序包括：</w:t>
      </w:r>
    </w:p>
    <w:p>
      <w:pPr>
        <w:pStyle w:val="Heading5"/>
        <w:spacing w:line="240" w:lineRule="auto" w:before="42"/>
        <w:ind w:left="574" w:right="817"/>
        <w:jc w:val="left"/>
      </w:pPr>
      <w:r>
        <w:rPr/>
        <w:t>（</w:t>
      </w:r>
      <w:r>
        <w:rPr>
          <w:rFonts w:ascii="宋体" w:hAnsi="宋体" w:cs="宋体" w:eastAsia="宋体" w:hint="default"/>
        </w:rPr>
        <w:t>1</w:t>
      </w:r>
      <w:r>
        <w:rPr/>
        <w:t>）了解畅元国讯与销售收款相关的内部控制制度，测试其设计是否合理，运行是否有效；</w:t>
      </w:r>
    </w:p>
    <w:p>
      <w:pPr>
        <w:spacing w:line="240" w:lineRule="auto" w:before="2"/>
        <w:rPr>
          <w:rFonts w:ascii="宋体" w:hAnsi="宋体" w:cs="宋体" w:eastAsia="宋体" w:hint="default"/>
          <w:sz w:val="14"/>
          <w:szCs w:val="14"/>
        </w:rPr>
      </w:pPr>
    </w:p>
    <w:p>
      <w:pPr>
        <w:pStyle w:val="Heading5"/>
        <w:spacing w:line="403" w:lineRule="auto" w:before="0"/>
        <w:ind w:right="1117" w:firstLine="420"/>
        <w:jc w:val="left"/>
      </w:pPr>
      <w:r>
        <w:rPr/>
        <w:t>（</w:t>
      </w:r>
      <w:r>
        <w:rPr>
          <w:rFonts w:ascii="宋体" w:hAnsi="宋体" w:cs="宋体" w:eastAsia="宋体" w:hint="default"/>
        </w:rPr>
        <w:t>2</w:t>
      </w:r>
      <w:r>
        <w:rPr/>
        <w:t>）对畅元国讯与业务相关的系统执行了</w:t>
      </w:r>
      <w:r>
        <w:rPr>
          <w:spacing w:val="-65"/>
        </w:rPr>
        <w:t> </w:t>
      </w:r>
      <w:r>
        <w:rPr>
          <w:rFonts w:ascii="宋体" w:hAnsi="宋体" w:cs="宋体" w:eastAsia="宋体" w:hint="default"/>
        </w:rPr>
        <w:t>IT</w:t>
      </w:r>
      <w:r>
        <w:rPr>
          <w:rFonts w:ascii="宋体" w:hAnsi="宋体" w:cs="宋体" w:eastAsia="宋体" w:hint="default"/>
          <w:spacing w:val="-65"/>
        </w:rPr>
        <w:t> </w:t>
      </w:r>
      <w:r>
        <w:rPr/>
        <w:t>审计程序，识别业务系统存在的风险，设计并执行了有 针对性的应对程序，核实收入确认的真实性；</w:t>
      </w:r>
    </w:p>
    <w:p>
      <w:pPr>
        <w:pStyle w:val="Heading5"/>
        <w:spacing w:line="400" w:lineRule="auto" w:before="42"/>
        <w:ind w:right="817" w:firstLine="420"/>
        <w:jc w:val="left"/>
      </w:pPr>
      <w:r>
        <w:rPr/>
        <w:t>（</w:t>
      </w:r>
      <w:r>
        <w:rPr>
          <w:rFonts w:ascii="宋体" w:hAnsi="宋体" w:cs="宋体" w:eastAsia="宋体" w:hint="default"/>
        </w:rPr>
        <w:t>3</w:t>
      </w:r>
      <w:r>
        <w:rPr/>
        <w:t>）检查公司与合同订立相关的内控流程，核实合同签订流程的合规性、有效性，合同订立相关人 员签字审批的合规性；</w:t>
      </w:r>
    </w:p>
    <w:p>
      <w:pPr>
        <w:pStyle w:val="Heading5"/>
        <w:spacing w:line="400" w:lineRule="auto" w:before="45"/>
        <w:ind w:right="817" w:firstLine="420"/>
        <w:jc w:val="left"/>
      </w:pPr>
      <w:r>
        <w:rPr/>
        <w:t>（</w:t>
      </w:r>
      <w:r>
        <w:rPr>
          <w:rFonts w:ascii="宋体" w:hAnsi="宋体" w:cs="宋体" w:eastAsia="宋体" w:hint="default"/>
        </w:rPr>
        <w:t>4</w:t>
      </w:r>
      <w:r>
        <w:rPr/>
        <w:t>）检查与收入相关的支持性文件，包括销售合同、版权采购确认函、版权销售接收确认函、签收 验收单、销售发票、结算单等，评价收入确认的真实性；</w:t>
      </w:r>
    </w:p>
    <w:p>
      <w:pPr>
        <w:pStyle w:val="Heading5"/>
        <w:spacing w:line="240" w:lineRule="auto" w:before="44"/>
        <w:ind w:left="574" w:right="817"/>
        <w:jc w:val="left"/>
      </w:pPr>
      <w:r>
        <w:rPr/>
        <w:t>（</w:t>
      </w:r>
      <w:r>
        <w:rPr>
          <w:rFonts w:ascii="宋体" w:hAnsi="宋体" w:cs="宋体" w:eastAsia="宋体" w:hint="default"/>
        </w:rPr>
        <w:t>5</w:t>
      </w:r>
      <w:r>
        <w:rPr/>
        <w:t>）实地走访重要客户，询问与畅元国讯的合作情况，并从客户处获取业务运营数据等外部证据确</w:t>
      </w:r>
    </w:p>
    <w:p>
      <w:pPr>
        <w:spacing w:line="240" w:lineRule="auto" w:before="3"/>
        <w:rPr>
          <w:rFonts w:ascii="宋体" w:hAnsi="宋体" w:cs="宋体" w:eastAsia="宋体" w:hint="default"/>
          <w:sz w:val="14"/>
          <w:szCs w:val="14"/>
        </w:rPr>
      </w:pPr>
    </w:p>
    <w:p>
      <w:pPr>
        <w:pStyle w:val="Heading5"/>
        <w:spacing w:line="240" w:lineRule="auto" w:before="0"/>
        <w:ind w:right="817"/>
        <w:jc w:val="left"/>
      </w:pPr>
      <w:r>
        <w:rPr/>
        <w:t>认交易的真实性；</w:t>
      </w:r>
    </w:p>
    <w:p>
      <w:pPr>
        <w:pStyle w:val="Heading5"/>
        <w:spacing w:line="396" w:lineRule="auto" w:before="16"/>
        <w:ind w:left="574" w:right="1891" w:firstLine="356"/>
        <w:jc w:val="left"/>
      </w:pPr>
      <w:r>
        <w:rPr/>
        <w:t>（</w:t>
      </w:r>
      <w:r>
        <w:rPr>
          <w:rFonts w:ascii="Times New Roman" w:hAnsi="Times New Roman" w:cs="Times New Roman" w:eastAsia="Times New Roman" w:hint="default"/>
        </w:rPr>
        <w:t>6</w:t>
      </w:r>
      <w:r>
        <w:rPr/>
        <w:t>）查阅与客户相关的销售合同、对方征信系统、对方工商信息、经营范围，排查关联 交易情况及评价交易对手的实力，从侧面评价交易的合理性；</w:t>
      </w:r>
    </w:p>
    <w:p>
      <w:pPr>
        <w:pStyle w:val="Heading5"/>
        <w:spacing w:line="240" w:lineRule="auto" w:before="48"/>
        <w:ind w:left="574" w:right="817"/>
        <w:jc w:val="left"/>
      </w:pPr>
      <w:r>
        <w:rPr/>
        <w:t>（</w:t>
      </w:r>
      <w:r>
        <w:rPr>
          <w:rFonts w:ascii="宋体" w:hAnsi="宋体" w:cs="宋体" w:eastAsia="宋体" w:hint="default"/>
        </w:rPr>
        <w:t>7</w:t>
      </w:r>
      <w:r>
        <w:rPr/>
        <w:t>）对客户销售情况实施独立的函证程序；</w:t>
      </w:r>
    </w:p>
    <w:p>
      <w:pPr>
        <w:spacing w:line="240" w:lineRule="auto" w:before="3"/>
        <w:rPr>
          <w:rFonts w:ascii="宋体" w:hAnsi="宋体" w:cs="宋体" w:eastAsia="宋体" w:hint="default"/>
          <w:sz w:val="14"/>
          <w:szCs w:val="14"/>
        </w:rPr>
      </w:pPr>
    </w:p>
    <w:p>
      <w:pPr>
        <w:pStyle w:val="Heading5"/>
        <w:spacing w:line="400" w:lineRule="auto" w:before="0"/>
        <w:ind w:right="817" w:firstLine="420"/>
        <w:jc w:val="left"/>
      </w:pPr>
      <w:r>
        <w:rPr/>
        <w:t>（</w:t>
      </w:r>
      <w:r>
        <w:rPr>
          <w:rFonts w:ascii="宋体" w:hAnsi="宋体" w:cs="宋体" w:eastAsia="宋体" w:hint="default"/>
        </w:rPr>
        <w:t>8</w:t>
      </w:r>
      <w:r>
        <w:rPr/>
        <w:t>）检查销售客户的回款情况，并对期后回款情况执行核查程序，并关注收入是否被计入恰当的会 计期间。</w:t>
      </w:r>
    </w:p>
    <w:p>
      <w:pPr>
        <w:pStyle w:val="Heading5"/>
        <w:spacing w:line="403" w:lineRule="auto" w:before="44"/>
        <w:ind w:left="574" w:right="7812"/>
        <w:jc w:val="left"/>
      </w:pPr>
      <w:r>
        <w:rPr/>
        <w:t>（三）应收账款的可回收性 </w:t>
      </w:r>
      <w:r>
        <w:rPr>
          <w:rFonts w:ascii="宋体" w:hAnsi="宋体" w:cs="宋体" w:eastAsia="宋体" w:hint="default"/>
        </w:rPr>
        <w:t>1.</w:t>
      </w:r>
      <w:r>
        <w:rPr/>
        <w:t>事件描述</w:t>
      </w:r>
    </w:p>
    <w:p>
      <w:pPr>
        <w:pStyle w:val="Heading5"/>
        <w:spacing w:line="240" w:lineRule="auto" w:before="42"/>
        <w:ind w:left="574" w:right="817"/>
        <w:jc w:val="left"/>
      </w:pPr>
      <w:r>
        <w:rPr>
          <w:spacing w:val="-8"/>
        </w:rPr>
        <w:t>如财务报表附注五、（三）所述，截止</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日贵公司应收账款余额为</w:t>
      </w:r>
      <w:r>
        <w:rPr>
          <w:spacing w:val="-52"/>
        </w:rPr>
        <w:t> </w:t>
      </w:r>
      <w:r>
        <w:rPr>
          <w:rFonts w:ascii="宋体" w:hAnsi="宋体" w:cs="宋体" w:eastAsia="宋体" w:hint="default"/>
        </w:rPr>
        <w:t>341,445,943.94</w:t>
      </w:r>
      <w:r>
        <w:rPr>
          <w:rFonts w:ascii="宋体" w:hAnsi="宋体" w:cs="宋体" w:eastAsia="宋体" w:hint="default"/>
          <w:spacing w:val="-54"/>
        </w:rPr>
        <w:t> </w:t>
      </w:r>
      <w:r>
        <w:rPr/>
        <w:t>元，</w:t>
      </w:r>
    </w:p>
    <w:p>
      <w:pPr>
        <w:spacing w:line="240" w:lineRule="auto" w:before="2"/>
        <w:rPr>
          <w:rFonts w:ascii="宋体" w:hAnsi="宋体" w:cs="宋体" w:eastAsia="宋体" w:hint="default"/>
          <w:sz w:val="14"/>
          <w:szCs w:val="14"/>
        </w:rPr>
      </w:pPr>
    </w:p>
    <w:p>
      <w:pPr>
        <w:pStyle w:val="Heading5"/>
        <w:spacing w:line="403" w:lineRule="auto" w:before="0"/>
        <w:ind w:left="574" w:right="817" w:hanging="420"/>
        <w:jc w:val="left"/>
      </w:pPr>
      <w:r>
        <w:rPr/>
        <w:t>较</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日应收账款余额</w:t>
      </w:r>
      <w:r>
        <w:rPr>
          <w:spacing w:val="-54"/>
        </w:rPr>
        <w:t> </w:t>
      </w:r>
      <w:r>
        <w:rPr>
          <w:rFonts w:ascii="宋体" w:hAnsi="宋体" w:cs="宋体" w:eastAsia="宋体" w:hint="default"/>
        </w:rPr>
        <w:t>129,694,489.42</w:t>
      </w:r>
      <w:r>
        <w:rPr>
          <w:rFonts w:ascii="宋体" w:hAnsi="宋体" w:cs="宋体" w:eastAsia="宋体" w:hint="default"/>
          <w:spacing w:val="-52"/>
        </w:rPr>
        <w:t> </w:t>
      </w:r>
      <w:r>
        <w:rPr/>
        <w:t>增长</w:t>
      </w:r>
      <w:r>
        <w:rPr>
          <w:spacing w:val="-54"/>
        </w:rPr>
        <w:t> </w:t>
      </w:r>
      <w:r>
        <w:rPr>
          <w:rFonts w:ascii="宋体" w:hAnsi="宋体" w:cs="宋体" w:eastAsia="宋体" w:hint="default"/>
        </w:rPr>
        <w:t>163.27%</w:t>
      </w:r>
      <w:r>
        <w:rPr/>
        <w:t>： </w:t>
      </w:r>
      <w:r>
        <w:rPr>
          <w:spacing w:val="-1"/>
        </w:rPr>
        <w:t>安妮股份公司管理层在确定应收账款预计可回收金额时需要评估相关客户的信用情况，包括可获抵押</w:t>
      </w:r>
    </w:p>
    <w:p>
      <w:pPr>
        <w:pStyle w:val="Heading5"/>
        <w:spacing w:line="240" w:lineRule="auto" w:before="42"/>
        <w:ind w:right="817"/>
        <w:jc w:val="left"/>
      </w:pPr>
      <w:r>
        <w:rPr/>
        <w:t>或质押物状况，以及对客户实际还款情况及财务状况的评估等；客户还款履约能力受影响的因素较多，由</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400" w:lineRule="auto" w:before="0"/>
        <w:ind w:right="817"/>
        <w:jc w:val="left"/>
      </w:pPr>
      <w:r>
        <w:rPr>
          <w:spacing w:val="-1"/>
        </w:rPr>
        <w:t>于安妮股份公司管理层在确定应收账款预计可回收金额时运用重大估计和判断，且影响金额重大，我们将</w:t>
      </w:r>
      <w:r>
        <w:rPr>
          <w:spacing w:val="-81"/>
        </w:rPr>
        <w:t> </w:t>
      </w:r>
      <w:r>
        <w:rPr>
          <w:spacing w:val="-81"/>
        </w:rPr>
      </w:r>
      <w:r>
        <w:rPr/>
        <w:t>安妮股份公司应收账款的可回收性识别为关键审计事项。</w:t>
      </w:r>
    </w:p>
    <w:p>
      <w:pPr>
        <w:pStyle w:val="Heading5"/>
        <w:spacing w:line="400" w:lineRule="auto" w:before="45"/>
        <w:ind w:left="574" w:right="5082"/>
        <w:jc w:val="left"/>
      </w:pPr>
      <w:r>
        <w:rPr>
          <w:rFonts w:ascii="宋体" w:hAnsi="宋体" w:cs="宋体" w:eastAsia="宋体" w:hint="default"/>
        </w:rPr>
        <w:t>2.</w:t>
      </w:r>
      <w:r>
        <w:rPr/>
        <w:t>审计应对 针对应收款的可回收性，我们执行的审计程序主要包括：</w:t>
      </w:r>
    </w:p>
    <w:p>
      <w:pPr>
        <w:pStyle w:val="Heading5"/>
        <w:spacing w:line="240" w:lineRule="auto" w:before="44"/>
        <w:ind w:left="574" w:right="817"/>
        <w:jc w:val="left"/>
      </w:pPr>
      <w:r>
        <w:rPr/>
        <w:t>（</w:t>
      </w:r>
      <w:r>
        <w:rPr>
          <w:rFonts w:ascii="宋体" w:hAnsi="宋体" w:cs="宋体" w:eastAsia="宋体" w:hint="default"/>
        </w:rPr>
        <w:t>1</w:t>
      </w:r>
      <w:r>
        <w:rPr/>
        <w:t>）对公司信用政策及应收款项管理相关内部控制的设计和运行有效性进行了评估和测试；</w:t>
      </w:r>
    </w:p>
    <w:p>
      <w:pPr>
        <w:spacing w:line="240" w:lineRule="auto" w:before="3"/>
        <w:rPr>
          <w:rFonts w:ascii="宋体" w:hAnsi="宋体" w:cs="宋体" w:eastAsia="宋体" w:hint="default"/>
          <w:sz w:val="14"/>
          <w:szCs w:val="14"/>
        </w:rPr>
      </w:pPr>
    </w:p>
    <w:p>
      <w:pPr>
        <w:pStyle w:val="Heading5"/>
        <w:spacing w:line="400" w:lineRule="auto" w:before="0"/>
        <w:ind w:right="1131" w:firstLine="420"/>
        <w:jc w:val="both"/>
      </w:pPr>
      <w:r>
        <w:rPr/>
        <w:t>（</w:t>
      </w:r>
      <w:r>
        <w:rPr>
          <w:rFonts w:ascii="宋体" w:hAnsi="宋体" w:cs="宋体" w:eastAsia="宋体" w:hint="default"/>
        </w:rPr>
        <w:t>2</w:t>
      </w:r>
      <w:r>
        <w:rPr/>
        <w:t>）对重点客户单位进行抽样检查，检查其收入确认、应收账款确认与销售合同、验收、回款原始 </w:t>
      </w:r>
      <w:r>
        <w:rPr>
          <w:spacing w:val="-1"/>
        </w:rPr>
        <w:t>凭证的对应关系，对账龄记录进行复核，复核管理层对应收账款进行减值测试的相关考虑及客观证据，关</w:t>
      </w:r>
      <w:r>
        <w:rPr>
          <w:spacing w:val="-83"/>
        </w:rPr>
        <w:t> </w:t>
      </w:r>
      <w:r>
        <w:rPr>
          <w:spacing w:val="-83"/>
        </w:rPr>
      </w:r>
      <w:r>
        <w:rPr/>
        <w:t>注管理层是否充分识别已发生减值的应收款项；</w:t>
      </w:r>
    </w:p>
    <w:p>
      <w:pPr>
        <w:pStyle w:val="Heading5"/>
        <w:spacing w:line="400" w:lineRule="auto" w:before="45"/>
        <w:ind w:right="1141" w:firstLine="420"/>
        <w:jc w:val="both"/>
      </w:pPr>
      <w:r>
        <w:rPr/>
        <w:t>（</w:t>
      </w:r>
      <w:r>
        <w:rPr>
          <w:rFonts w:ascii="宋体" w:hAnsi="宋体" w:cs="宋体" w:eastAsia="宋体" w:hint="default"/>
        </w:rPr>
        <w:t>3</w:t>
      </w:r>
      <w:r>
        <w:rPr/>
        <w:t>）分析应收账款坏账准备会计估计的合理性，包括复核管理层确定应收账款组合的依据、金额重 大的判断、单独计提坏账准备的判断等；</w:t>
      </w:r>
    </w:p>
    <w:p>
      <w:pPr>
        <w:pStyle w:val="Heading5"/>
        <w:spacing w:line="400" w:lineRule="auto" w:before="44"/>
        <w:ind w:right="1131" w:firstLine="420"/>
        <w:jc w:val="both"/>
      </w:pPr>
      <w:r>
        <w:rPr/>
        <w:t>（</w:t>
      </w:r>
      <w:r>
        <w:rPr>
          <w:rFonts w:ascii="宋体" w:hAnsi="宋体" w:cs="宋体" w:eastAsia="宋体" w:hint="default"/>
        </w:rPr>
        <w:t>4</w:t>
      </w:r>
      <w:r>
        <w:rPr/>
        <w:t>）对于单独进行减值测试的应收账款，获取并检查管理层对未来现金流量现值的预测，评价在预 </w:t>
      </w:r>
      <w:r>
        <w:rPr>
          <w:spacing w:val="-1"/>
        </w:rPr>
        <w:t>测中使用的关键假设的合理性和数据的准确性，并获取外部证据（查询工商状态）进行核对；对于采用组</w:t>
      </w:r>
      <w:r>
        <w:rPr>
          <w:spacing w:val="-86"/>
        </w:rPr>
        <w:t> </w:t>
      </w:r>
      <w:r>
        <w:rPr>
          <w:spacing w:val="-86"/>
        </w:rPr>
      </w:r>
      <w:r>
        <w:rPr>
          <w:spacing w:val="-1"/>
        </w:rPr>
        <w:t>合方式进行减值测试的应收账款，评价管理层按信用风险特征划分组合的合理性；根据具有类似信用风险</w:t>
      </w:r>
      <w:r>
        <w:rPr>
          <w:spacing w:val="-81"/>
        </w:rPr>
        <w:t> </w:t>
      </w:r>
      <w:r>
        <w:rPr>
          <w:spacing w:val="-81"/>
        </w:rPr>
      </w:r>
      <w:r>
        <w:rPr>
          <w:spacing w:val="-1"/>
        </w:rPr>
        <w:t>特征组合的历史损失率及反映当前情况的相关可观察数据等，评价管理层减值测试方法的合理性（包括各</w:t>
      </w:r>
      <w:r>
        <w:rPr>
          <w:spacing w:val="-81"/>
        </w:rPr>
        <w:t> </w:t>
      </w:r>
      <w:r>
        <w:rPr>
          <w:spacing w:val="-81"/>
        </w:rPr>
      </w:r>
      <w:r>
        <w:rPr>
          <w:spacing w:val="-1"/>
        </w:rPr>
        <w:t>组合坏账准备的计提比例）；测试管理层使用数据的准确性和完整性（包括对于以账龄为信用风险特征的</w:t>
      </w:r>
      <w:r>
        <w:rPr>
          <w:spacing w:val="-83"/>
        </w:rPr>
        <w:t> </w:t>
      </w:r>
      <w:r>
        <w:rPr>
          <w:spacing w:val="-83"/>
        </w:rPr>
      </w:r>
      <w:r>
        <w:rPr/>
        <w:t>应收账款组合，以抽样方式检查应收账款账龄的检查）以及对应计提坏账准备的计算是否准确；</w:t>
      </w:r>
    </w:p>
    <w:p>
      <w:pPr>
        <w:pStyle w:val="Heading5"/>
        <w:spacing w:line="403" w:lineRule="auto" w:before="44"/>
        <w:ind w:right="1141" w:firstLine="420"/>
        <w:jc w:val="both"/>
      </w:pPr>
      <w:r>
        <w:rPr/>
        <w:t>（</w:t>
      </w:r>
      <w:r>
        <w:rPr>
          <w:rFonts w:ascii="宋体" w:hAnsi="宋体" w:cs="宋体" w:eastAsia="宋体" w:hint="default"/>
        </w:rPr>
        <w:t>5</w:t>
      </w:r>
      <w:r>
        <w:rPr/>
        <w:t>）分析资产负债表日坏账准备金额与应收账款余额之间的比率，比较前期坏账准备计提数和实际 发生数，分析应收账款坏账准备计提是否充分；</w:t>
      </w:r>
    </w:p>
    <w:p>
      <w:pPr>
        <w:pStyle w:val="Heading5"/>
        <w:spacing w:line="400" w:lineRule="auto" w:before="42"/>
        <w:ind w:right="1141" w:firstLine="420"/>
        <w:jc w:val="both"/>
      </w:pPr>
      <w:r>
        <w:rPr/>
        <w:t>（</w:t>
      </w:r>
      <w:r>
        <w:rPr>
          <w:rFonts w:ascii="宋体" w:hAnsi="宋体" w:cs="宋体" w:eastAsia="宋体" w:hint="default"/>
        </w:rPr>
        <w:t>6</w:t>
      </w:r>
      <w:r>
        <w:rPr/>
        <w:t>）分析应收账款的账龄和客户信誉情况，并执行应收账款函证程序及检查期后回款情况，评价应 收账款回款质量以印证；</w:t>
      </w:r>
    </w:p>
    <w:p>
      <w:pPr>
        <w:pStyle w:val="Heading5"/>
        <w:spacing w:line="400" w:lineRule="auto" w:before="45"/>
        <w:ind w:right="1141" w:firstLine="420"/>
        <w:jc w:val="both"/>
      </w:pPr>
      <w:r>
        <w:rPr/>
        <w:t>（</w:t>
      </w:r>
      <w:r>
        <w:rPr>
          <w:rFonts w:ascii="宋体" w:hAnsi="宋体" w:cs="宋体" w:eastAsia="宋体" w:hint="default"/>
        </w:rPr>
        <w:t>7</w:t>
      </w:r>
      <w:r>
        <w:rPr/>
        <w:t>）获取并复核坏账准备计提表，检查计提方法是否按照坏账政策执行，重新计算坏账计提金额是 否准确；</w:t>
      </w:r>
    </w:p>
    <w:p>
      <w:pPr>
        <w:pStyle w:val="Heading5"/>
        <w:spacing w:line="240" w:lineRule="auto" w:before="44"/>
        <w:ind w:left="574" w:right="817"/>
        <w:jc w:val="left"/>
      </w:pPr>
      <w:r>
        <w:rPr/>
        <w:t>（</w:t>
      </w:r>
      <w:r>
        <w:rPr>
          <w:rFonts w:ascii="宋体" w:hAnsi="宋体" w:cs="宋体" w:eastAsia="宋体" w:hint="default"/>
        </w:rPr>
        <w:t>8</w:t>
      </w:r>
      <w:r>
        <w:rPr/>
        <w:t>）检查与应收账款相关的信息是否已在财务报表中做出恰当列报和披露。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right="817"/>
        <w:jc w:val="left"/>
      </w:pPr>
      <w:r>
        <w:rPr/>
        <w:t>四、其他信息</w:t>
      </w:r>
    </w:p>
    <w:p>
      <w:pPr>
        <w:pStyle w:val="Heading5"/>
        <w:spacing w:line="403" w:lineRule="auto" w:before="189"/>
        <w:ind w:right="1130" w:firstLine="420"/>
        <w:jc w:val="both"/>
      </w:pPr>
      <w:r>
        <w:rPr/>
        <w:t>贵公司管理层（以下简称管理层）对其他信息负责。其他信息包括贵公司 </w:t>
      </w:r>
      <w:r>
        <w:rPr>
          <w:rFonts w:ascii="宋体" w:hAnsi="宋体" w:cs="宋体" w:eastAsia="宋体" w:hint="default"/>
        </w:rPr>
        <w:t>2018</w:t>
      </w:r>
      <w:r>
        <w:rPr>
          <w:rFonts w:ascii="宋体" w:hAnsi="宋体" w:cs="宋体" w:eastAsia="宋体" w:hint="default"/>
          <w:spacing w:val="-23"/>
        </w:rPr>
        <w:t> </w:t>
      </w:r>
      <w:r>
        <w:rPr/>
        <w:t>年年度报告中涵盖的 信息，但不包括财务报表和我们的审计报告。</w:t>
      </w:r>
    </w:p>
    <w:p>
      <w:pPr>
        <w:pStyle w:val="Heading5"/>
        <w:spacing w:line="400" w:lineRule="auto" w:before="42"/>
        <w:ind w:left="574" w:right="1092"/>
        <w:jc w:val="left"/>
      </w:pPr>
      <w:r>
        <w:rPr/>
        <w:t>我们对财务报表发表的审计意见并不涵盖其他信息，我们也不对其他信息发表任何形式的鉴证结论。 </w:t>
      </w:r>
      <w:r>
        <w:rPr>
          <w:spacing w:val="-1"/>
        </w:rPr>
        <w:t>结合我们对财务报表的审计，我们的责任是阅读其他信息，在此过程中，考虑其他信息是否与财务报</w:t>
      </w:r>
    </w:p>
    <w:p>
      <w:pPr>
        <w:pStyle w:val="Heading5"/>
        <w:spacing w:line="240" w:lineRule="auto" w:before="45"/>
        <w:ind w:right="817"/>
        <w:jc w:val="left"/>
      </w:pPr>
      <w:r>
        <w:rPr/>
        <w:t>表或我们在审计过程中了解到的情况存在重大不一致或者似乎存在重大错报。</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400" w:lineRule="auto" w:before="0"/>
        <w:ind w:right="817" w:firstLine="420"/>
        <w:jc w:val="left"/>
      </w:pPr>
      <w:r>
        <w:rPr>
          <w:spacing w:val="-1"/>
        </w:rPr>
        <w:t>基于我们已执行的工作，如果我们确定其他信息存在重大错报，我们应当报告该事实。在这方面，我</w:t>
      </w:r>
      <w:r>
        <w:rPr/>
        <w:t> 们无任何事项需要报告。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3"/>
        <w:spacing w:line="240" w:lineRule="auto"/>
        <w:ind w:right="817"/>
        <w:jc w:val="left"/>
      </w:pPr>
      <w:r>
        <w:rPr/>
        <w:t>五、管理层和治理层对财务报表的责任</w:t>
      </w:r>
    </w:p>
    <w:p>
      <w:pPr>
        <w:pStyle w:val="Heading5"/>
        <w:spacing w:line="403" w:lineRule="auto" w:before="189"/>
        <w:ind w:right="817" w:firstLine="42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5"/>
        <w:spacing w:line="403" w:lineRule="auto" w:before="0"/>
        <w:ind w:right="1017" w:firstLine="420"/>
        <w:jc w:val="left"/>
      </w:pPr>
      <w:r>
        <w:rPr>
          <w:spacing w:val="-3"/>
        </w:rPr>
        <w:t>在编制财务报表时，管理层负责评估贵公司的持续经营能力，披露与持续经营相关的事项（如适用），</w:t>
      </w:r>
      <w:r>
        <w:rPr/>
        <w:t> 并运用持续经营假设，除非管理层计划清算贵公司、终止运营或别无其他现实的选择。</w:t>
      </w:r>
    </w:p>
    <w:p>
      <w:pPr>
        <w:pStyle w:val="Heading5"/>
        <w:spacing w:line="240" w:lineRule="auto" w:before="42"/>
        <w:ind w:left="574" w:right="817"/>
        <w:jc w:val="left"/>
      </w:pPr>
      <w:r>
        <w:rPr/>
        <w:t>治理层负责监督贵公司的财务报告过程。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left="634" w:right="817"/>
        <w:jc w:val="left"/>
      </w:pPr>
      <w:r>
        <w:rPr/>
        <w:t>六、注册会计师对财务报表审计的责任</w:t>
      </w:r>
    </w:p>
    <w:p>
      <w:pPr>
        <w:pStyle w:val="Heading5"/>
        <w:spacing w:line="400" w:lineRule="auto" w:before="189"/>
        <w:ind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Heading5"/>
        <w:spacing w:line="403" w:lineRule="auto" w:before="44"/>
        <w:ind w:right="817" w:firstLine="420"/>
        <w:jc w:val="left"/>
      </w:pPr>
      <w:r>
        <w:rPr>
          <w:spacing w:val="-1"/>
        </w:rPr>
        <w:t>在按照审计准则执行审计工作的过程中，我们运用职业判断，并保持职业怀疑。同时，我们也执行以</w:t>
      </w:r>
      <w:r>
        <w:rPr/>
        <w:t> 下工作：</w:t>
      </w:r>
    </w:p>
    <w:p>
      <w:pPr>
        <w:pStyle w:val="Heading5"/>
        <w:spacing w:line="400" w:lineRule="auto" w:before="42"/>
        <w:ind w:right="1023" w:firstLine="420"/>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Heading5"/>
        <w:spacing w:line="403" w:lineRule="auto" w:before="44"/>
        <w:ind w:right="817" w:firstLine="420"/>
        <w:jc w:val="left"/>
      </w:pPr>
      <w:r>
        <w:rPr>
          <w:spacing w:val="-1"/>
        </w:rPr>
        <w:t>（二）了解与审计相关的内部控制，以设计恰当的审计程序，但目的并非对内部控制的有效性发表意</w:t>
      </w:r>
      <w:r>
        <w:rPr/>
        <w:t> 见。</w:t>
      </w:r>
    </w:p>
    <w:p>
      <w:pPr>
        <w:pStyle w:val="Heading5"/>
        <w:spacing w:line="240" w:lineRule="auto" w:before="42"/>
        <w:ind w:left="574" w:right="817"/>
        <w:jc w:val="left"/>
      </w:pPr>
      <w:r>
        <w:rPr/>
        <w:t>（三）评价管理层选用会计政策的恰当性和作出会计估计及相关披露的合理性。</w:t>
      </w:r>
    </w:p>
    <w:p>
      <w:pPr>
        <w:spacing w:line="240" w:lineRule="auto" w:before="2"/>
        <w:rPr>
          <w:rFonts w:ascii="宋体" w:hAnsi="宋体" w:cs="宋体" w:eastAsia="宋体" w:hint="default"/>
          <w:sz w:val="14"/>
          <w:szCs w:val="14"/>
        </w:rPr>
      </w:pPr>
    </w:p>
    <w:p>
      <w:pPr>
        <w:pStyle w:val="Heading5"/>
        <w:spacing w:line="403" w:lineRule="auto" w:before="0"/>
        <w:ind w:right="1131" w:firstLine="420"/>
        <w:jc w:val="both"/>
      </w:pPr>
      <w:r>
        <w:rPr>
          <w:spacing w:val="-1"/>
        </w:rPr>
        <w:t>（四）对管理层使用持续经营假设的恰当性得出结论。同时，根据获取的审计证据，就可能导致对贵</w:t>
      </w:r>
      <w:r>
        <w:rPr/>
        <w:t> </w:t>
      </w:r>
      <w:r>
        <w:rPr>
          <w:spacing w:val="-1"/>
        </w:rPr>
        <w:t>公司持续经营能力产生重大疑虑的事项或情况是否存在重大不确定性得出结论。如果我们得出结论认为存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在重大不确定性，审计准则要求我们在审计报告中提请报表使用者注意财务报表中的相关披露；如果披露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或情况可能导致贵公司不能持续经营。</w:t>
      </w:r>
    </w:p>
    <w:p>
      <w:pPr>
        <w:spacing w:after="0" w:line="403"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400" w:lineRule="auto" w:before="0"/>
        <w:ind w:right="1133" w:firstLine="420"/>
        <w:jc w:val="both"/>
      </w:pPr>
      <w:r>
        <w:rPr>
          <w:spacing w:val="-1"/>
        </w:rPr>
        <w:t>（五）评价财务报表的总体列报、结构和内容（包括披露），并评价财务报表是否公允反映相关交易</w:t>
      </w:r>
      <w:r>
        <w:rPr/>
        <w:t> 和事项。</w:t>
      </w:r>
    </w:p>
    <w:p>
      <w:pPr>
        <w:pStyle w:val="Heading5"/>
        <w:spacing w:line="400" w:lineRule="auto" w:before="45"/>
        <w:ind w:right="1130" w:firstLine="420"/>
        <w:jc w:val="both"/>
      </w:pPr>
      <w:r>
        <w:rPr>
          <w:spacing w:val="-1"/>
        </w:rPr>
        <w:t>（六）就贵公司中实体或业务活动的财务信息获取充分、恰当的审计证据，以对财务报表发表审计意</w:t>
      </w:r>
      <w:r>
        <w:rPr/>
        <w:t> 见。我们负责指导、监督和执行集团审计，并对审计意见承担全部责任。</w:t>
      </w:r>
    </w:p>
    <w:p>
      <w:pPr>
        <w:pStyle w:val="Heading5"/>
        <w:spacing w:line="403" w:lineRule="auto" w:before="44"/>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Heading5"/>
        <w:spacing w:line="400" w:lineRule="auto" w:before="42"/>
        <w:ind w:right="1131" w:firstLine="420"/>
        <w:jc w:val="both"/>
      </w:pPr>
      <w:r>
        <w:rPr>
          <w:spacing w:val="-1"/>
        </w:rPr>
        <w:t>我们还就遵守与独立性相关的职业道德要求向治理层提供声明，并与治理层沟通可能被合理认为影响</w:t>
      </w:r>
      <w:r>
        <w:rPr/>
        <w:t> 我们独立性的所有关系和其他事项，以及相关的防范措施（如适用）。</w:t>
      </w:r>
    </w:p>
    <w:p>
      <w:pPr>
        <w:pStyle w:val="Heading5"/>
        <w:spacing w:line="400" w:lineRule="auto" w:before="45"/>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5"/>
        <w:tabs>
          <w:tab w:pos="4882" w:val="left" w:leader="none"/>
        </w:tabs>
        <w:spacing w:line="240" w:lineRule="auto" w:before="0"/>
        <w:ind w:left="577" w:right="817"/>
        <w:jc w:val="left"/>
      </w:pPr>
      <w:r>
        <w:rPr/>
        <w:t>信会计师事务所（特殊普通合伙）</w:t>
        <w:tab/>
        <w:t>中国注册会计师：</w:t>
      </w:r>
    </w:p>
    <w:p>
      <w:pPr>
        <w:spacing w:line="240" w:lineRule="auto" w:before="3"/>
        <w:rPr>
          <w:rFonts w:ascii="宋体" w:hAnsi="宋体" w:cs="宋体" w:eastAsia="宋体" w:hint="default"/>
          <w:sz w:val="14"/>
          <w:szCs w:val="14"/>
        </w:rPr>
      </w:pPr>
    </w:p>
    <w:p>
      <w:pPr>
        <w:pStyle w:val="Heading5"/>
        <w:spacing w:line="240" w:lineRule="auto" w:before="0"/>
        <w:ind w:left="2746" w:right="2028"/>
        <w:jc w:val="center"/>
      </w:pPr>
      <w:r>
        <w:rPr/>
        <w:t>（项目合伙人）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5"/>
        <w:tabs>
          <w:tab w:pos="2149" w:val="left" w:leader="none"/>
          <w:tab w:pos="2568" w:val="left" w:leader="none"/>
          <w:tab w:pos="5089" w:val="left" w:leader="none"/>
        </w:tabs>
        <w:spacing w:line="240" w:lineRule="auto" w:before="0"/>
        <w:ind w:left="1414" w:right="817"/>
        <w:jc w:val="left"/>
      </w:pPr>
      <w:r>
        <w:rPr/>
        <w:t>中 国</w:t>
        <w:tab/>
        <w:t>·</w:t>
        <w:tab/>
        <w:t>北 京</w:t>
        <w:tab/>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5"/>
        <w:spacing w:line="240" w:lineRule="auto" w:before="0"/>
        <w:ind w:left="0" w:right="1228"/>
        <w:jc w:val="right"/>
      </w:pPr>
      <w:r>
        <w:rPr/>
        <w:t>二○一九年四月二十九日</w:t>
      </w:r>
    </w:p>
    <w:p>
      <w:pPr>
        <w:spacing w:after="0" w:line="240" w:lineRule="auto"/>
        <w:jc w:val="righ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817"/>
        <w:jc w:val="left"/>
        <w:rPr>
          <w:b w:val="0"/>
          <w:bCs w:val="0"/>
        </w:rPr>
      </w:pPr>
      <w:bookmarkStart w:name="二、财务报表" w:id="181"/>
      <w:bookmarkEnd w:id="18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1、合并资产负债表" w:id="182"/>
      <w:bookmarkEnd w:id="18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20"/>
        <w:jc w:val="left"/>
      </w:pPr>
      <w:r>
        <w:rPr/>
        <w:t>编制单位：厦门安妮股份有限公司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178,447,300.74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311,293,298.84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440,704,055.56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420,580,690.16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329,469,119.21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117,936,014.44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7,298,453.95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2,670,826.77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322,170,665.26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115,265,187.67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12,001,735.88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24,931,347.35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30,601,166.01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12,443,416.72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568,333.33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1,242,554.03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43,371,626.46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34,783,808.78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298,251.14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224,878,422.52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317,081,393.61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1,259,771,677.52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1,239,049,969.90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211,611,337.25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208,462,364.52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31,971,496.43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43,550,736.61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42,081,421.07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171,859,131.22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177,123,947.42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48,826,399.11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79,085,575.46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743,660,272.19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741,110,272.87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3,352,276.45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7,265,108.46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2,579,874.53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1,682,352.21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4,675,772.33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1,262,087,296.12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1,256,811,042.01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2,521,858,973.64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2,495,861,011.91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116,476,889.70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105,141,788.35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23,593,003.75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26,919,461.97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11,966,291.03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11,129,842.35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12,867,803.59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15,831,858.92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49,555,511.00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80,799,370.68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70,808.34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3,789,680.90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2,658,780.82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324,249,179.97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272,481,103.09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176,013.89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145,172.55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11,176,013.89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145,172.55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335,425,193.86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272,626,275.64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623,964,810.00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415,976,540.00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1,767,039,312.38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1,976,136,023.10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45,615,168.20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120,141,337.25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19,602,961.52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19,602,961.52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-298,489,381.22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-374,014,590.67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2,186,643,871.73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2,217,695,298.47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-210,091.95</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5,539,437.80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2,186,433,779.78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2,223,234,736.27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2,521,858,973.64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2,495,861,011.91</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法定代表人：张杰</w:t>
        <w:tab/>
        <w:t>主管会计工作负责人：张杰</w:t>
        <w:tab/>
        <w:t>会计机构负责人：许志强</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2、母公司资产负债表" w:id="183"/>
      <w:bookmarkEnd w:id="18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66,310,233.98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118,316,614.95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350,566,388.89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330,419,222.31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43,889,701.28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45,705,718.44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43,889,701.28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45,705,718.44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92,747.02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169,844.37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102,041,438.39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128,743,724.94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568,333.33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904,109.59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5,761,263.86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4,463,654.56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200,859,237.30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300,532,069.39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769,521,010.72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928,350,848.96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206,831,337.25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204,442,364.52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1,390,019,610.78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1,246,191,929.01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24,697,008.89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22,767,049.64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6,374,284.02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11,075,489.39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3,669,876.23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4,260,912.47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4,514,185.00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1,636,106,302.17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1,488,737,745.03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2,405,627,312.89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2,417,088,593.99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24,142,944.86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24,412,050.28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1,148,606.90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1,345,506.72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534,374.19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425,504.36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1,365,105.16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743,257.56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131,939,790.38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155,919,065.39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1,494,986.30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1,494,986.30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1,492,409.49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776,015.06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196,623,230.98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203,621,399.37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141,597.22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104,805.58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11,141,597.22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104,805.58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207,764,828.20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203,726,204.95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623,964,810.00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415,976,540.00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1,767,666,312.88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1,972,663,638.87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45,615,168.20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120,141,337.25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16,741,846.44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16,741,846.44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-285,036,653.68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-372,014,000.79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2,197,862,484.69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2,213,362,389.04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2,405,627,312.89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2,417,088,593.99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817"/>
        <w:jc w:val="left"/>
        <w:rPr>
          <w:b w:val="0"/>
          <w:bCs w:val="0"/>
        </w:rPr>
      </w:pPr>
      <w:bookmarkStart w:name="3、合并利润表" w:id="184"/>
      <w:bookmarkEnd w:id="18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714,872,486.11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658,420,472.76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714,872,486.11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658,420,472.76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704,076,515.57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1,058,013,167.23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530,214,772.98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496,344,743.40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4,435,590.03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6,004,178.85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61,019,489.80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42,075,248.37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66,425,567.13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98,170,582.86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27,030,291.64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17,346,273.61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1,428,446.66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-402,566.82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3,236,536.64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1,549,187.34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2,681,398.03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3,000,760.33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13,522,357.33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398,474,706.96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2,345,739.11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977,700.00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34,003,156.82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24,459,961.20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21,496.43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172,680.47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580,690.16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58,335.34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17,176.58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47,375,882.28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-373,557,166.53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28,930,238.72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7,643,346.70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641,582.86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272,155.59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75,664,538.14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-366,185,975.42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74,143.17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526,615.17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75,590,394.97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-366,712,590.59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75,610,762.36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-366,584,037.92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-20,367.39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-128,552.68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75,525,209.45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-365,071,834.92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65,185.52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-1,640,755.67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-77,101,027.27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-77,101,027.27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-77,101,027.27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-77,101,027.27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-1,510,632.30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-169,470,226.07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-1,575,817.82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-167,829,470.40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65,185.52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-1,640,755.67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-0.5875</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-0.5875</w:t>
            </w:r>
            <w:r>
              <w:rPr>
                <w:rFonts w:ascii="Times New Roman"/>
                <w:sz w:val="18"/>
              </w:rPr>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法定代表人：张杰</w:t>
        <w:tab/>
        <w:t>主管会计工作负责人：张杰</w:t>
        <w:tab/>
        <w:t>会计机构负责人：许志强</w:t>
      </w:r>
    </w:p>
    <w:p>
      <w:pPr>
        <w:pStyle w:val="Heading4"/>
        <w:spacing w:line="240" w:lineRule="auto" w:before="63"/>
        <w:ind w:right="817"/>
        <w:jc w:val="left"/>
        <w:rPr>
          <w:b w:val="0"/>
          <w:bCs w:val="0"/>
        </w:rPr>
      </w:pPr>
      <w:bookmarkStart w:name="4、母公司利润表" w:id="185"/>
      <w:bookmarkEnd w:id="18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57,498,966.44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67,934,530.64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46,883,595.63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54,009,448.13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441,821.29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516,232.77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2,495,732.09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3,556,617.12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11,549,943.42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12,734,730.96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-158,095.39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1,112,244.78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1,692,750.02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2,507,121.28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1,727,890.09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1,594,018.73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2,511,014.34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372,612,894.36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177,700.00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65,298,436.27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22,045,907.36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147,166.58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419,222.31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23,444.40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19,698.05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59,244,002.31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-353,945,109.76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28,406,024.85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6,680,210.05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525,488.20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5,814.79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87,124,538.96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-347,270,714.50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147,191.85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104,805.58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86,977,347.11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-347,375,520.08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86,977,347.11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-347,375,520.08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-77,101,027.27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-77,101,027.27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-77,101,027.27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9,876,319.84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-150,133,155.56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817"/>
        <w:jc w:val="left"/>
        <w:rPr>
          <w:b w:val="0"/>
          <w:bCs w:val="0"/>
        </w:rPr>
      </w:pPr>
      <w:bookmarkStart w:name="5、合并现金流量表" w:id="186"/>
      <w:bookmarkEnd w:id="18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553,507,883.99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757,727,526.25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2,437,611.85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48,201,026.74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28,661,898.37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604,146,522.58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786,389,424.62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426,414,577.35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615,706,927.31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89,518,081.29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79,042,952.79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32,750,846.53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35,454,161.48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193,203,802.90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78,495,275.40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741,887,308.07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808,699,316.98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-137,740,785.49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-22,309,892.36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1,275,891,050.09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1,660,531,200.00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33,727,431.79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23,610,584.62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1,137,041.52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18,480,454.67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286,211.78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1,310,755,523.40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1,702,908,451.07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15,380,365.97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41,488,714.80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1,355,206,172.00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1,370,586,537.97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1,922,488,714.80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-59,831,014.57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-219,580,263.73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17,021,584.91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47,021,584.91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60,460,000.00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5,035,887.52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1,395,368.03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14,900,010.00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52,935,897.52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61,855,368.03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67,064,102.48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-14,833,783.12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71,016.52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-531,043.24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-130,436,681.06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-257,254,982.45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300,250,908.75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557,229,560.57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169,814,227.69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299,974,578.12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817"/>
        <w:jc w:val="left"/>
        <w:rPr>
          <w:b w:val="0"/>
          <w:bCs w:val="0"/>
        </w:rPr>
      </w:pPr>
      <w:bookmarkStart w:name="6、母公司现金流量表" w:id="187"/>
      <w:bookmarkEnd w:id="18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48,599,721.88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70,892,709.93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280,085,371.36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62,333,124.38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328,685,093.24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133,225,834.31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41,889,114.23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92,454,649.79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3,253,997.43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3,413,372.72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1,651,916.84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2,532,274.84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193,297,408.57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6,297,027.68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240,092,437.07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104,697,325.03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88,592,656.17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28,528,509.28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1,066,160,000.00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31,981,531.87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21,192,973.78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50,163.97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1,098,152,936.27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1,311,243,137.75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4,533,981.82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1,098,452.13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1,244,696,172.00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1,249,230,153.82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1,593,098,452.13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-151,077,217.55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-281,855,314.38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17,021,584.91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37,021,584.91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54,460,000.00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1,692,750.02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1,202,121.28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14,900,010.00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39,592,760.02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55,662,121.28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10,407,239.98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-18,640,536.37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70,940.43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-158,628.21</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-52,006,380.97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-272,125,969.68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118,316,614.95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390,442,584.63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66,310,233.98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118,316,614.95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bookmarkStart w:name="7、合并所有者权益变动表" w:id="188"/>
      <w:bookmarkEnd w:id="18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295"/>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27"/>
        <w:gridCol w:w="830"/>
        <w:gridCol w:w="568"/>
        <w:gridCol w:w="566"/>
        <w:gridCol w:w="426"/>
        <w:gridCol w:w="1417"/>
        <w:gridCol w:w="1134"/>
        <w:gridCol w:w="1276"/>
        <w:gridCol w:w="568"/>
        <w:gridCol w:w="1134"/>
        <w:gridCol w:w="850"/>
        <w:gridCol w:w="1276"/>
        <w:gridCol w:w="1134"/>
        <w:gridCol w:w="1418"/>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1259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100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30"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472"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3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7"/>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0"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7"/>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427" w:type="dxa"/>
            <w:vMerge/>
            <w:tcBorders>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1427" w:type="dxa"/>
            <w:vMerge/>
            <w:tcBorders>
              <w:left w:val="single" w:sz="4" w:space="0" w:color="000000"/>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c>
          <w:tcPr>
            <w:tcW w:w="1134" w:type="dxa"/>
            <w:vMerge w:val="restart"/>
            <w:tcBorders>
              <w:top w:val="single" w:sz="18" w:space="0" w:color="FFFFFF"/>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r>
      <w:tr>
        <w:trPr>
          <w:trHeight w:val="194"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vMerge w:val="restart"/>
            <w:tcBorders>
              <w:top w:val="single" w:sz="4" w:space="0" w:color="000000"/>
              <w:left w:val="single" w:sz="9" w:space="0" w:color="D2D2D2"/>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415,976,5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40.00</w:t>
            </w: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1,976,136,023.10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17,248,000.00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197,242,364.52</w:t>
            </w:r>
          </w:p>
        </w:tc>
        <w:tc>
          <w:tcPr>
            <w:tcW w:w="56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19,602,961.52</w:t>
            </w:r>
          </w:p>
        </w:tc>
        <w:tc>
          <w:tcPr>
            <w:tcW w:w="850"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-374,014,590.67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5,539,437.80</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2,223,234,736.27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830" w:type="dxa"/>
            <w:vMerge/>
            <w:tcBorders>
              <w:left w:val="single" w:sz="9" w:space="0" w:color="D2D2D2"/>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vMerge/>
            <w:tcBorders>
              <w:left w:val="single" w:sz="9"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830"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830"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830"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vMerge w:val="restart"/>
            <w:tcBorders>
              <w:top w:val="single" w:sz="4" w:space="0" w:color="000000"/>
              <w:left w:val="single" w:sz="9" w:space="0" w:color="D2D2D2"/>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415,976,5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40.00</w:t>
            </w: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1,976,136,023.10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17,248,000.00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197,242,364.52</w:t>
            </w:r>
          </w:p>
        </w:tc>
        <w:tc>
          <w:tcPr>
            <w:tcW w:w="56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19,602,961.52</w:t>
            </w:r>
          </w:p>
        </w:tc>
        <w:tc>
          <w:tcPr>
            <w:tcW w:w="850"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-374,014,590.67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5,539,437.80</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2,223,234,736.27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830" w:type="dxa"/>
            <w:vMerge/>
            <w:tcBorders>
              <w:left w:val="single" w:sz="9" w:space="0" w:color="D2D2D2"/>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vMerge/>
            <w:tcBorders>
              <w:left w:val="single" w:sz="9"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8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207,988,2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-209,096,710.72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28,367,168.20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-77,101,027.27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75,525,209.45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-5,749,529.75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-36,800,956.49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830"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28,367,168.20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-77,101,027.27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75,525,209.45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65,185.52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-29,877,800.50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830"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-1,108,440.72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-5,814,715.27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-6,923,155.99</w:t>
            </w:r>
          </w:p>
        </w:tc>
      </w:tr>
    </w:tbl>
    <w:p>
      <w:pPr>
        <w:spacing w:after="0" w:line="240" w:lineRule="auto"/>
        <w:jc w:val="right"/>
        <w:rPr>
          <w:rFonts w:ascii="Times New Roman" w:hAnsi="Times New Roman" w:cs="Times New Roman" w:eastAsia="Times New Roman" w:hint="default"/>
          <w:sz w:val="18"/>
          <w:szCs w:val="18"/>
        </w:rPr>
        <w:sectPr>
          <w:headerReference w:type="default" r:id="rId29"/>
          <w:footerReference w:type="default" r:id="rId30"/>
          <w:pgSz w:w="16840" w:h="11910" w:orient="landscape"/>
          <w:pgMar w:header="867" w:footer="979" w:top="1060" w:bottom="1160" w:left="1300" w:right="1240"/>
          <w:pgNumType w:start="92"/>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7"/>
        <w:gridCol w:w="842"/>
        <w:gridCol w:w="568"/>
        <w:gridCol w:w="566"/>
        <w:gridCol w:w="426"/>
        <w:gridCol w:w="1417"/>
        <w:gridCol w:w="1134"/>
        <w:gridCol w:w="1276"/>
        <w:gridCol w:w="568"/>
        <w:gridCol w:w="1134"/>
        <w:gridCol w:w="850"/>
        <w:gridCol w:w="1276"/>
        <w:gridCol w:w="1134"/>
        <w:gridCol w:w="1418"/>
      </w:tblGrid>
      <w:tr>
        <w:trPr>
          <w:trHeight w:val="377" w:hRule="exact"/>
        </w:trPr>
        <w:tc>
          <w:tcPr>
            <w:tcW w:w="14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842" w:type="dxa"/>
            <w:tcBorders>
              <w:top w:val="single" w:sz="15" w:space="0" w:color="000000"/>
              <w:left w:val="single" w:sz="9"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2,990,944.01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2,990,944.01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-4,099,384.73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-5,814,715.27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-9,914,100.00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8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207,988,2</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70.00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-207,988,270.00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8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207,988,2</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70.00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-207,988,270.00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842"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2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830"/>
        <w:gridCol w:w="568"/>
        <w:gridCol w:w="566"/>
        <w:gridCol w:w="426"/>
        <w:gridCol w:w="1417"/>
        <w:gridCol w:w="1134"/>
        <w:gridCol w:w="1276"/>
        <w:gridCol w:w="568"/>
        <w:gridCol w:w="1134"/>
        <w:gridCol w:w="850"/>
        <w:gridCol w:w="1276"/>
        <w:gridCol w:w="1134"/>
        <w:gridCol w:w="1418"/>
      </w:tblGrid>
      <w:tr>
        <w:trPr>
          <w:trHeight w:val="377"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3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3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623,964,8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10.00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1,767,039,312.38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45,615,168.20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120,141,337.25</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19,602,961.52</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-298,489,381.22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-210,091.95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2,186,433,779.78</w:t>
            </w:r>
          </w:p>
        </w:tc>
      </w:tr>
    </w:tbl>
    <w:p>
      <w:pPr>
        <w:pStyle w:val="BodyText"/>
        <w:spacing w:line="240" w:lineRule="auto" w:before="51"/>
        <w:ind w:left="120" w:right="0"/>
        <w:jc w:val="left"/>
      </w:pPr>
      <w:r>
        <w:rPr/>
        <w:t>上期金额</w:t>
      </w:r>
    </w:p>
    <w:p>
      <w:pPr>
        <w:pStyle w:val="BodyText"/>
        <w:spacing w:line="240" w:lineRule="auto" w:before="117"/>
        <w:ind w:left="0" w:right="295"/>
        <w:jc w:val="right"/>
      </w:pPr>
      <w:r>
        <w:rPr/>
        <w:t>单位：元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438"/>
        <w:gridCol w:w="830"/>
        <w:gridCol w:w="568"/>
        <w:gridCol w:w="426"/>
        <w:gridCol w:w="566"/>
        <w:gridCol w:w="1417"/>
        <w:gridCol w:w="1134"/>
        <w:gridCol w:w="1276"/>
        <w:gridCol w:w="568"/>
        <w:gridCol w:w="1134"/>
        <w:gridCol w:w="991"/>
        <w:gridCol w:w="1134"/>
        <w:gridCol w:w="1134"/>
        <w:gridCol w:w="141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1259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7"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100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0"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1"/>
              <w:ind w:left="472"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438" w:type="dxa"/>
            <w:vMerge/>
            <w:tcBorders>
              <w:left w:val="single" w:sz="4" w:space="0" w:color="000000"/>
              <w:bottom w:val="single" w:sz="18" w:space="0" w:color="FFFFFF"/>
              <w:right w:val="single" w:sz="4" w:space="0" w:color="000000"/>
            </w:tcBorders>
            <w:shd w:val="clear" w:color="auto" w:fill="D2D2D2"/>
          </w:tcPr>
          <w:p>
            <w:pPr/>
          </w:p>
        </w:tc>
        <w:tc>
          <w:tcPr>
            <w:tcW w:w="830" w:type="dxa"/>
            <w:vMerge/>
            <w:tcBorders>
              <w:left w:val="single" w:sz="4" w:space="0" w:color="000000"/>
              <w:bottom w:val="single" w:sz="18" w:space="0" w:color="FFFFFF"/>
              <w:right w:val="single" w:sz="4" w:space="0" w:color="000000"/>
            </w:tcBorders>
            <w:shd w:val="clear" w:color="auto" w:fill="D2D2D2"/>
          </w:tcPr>
          <w:p>
            <w:pPr/>
          </w:p>
        </w:tc>
        <w:tc>
          <w:tcPr>
            <w:tcW w:w="1560" w:type="dxa"/>
            <w:gridSpan w:val="3"/>
            <w:vMerge/>
            <w:tcBorders>
              <w:left w:val="single" w:sz="4" w:space="0" w:color="000000"/>
              <w:bottom w:val="single" w:sz="18" w:space="0" w:color="FFFFFF"/>
              <w:right w:val="single" w:sz="4" w:space="0" w:color="000000"/>
            </w:tcBorders>
            <w:shd w:val="clear" w:color="auto" w:fill="D2D2D2"/>
          </w:tcPr>
          <w:p>
            <w:pPr/>
          </w:p>
        </w:tc>
        <w:tc>
          <w:tcPr>
            <w:tcW w:w="1417" w:type="dxa"/>
            <w:vMerge/>
            <w:tcBorders>
              <w:left w:val="single" w:sz="4" w:space="0" w:color="000000"/>
              <w:bottom w:val="single" w:sz="18" w:space="0" w:color="FFFFFF"/>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00" w:right="38"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438" w:type="dxa"/>
            <w:vMerge w:val="restart"/>
            <w:tcBorders>
              <w:top w:val="single" w:sz="18" w:space="0" w:color="FFFFFF"/>
              <w:left w:val="single" w:sz="4" w:space="0" w:color="000000"/>
              <w:right w:val="single" w:sz="4" w:space="0" w:color="000000"/>
            </w:tcBorders>
            <w:shd w:val="clear" w:color="auto" w:fill="D2D2D2"/>
          </w:tcPr>
          <w:p>
            <w:pPr/>
          </w:p>
        </w:tc>
        <w:tc>
          <w:tcPr>
            <w:tcW w:w="830"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22"/>
              <w:ind w:left="23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before="67"/>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before="67"/>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6" w:type="dxa"/>
            <w:tcBorders>
              <w:top w:val="single" w:sz="18" w:space="0" w:color="FFFFFF"/>
              <w:left w:val="single" w:sz="4" w:space="0" w:color="000000"/>
              <w:bottom w:val="nil" w:sz="6" w:space="0" w:color="auto"/>
              <w:right w:val="single" w:sz="4" w:space="0" w:color="000000"/>
            </w:tcBorders>
            <w:shd w:val="clear" w:color="auto" w:fill="D2D2D2"/>
          </w:tcPr>
          <w:p>
            <w:pPr/>
          </w:p>
        </w:tc>
        <w:tc>
          <w:tcPr>
            <w:tcW w:w="1417"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22"/>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22"/>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8"/>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8"/>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438" w:type="dxa"/>
            <w:vMerge/>
            <w:tcBorders>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82" w:hRule="exact"/>
        </w:trPr>
        <w:tc>
          <w:tcPr>
            <w:tcW w:w="1438" w:type="dxa"/>
            <w:vMerge/>
            <w:tcBorders>
              <w:left w:val="single" w:sz="4" w:space="0" w:color="000000"/>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18" w:space="0" w:color="FFFFFF"/>
              <w:left w:val="single" w:sz="4" w:space="0" w:color="000000"/>
              <w:right w:val="single" w:sz="4" w:space="0" w:color="000000"/>
            </w:tcBorders>
            <w:shd w:val="clear" w:color="auto" w:fill="D2D2D2"/>
          </w:tcPr>
          <w:p>
            <w:pPr/>
          </w:p>
        </w:tc>
        <w:tc>
          <w:tcPr>
            <w:tcW w:w="1134" w:type="dxa"/>
            <w:vMerge w:val="restart"/>
            <w:tcBorders>
              <w:top w:val="single" w:sz="18" w:space="0" w:color="FFFFFF"/>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r>
      <w:tr>
        <w:trPr>
          <w:trHeight w:val="19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413,736,5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40.00</w:t>
            </w:r>
          </w:p>
        </w:tc>
        <w:tc>
          <w:tcPr>
            <w:tcW w:w="568"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1,949,526,214.26</w:t>
            </w:r>
          </w:p>
        </w:tc>
        <w:tc>
          <w:tcPr>
            <w:tcW w:w="1134"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19,602,961.52</w:t>
            </w:r>
          </w:p>
        </w:tc>
        <w:tc>
          <w:tcPr>
            <w:tcW w:w="99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-8,942,755.76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13,644,661.86</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2,387,567,621.88</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830" w:type="dxa"/>
            <w:vMerge/>
            <w:tcBorders>
              <w:left w:val="single" w:sz="9" w:space="0" w:color="D2D2D2"/>
              <w:right w:val="single" w:sz="4" w:space="0" w:color="000000"/>
            </w:tcBorders>
          </w:tcPr>
          <w:p>
            <w:pPr/>
          </w:p>
        </w:tc>
        <w:tc>
          <w:tcPr>
            <w:tcW w:w="568"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vMerge/>
            <w:tcBorders>
              <w:left w:val="single" w:sz="9"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8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8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8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8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6" w:right="0"/>
              <w:jc w:val="left"/>
              <w:rPr>
                <w:rFonts w:ascii="Times New Roman" w:hAnsi="Times New Roman" w:cs="Times New Roman" w:eastAsia="Times New Roman" w:hint="default"/>
                <w:sz w:val="18"/>
                <w:szCs w:val="18"/>
              </w:rPr>
            </w:pPr>
            <w:r>
              <w:rPr>
                <w:rFonts w:ascii="Times New Roman"/>
                <w:sz w:val="18"/>
              </w:rPr>
              <w:t>413,736,5</w:t>
            </w: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1,949,526,214.26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19,602,961.52</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-8,942,755.76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13,644,661.86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2,387,567,621.88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20" w:right="12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7"/>
        <w:gridCol w:w="831"/>
        <w:gridCol w:w="568"/>
        <w:gridCol w:w="426"/>
        <w:gridCol w:w="566"/>
        <w:gridCol w:w="1417"/>
        <w:gridCol w:w="1134"/>
        <w:gridCol w:w="1276"/>
        <w:gridCol w:w="568"/>
        <w:gridCol w:w="1134"/>
        <w:gridCol w:w="991"/>
        <w:gridCol w:w="1134"/>
        <w:gridCol w:w="1134"/>
        <w:gridCol w:w="1418"/>
      </w:tblGrid>
      <w:tr>
        <w:trPr>
          <w:trHeight w:val="377" w:hRule="exact"/>
        </w:trPr>
        <w:tc>
          <w:tcPr>
            <w:tcW w:w="143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8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Times New Roman" w:hAnsi="Times New Roman" w:cs="Times New Roman" w:eastAsia="Times New Roman" w:hint="default"/>
                <w:sz w:val="18"/>
                <w:szCs w:val="18"/>
              </w:rPr>
            </w:pPr>
            <w:r>
              <w:rPr>
                <w:rFonts w:ascii="Times New Roman"/>
                <w:sz w:val="18"/>
              </w:rPr>
              <w:t>40.00</w:t>
            </w:r>
          </w:p>
        </w:tc>
        <w:tc>
          <w:tcPr>
            <w:tcW w:w="568"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26,609,808.84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17,248,000.00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197,242,364.52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-365,071,834.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-8,105,224.06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-164,332,885.61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197,242,364.52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-365,071,834.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-1,640,755.68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-169,470,226.07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26,609,808.84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17,248,000.00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-6,464,468.38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5,137,340.46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14,781,584.91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17,248,000.00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-226,415.09</w:t>
            </w:r>
            <w:r>
              <w:rPr>
                <w:rFonts w:ascii="Times New Roman"/>
                <w:sz w:val="18"/>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5,363,755.55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5,363,755.55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6,464,468.38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-6,464,468.38</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2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7"/>
        <w:gridCol w:w="831"/>
        <w:gridCol w:w="568"/>
        <w:gridCol w:w="426"/>
        <w:gridCol w:w="566"/>
        <w:gridCol w:w="1417"/>
        <w:gridCol w:w="1134"/>
        <w:gridCol w:w="1276"/>
        <w:gridCol w:w="568"/>
        <w:gridCol w:w="1134"/>
        <w:gridCol w:w="991"/>
        <w:gridCol w:w="1134"/>
        <w:gridCol w:w="1134"/>
        <w:gridCol w:w="1418"/>
      </w:tblGrid>
      <w:tr>
        <w:trPr>
          <w:trHeight w:val="377" w:hRule="exact"/>
        </w:trPr>
        <w:tc>
          <w:tcPr>
            <w:tcW w:w="14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831"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3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415,976,5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1,976,136,023.10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17,248,000.00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197,242,364.52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19,602,961.52</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-374,014,590.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5,539,437.80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2,223,234,736.27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20" w:right="12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bookmarkStart w:name="8、母公司所有者权益变动表" w:id="189"/>
      <w:bookmarkEnd w:id="18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295"/>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18"/>
        <w:gridCol w:w="1548"/>
        <w:gridCol w:w="1134"/>
        <w:gridCol w:w="709"/>
        <w:gridCol w:w="709"/>
        <w:gridCol w:w="1416"/>
        <w:gridCol w:w="1134"/>
        <w:gridCol w:w="1277"/>
        <w:gridCol w:w="850"/>
        <w:gridCol w:w="1134"/>
        <w:gridCol w:w="1276"/>
        <w:gridCol w:w="1418"/>
      </w:tblGrid>
      <w:tr>
        <w:trPr>
          <w:trHeight w:val="40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0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5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2"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54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415,976,540.00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1,972,663,638.87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197,242,364.52</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16,741,846.44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-372,014,000.79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2,213,362,389.04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415,976,540.00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1,972,663,638.87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197,242,364.52</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16,741,846.44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-372,014,000.79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2,213,362,389.04</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207,988,270.00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-204,997,325.99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28,367,168.20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-77,101,027.27</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86,977,347.11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-15,499,904.35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28,367,168.20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-77,101,027.27</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86,977,347.11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-18,490,848.36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2,990,944.01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2,990,944.01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2,990,944.01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2,990,944.01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2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536"/>
        <w:gridCol w:w="1134"/>
        <w:gridCol w:w="709"/>
        <w:gridCol w:w="709"/>
        <w:gridCol w:w="1416"/>
        <w:gridCol w:w="1134"/>
        <w:gridCol w:w="1277"/>
        <w:gridCol w:w="850"/>
        <w:gridCol w:w="1134"/>
        <w:gridCol w:w="1276"/>
        <w:gridCol w:w="1418"/>
      </w:tblGrid>
      <w:tr>
        <w:trPr>
          <w:trHeight w:val="689"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53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207,988,270.00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-207,988,270.00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207,988,270.00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-207,988,270.00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623,964,810.00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1,767,666,312.88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45,615,168.20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120,141,337.25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16,741,846.44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-285,036,653.68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2,197,862,484.69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20" w:right="12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140" w:right="10658"/>
        <w:jc w:val="left"/>
      </w:pPr>
      <w:r>
        <w:rPr/>
        <w:t>上期金额</w:t>
      </w:r>
    </w:p>
    <w:p>
      <w:pPr>
        <w:pStyle w:val="BodyText"/>
        <w:spacing w:line="240" w:lineRule="auto" w:before="116"/>
        <w:ind w:left="0" w:right="235"/>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18"/>
        <w:gridCol w:w="1265"/>
        <w:gridCol w:w="708"/>
        <w:gridCol w:w="994"/>
        <w:gridCol w:w="708"/>
        <w:gridCol w:w="1417"/>
        <w:gridCol w:w="1277"/>
        <w:gridCol w:w="1274"/>
        <w:gridCol w:w="994"/>
        <w:gridCol w:w="1134"/>
        <w:gridCol w:w="1274"/>
        <w:gridCol w:w="1419"/>
      </w:tblGrid>
      <w:tr>
        <w:trPr>
          <w:trHeight w:val="40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5"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413,736,540.00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1,952,518,298.41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16,741,846.44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-24,638,480.71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2,358,358,204.14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265"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65"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413,736,540.00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1,952,518,298.41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16,741,846.44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-24,638,480.71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2,358,358,204.14</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20,145,340.46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17,248,000.00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197,242,364.52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-347,375,520.08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-144,995,815.10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265"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197,242,364.52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-347,375,520.08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-150,133,155.56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20,145,340.46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17,248,000.00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5,137,340.46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20,145,340.46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17,248,000.00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5,137,340.46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65"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65"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253"/>
        <w:gridCol w:w="708"/>
        <w:gridCol w:w="994"/>
        <w:gridCol w:w="708"/>
        <w:gridCol w:w="1417"/>
        <w:gridCol w:w="1277"/>
        <w:gridCol w:w="1274"/>
        <w:gridCol w:w="994"/>
        <w:gridCol w:w="1134"/>
        <w:gridCol w:w="1274"/>
        <w:gridCol w:w="1419"/>
      </w:tblGrid>
      <w:tr>
        <w:trPr>
          <w:trHeight w:val="416"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415,976,540.00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1,972,663,638.87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17,248,000.00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197,242,364.52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16,741,846.44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-372,014,000.79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2,213,362,389.04</w:t>
            </w:r>
          </w:p>
        </w:tc>
      </w:tr>
    </w:tbl>
    <w:p>
      <w:pPr>
        <w:spacing w:after="0" w:line="240" w:lineRule="auto"/>
        <w:jc w:val="left"/>
        <w:rPr>
          <w:rFonts w:ascii="Times New Roman" w:hAnsi="Times New Roman" w:cs="Times New Roman" w:eastAsia="Times New Roman" w:hint="default"/>
          <w:sz w:val="18"/>
          <w:szCs w:val="18"/>
        </w:rPr>
        <w:sectPr>
          <w:footerReference w:type="default" r:id="rId31"/>
          <w:pgSz w:w="16840" w:h="11910" w:orient="landscape"/>
          <w:pgMar w:footer="979" w:header="867" w:top="1060" w:bottom="1160" w:left="1320" w:right="132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817"/>
        <w:jc w:val="left"/>
        <w:rPr>
          <w:b w:val="0"/>
          <w:bCs w:val="0"/>
        </w:rPr>
      </w:pPr>
      <w:bookmarkStart w:name="三、公司基本情况" w:id="190"/>
      <w:bookmarkEnd w:id="190"/>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pStyle w:val="Heading5"/>
        <w:spacing w:line="400" w:lineRule="auto" w:before="175"/>
        <w:ind w:left="574" w:right="1123"/>
        <w:jc w:val="left"/>
        <w:rPr>
          <w:rFonts w:ascii="宋体" w:hAnsi="宋体" w:cs="宋体" w:eastAsia="宋体" w:hint="default"/>
        </w:rPr>
      </w:pPr>
      <w:r>
        <w:rPr/>
        <w:t>（一）</w:t>
      </w:r>
      <w:r>
        <w:rPr>
          <w:spacing w:val="-15"/>
        </w:rPr>
        <w:t> </w:t>
      </w:r>
      <w:r>
        <w:rPr/>
        <w:t>企业注册地、组织形式和总部地址。</w:t>
      </w:r>
      <w:r>
        <w:rPr/>
        <w:t> </w:t>
      </w:r>
      <w:r>
        <w:rPr>
          <w:spacing w:val="-3"/>
        </w:rPr>
        <w:t>厦门安妮股份有限公司（以下称“本公司”或“公司”）系以厦门安妮纸业有限公司</w:t>
      </w:r>
      <w:r>
        <w:rPr>
          <w:spacing w:val="-25"/>
        </w:rPr>
        <w:t> </w:t>
      </w:r>
      <w:r>
        <w:rPr>
          <w:rFonts w:ascii="宋体" w:hAnsi="宋体" w:cs="宋体" w:eastAsia="宋体" w:hint="default"/>
        </w:rPr>
        <w:t>2007</w:t>
      </w:r>
      <w:r>
        <w:rPr>
          <w:rFonts w:ascii="宋体" w:hAnsi="宋体" w:cs="宋体" w:eastAsia="宋体" w:hint="default"/>
          <w:spacing w:val="-26"/>
        </w:rPr>
        <w:t> </w:t>
      </w:r>
      <w:r>
        <w:rPr/>
        <w:t>年</w:t>
      </w:r>
      <w:r>
        <w:rPr>
          <w:spacing w:val="-27"/>
        </w:rPr>
        <w:t> </w:t>
      </w:r>
      <w:r>
        <w:rPr>
          <w:rFonts w:ascii="宋体" w:hAnsi="宋体" w:cs="宋体" w:eastAsia="宋体" w:hint="default"/>
        </w:rPr>
        <w:t>4</w:t>
      </w:r>
      <w:r>
        <w:rPr>
          <w:rFonts w:ascii="宋体" w:hAnsi="宋体" w:cs="宋体" w:eastAsia="宋体" w:hint="default"/>
          <w:spacing w:val="-26"/>
        </w:rPr>
        <w:t> </w:t>
      </w:r>
      <w:r>
        <w:rPr/>
        <w:t>月</w:t>
      </w:r>
      <w:r>
        <w:rPr>
          <w:spacing w:val="-26"/>
        </w:rPr>
        <w:t> </w:t>
      </w:r>
      <w:r>
        <w:rPr>
          <w:rFonts w:ascii="宋体" w:hAnsi="宋体" w:cs="宋体" w:eastAsia="宋体" w:hint="default"/>
        </w:rPr>
        <w:t>30</w:t>
      </w:r>
    </w:p>
    <w:p>
      <w:pPr>
        <w:pStyle w:val="Heading5"/>
        <w:spacing w:line="240" w:lineRule="auto" w:before="45"/>
        <w:ind w:right="817"/>
        <w:jc w:val="left"/>
      </w:pPr>
      <w:r>
        <w:rPr/>
        <w:t>日经中审会计师事务所审计的账面净资产</w:t>
      </w:r>
      <w:r>
        <w:rPr>
          <w:spacing w:val="-53"/>
        </w:rPr>
        <w:t> </w:t>
      </w:r>
      <w:r>
        <w:rPr>
          <w:rFonts w:ascii="宋体" w:hAnsi="宋体" w:cs="宋体" w:eastAsia="宋体" w:hint="default"/>
        </w:rPr>
        <w:t>11,077.63</w:t>
      </w:r>
      <w:r>
        <w:rPr>
          <w:rFonts w:ascii="宋体" w:hAnsi="宋体" w:cs="宋体" w:eastAsia="宋体" w:hint="default"/>
          <w:spacing w:val="-53"/>
        </w:rPr>
        <w:t> </w:t>
      </w:r>
      <w:r>
        <w:rPr/>
        <w:t>万元按</w:t>
      </w:r>
      <w:r>
        <w:rPr>
          <w:spacing w:val="-55"/>
        </w:rPr>
        <w:t> </w:t>
      </w:r>
      <w:r>
        <w:rPr>
          <w:rFonts w:ascii="宋体" w:hAnsi="宋体" w:cs="宋体" w:eastAsia="宋体" w:hint="default"/>
        </w:rPr>
        <w:t>1:0.677</w:t>
      </w:r>
      <w:r>
        <w:rPr>
          <w:rFonts w:ascii="宋体" w:hAnsi="宋体" w:cs="宋体" w:eastAsia="宋体" w:hint="default"/>
          <w:spacing w:val="-53"/>
        </w:rPr>
        <w:t> </w:t>
      </w:r>
      <w:r>
        <w:rPr/>
        <w:t>的比例折股为</w:t>
      </w:r>
      <w:r>
        <w:rPr>
          <w:spacing w:val="-53"/>
        </w:rPr>
        <w:t> </w:t>
      </w:r>
      <w:r>
        <w:rPr>
          <w:rFonts w:ascii="宋体" w:hAnsi="宋体" w:cs="宋体" w:eastAsia="宋体" w:hint="default"/>
        </w:rPr>
        <w:t>7,500</w:t>
      </w:r>
      <w:r>
        <w:rPr>
          <w:rFonts w:ascii="宋体" w:hAnsi="宋体" w:cs="宋体" w:eastAsia="宋体" w:hint="default"/>
          <w:spacing w:val="-53"/>
        </w:rPr>
        <w:t> </w:t>
      </w:r>
      <w:r>
        <w:rPr>
          <w:spacing w:val="-4"/>
        </w:rPr>
        <w:t>万股，整体改制</w:t>
      </w:r>
    </w:p>
    <w:p>
      <w:pPr>
        <w:spacing w:line="240" w:lineRule="auto" w:before="2"/>
        <w:rPr>
          <w:rFonts w:ascii="宋体" w:hAnsi="宋体" w:cs="宋体" w:eastAsia="宋体" w:hint="default"/>
          <w:sz w:val="14"/>
          <w:szCs w:val="14"/>
        </w:rPr>
      </w:pPr>
    </w:p>
    <w:p>
      <w:pPr>
        <w:pStyle w:val="Heading5"/>
        <w:spacing w:line="240" w:lineRule="auto" w:before="0"/>
        <w:ind w:right="817"/>
        <w:jc w:val="left"/>
      </w:pPr>
      <w:r>
        <w:rPr/>
        <w:t>设立的股份有限公司。本公司前身系</w:t>
      </w:r>
      <w:r>
        <w:rPr>
          <w:spacing w:val="-57"/>
        </w:rPr>
        <w:t> </w:t>
      </w:r>
      <w:r>
        <w:rPr>
          <w:rFonts w:ascii="宋体" w:hAnsi="宋体" w:cs="宋体" w:eastAsia="宋体" w:hint="default"/>
        </w:rPr>
        <w:t>1998</w:t>
      </w:r>
      <w:r>
        <w:rPr>
          <w:rFonts w:ascii="宋体" w:hAnsi="宋体" w:cs="宋体" w:eastAsia="宋体" w:hint="default"/>
          <w:spacing w:val="-57"/>
        </w:rPr>
        <w:t> </w:t>
      </w:r>
      <w:r>
        <w:rPr/>
        <w:t>年</w:t>
      </w:r>
      <w:r>
        <w:rPr>
          <w:spacing w:val="-59"/>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7"/>
        </w:rPr>
        <w:t> </w:t>
      </w:r>
      <w:r>
        <w:rPr/>
        <w:t>日经厦门市工商行政管理局批准成立的厦门安妮纸业</w:t>
      </w:r>
    </w:p>
    <w:p>
      <w:pPr>
        <w:spacing w:line="240" w:lineRule="auto" w:before="2"/>
        <w:rPr>
          <w:rFonts w:ascii="宋体" w:hAnsi="宋体" w:cs="宋体" w:eastAsia="宋体" w:hint="default"/>
          <w:sz w:val="14"/>
          <w:szCs w:val="14"/>
        </w:rPr>
      </w:pPr>
    </w:p>
    <w:p>
      <w:pPr>
        <w:pStyle w:val="Heading5"/>
        <w:spacing w:line="403" w:lineRule="auto" w:before="0"/>
        <w:ind w:left="574" w:right="1093" w:hanging="420"/>
        <w:jc w:val="left"/>
        <w:rPr>
          <w:rFonts w:ascii="宋体" w:hAnsi="宋体" w:cs="宋体" w:eastAsia="宋体" w:hint="default"/>
        </w:rPr>
      </w:pPr>
      <w:r>
        <w:rPr/>
        <w:t>有限公司，成立时注册资本</w:t>
      </w:r>
      <w:r>
        <w:rPr>
          <w:spacing w:val="-53"/>
        </w:rPr>
        <w:t> </w:t>
      </w:r>
      <w:r>
        <w:rPr>
          <w:rFonts w:ascii="宋体" w:hAnsi="宋体" w:cs="宋体" w:eastAsia="宋体" w:hint="default"/>
        </w:rPr>
        <w:t>300</w:t>
      </w:r>
      <w:r>
        <w:rPr>
          <w:rFonts w:ascii="宋体" w:hAnsi="宋体" w:cs="宋体" w:eastAsia="宋体" w:hint="default"/>
          <w:spacing w:val="-53"/>
        </w:rPr>
        <w:t> </w:t>
      </w:r>
      <w:r>
        <w:rPr/>
        <w:t>万元，企业性质为有限责任公司。本公司的实际控制人为林旭曦、张杰。 统一社会信用代码</w:t>
      </w:r>
      <w:r>
        <w:rPr>
          <w:rFonts w:ascii="宋体" w:hAnsi="宋体" w:cs="宋体" w:eastAsia="宋体" w:hint="default"/>
        </w:rPr>
        <w:t>:913502002601292498</w:t>
      </w:r>
    </w:p>
    <w:p>
      <w:pPr>
        <w:pStyle w:val="Heading5"/>
        <w:spacing w:line="240" w:lineRule="auto" w:before="42"/>
        <w:ind w:left="574" w:right="817"/>
        <w:jc w:val="left"/>
      </w:pPr>
      <w:r>
        <w:rPr/>
        <w:t>住所：厦门市集美区杏林锦园南路</w:t>
      </w:r>
      <w:r>
        <w:rPr>
          <w:spacing w:val="-53"/>
        </w:rPr>
        <w:t> </w:t>
      </w:r>
      <w:r>
        <w:rPr>
          <w:rFonts w:ascii="宋体" w:hAnsi="宋体" w:cs="宋体" w:eastAsia="宋体" w:hint="default"/>
        </w:rPr>
        <w:t>99</w:t>
      </w:r>
      <w:r>
        <w:rPr>
          <w:rFonts w:ascii="宋体" w:hAnsi="宋体" w:cs="宋体" w:eastAsia="宋体" w:hint="default"/>
          <w:spacing w:val="-53"/>
        </w:rPr>
        <w:t> </w:t>
      </w:r>
      <w:r>
        <w:rPr/>
        <w:t>号</w:t>
      </w:r>
    </w:p>
    <w:p>
      <w:pPr>
        <w:spacing w:line="240" w:lineRule="auto" w:before="2"/>
        <w:rPr>
          <w:rFonts w:ascii="宋体" w:hAnsi="宋体" w:cs="宋体" w:eastAsia="宋体" w:hint="default"/>
          <w:sz w:val="14"/>
          <w:szCs w:val="14"/>
        </w:rPr>
      </w:pPr>
    </w:p>
    <w:p>
      <w:pPr>
        <w:pStyle w:val="Heading5"/>
        <w:spacing w:line="403" w:lineRule="auto" w:before="0"/>
        <w:ind w:left="574" w:right="7077"/>
        <w:jc w:val="left"/>
      </w:pPr>
      <w:r>
        <w:rPr/>
        <w:t>注册资本：人民币</w:t>
      </w:r>
      <w:r>
        <w:rPr>
          <w:spacing w:val="-52"/>
        </w:rPr>
        <w:t> </w:t>
      </w:r>
      <w:r>
        <w:rPr>
          <w:rFonts w:ascii="宋体" w:hAnsi="宋体" w:cs="宋体" w:eastAsia="宋体" w:hint="default"/>
        </w:rPr>
        <w:t>62396.4810</w:t>
      </w:r>
      <w:r>
        <w:rPr>
          <w:rFonts w:ascii="宋体" w:hAnsi="宋体" w:cs="宋体" w:eastAsia="宋体" w:hint="default"/>
          <w:spacing w:val="-53"/>
        </w:rPr>
        <w:t> </w:t>
      </w:r>
      <w:r>
        <w:rPr/>
        <w:t>万元 企业类型：股份有限公司（上市）</w:t>
      </w:r>
    </w:p>
    <w:p>
      <w:pPr>
        <w:pStyle w:val="Heading5"/>
        <w:spacing w:line="400" w:lineRule="auto" w:before="42"/>
        <w:ind w:left="574" w:right="2142"/>
        <w:jc w:val="left"/>
      </w:pPr>
      <w:r>
        <w:rPr/>
        <w:t>（二）</w:t>
      </w:r>
      <w:r>
        <w:rPr>
          <w:spacing w:val="-15"/>
        </w:rPr>
        <w:t> </w:t>
      </w:r>
      <w:r>
        <w:rPr/>
        <w:t>企业的业务性质和主要经营活动。</w:t>
      </w:r>
      <w:r>
        <w:rPr/>
        <w:t> 本公司主要从事版权业务、互联网营销业务、商务信息用纸业务三大主营业务经营活动。</w:t>
      </w:r>
    </w:p>
    <w:p>
      <w:pPr>
        <w:pStyle w:val="Heading5"/>
        <w:spacing w:line="240" w:lineRule="auto" w:before="45"/>
        <w:ind w:left="574" w:right="817"/>
        <w:jc w:val="left"/>
      </w:pPr>
      <w:r>
        <w:rPr/>
        <w:t>（三）</w:t>
      </w:r>
      <w:r>
        <w:rPr>
          <w:spacing w:val="-16"/>
        </w:rPr>
        <w:t> </w:t>
      </w:r>
      <w:r>
        <w:rPr/>
        <w:t>本财务报告经本公司董事会于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日决议批准报出。</w:t>
      </w:r>
    </w:p>
    <w:p>
      <w:pPr>
        <w:spacing w:line="240" w:lineRule="auto" w:before="3"/>
        <w:rPr>
          <w:rFonts w:ascii="宋体" w:hAnsi="宋体" w:cs="宋体" w:eastAsia="宋体" w:hint="default"/>
          <w:sz w:val="17"/>
          <w:szCs w:val="17"/>
        </w:rPr>
      </w:pPr>
    </w:p>
    <w:p>
      <w:pPr>
        <w:pStyle w:val="Heading5"/>
        <w:spacing w:line="436" w:lineRule="auto" w:before="0"/>
        <w:ind w:left="574" w:right="1017"/>
        <w:jc w:val="left"/>
      </w:pPr>
      <w:r>
        <w:rPr/>
        <w:t>（四）本年度合并财务报表范围 </w:t>
      </w:r>
      <w:r>
        <w:rPr>
          <w:spacing w:val="-3"/>
        </w:rPr>
        <w:t>本期纳入合并范围内的子公司见本附注“六、合并范围的变更”及“七、在其他主体中的权益”披露。</w:t>
      </w:r>
    </w:p>
    <w:p>
      <w:pPr>
        <w:pStyle w:val="Heading2"/>
        <w:spacing w:line="240" w:lineRule="auto" w:before="122"/>
        <w:ind w:right="817"/>
        <w:jc w:val="left"/>
        <w:rPr>
          <w:b w:val="0"/>
          <w:bCs w:val="0"/>
        </w:rPr>
      </w:pPr>
      <w:bookmarkStart w:name="四、财务报表的编制基础" w:id="191"/>
      <w:bookmarkEnd w:id="19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编制基础" w:id="192"/>
      <w:bookmarkEnd w:id="19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1"/>
          <w:szCs w:val="31"/>
        </w:rPr>
      </w:pPr>
    </w:p>
    <w:p>
      <w:pPr>
        <w:pStyle w:val="Heading5"/>
        <w:spacing w:line="240" w:lineRule="auto" w:before="0"/>
        <w:ind w:left="574" w:right="817"/>
        <w:jc w:val="left"/>
      </w:pPr>
      <w:r>
        <w:rPr/>
        <w:t>本公司财务报表以持续经营为基础，根据实际发生的交易和事项，按照财政部颁布的《企业会计准则</w:t>
      </w:r>
    </w:p>
    <w:p>
      <w:pPr>
        <w:pStyle w:val="Heading5"/>
        <w:spacing w:line="348" w:lineRule="auto" w:before="124"/>
        <w:ind w:right="817"/>
        <w:jc w:val="left"/>
      </w:pPr>
      <w:r>
        <w:rPr>
          <w:rFonts w:ascii="宋体" w:hAnsi="宋体" w:cs="宋体" w:eastAsia="宋体" w:hint="default"/>
        </w:rPr>
        <w:t>-</w:t>
      </w:r>
      <w:r>
        <w:rPr/>
        <w:t>基本准则》和具体会计准则等规定（以下合称“企业会计准则”），并基于以下所述重要会计政策、会</w:t>
      </w:r>
      <w:r>
        <w:rPr>
          <w:spacing w:val="-28"/>
        </w:rPr>
        <w:t> </w:t>
      </w:r>
      <w:r>
        <w:rPr>
          <w:spacing w:val="-28"/>
        </w:rPr>
      </w:r>
      <w:r>
        <w:rPr/>
        <w:t>计估计进行编制。</w:t>
      </w:r>
    </w:p>
    <w:p>
      <w:pPr>
        <w:spacing w:line="240" w:lineRule="auto" w:before="7"/>
        <w:rPr>
          <w:rFonts w:ascii="宋体" w:hAnsi="宋体" w:cs="宋体" w:eastAsia="宋体" w:hint="default"/>
          <w:sz w:val="18"/>
          <w:szCs w:val="18"/>
        </w:rPr>
      </w:pPr>
    </w:p>
    <w:p>
      <w:pPr>
        <w:pStyle w:val="Heading4"/>
        <w:spacing w:line="240" w:lineRule="auto"/>
        <w:ind w:right="817"/>
        <w:jc w:val="left"/>
        <w:rPr>
          <w:b w:val="0"/>
          <w:bCs w:val="0"/>
        </w:rPr>
      </w:pPr>
      <w:bookmarkStart w:name="2、持续经营" w:id="193"/>
      <w:bookmarkEnd w:id="19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74" w:right="817"/>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12"/>
        <w:rPr>
          <w:rFonts w:ascii="宋体" w:hAnsi="宋体" w:cs="宋体" w:eastAsia="宋体" w:hint="default"/>
          <w:sz w:val="22"/>
          <w:szCs w:val="22"/>
        </w:rPr>
      </w:pPr>
    </w:p>
    <w:p>
      <w:pPr>
        <w:pStyle w:val="Heading2"/>
        <w:spacing w:line="240" w:lineRule="auto"/>
        <w:ind w:right="817"/>
        <w:jc w:val="left"/>
        <w:rPr>
          <w:b w:val="0"/>
          <w:bCs w:val="0"/>
        </w:rPr>
      </w:pPr>
      <w:bookmarkStart w:name="五、重要会计政策及会计估计" w:id="194"/>
      <w:bookmarkEnd w:id="19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28"/>
        <w:ind w:right="817"/>
        <w:jc w:val="left"/>
      </w:pPr>
      <w:r>
        <w:rPr/>
        <w:t>具体会计政策和会计估计提示：</w:t>
      </w:r>
    </w:p>
    <w:p>
      <w:pPr>
        <w:spacing w:line="240" w:lineRule="auto" w:before="10"/>
        <w:rPr>
          <w:rFonts w:ascii="宋体" w:hAnsi="宋体" w:cs="宋体" w:eastAsia="宋体" w:hint="default"/>
          <w:sz w:val="13"/>
          <w:szCs w:val="13"/>
        </w:rPr>
      </w:pPr>
    </w:p>
    <w:p>
      <w:pPr>
        <w:pStyle w:val="Heading5"/>
        <w:spacing w:line="348" w:lineRule="auto" w:before="0"/>
        <w:ind w:left="574" w:right="817"/>
        <w:jc w:val="left"/>
      </w:pPr>
      <w:r>
        <w:rPr/>
        <w:t>重要提示： </w:t>
      </w:r>
      <w:r>
        <w:rPr>
          <w:spacing w:val="-1"/>
        </w:rPr>
        <w:t>本公司根据实际生产经营特点对应收款项坏账准备计提、固定资产折旧、无形资产摊销、收入确认等</w:t>
      </w:r>
    </w:p>
    <w:p>
      <w:pPr>
        <w:spacing w:after="0" w:line="348" w:lineRule="auto"/>
        <w:jc w:val="left"/>
        <w:sectPr>
          <w:headerReference w:type="default" r:id="rId32"/>
          <w:footerReference w:type="default" r:id="rId33"/>
          <w:pgSz w:w="11910" w:h="16840"/>
          <w:pgMar w:header="877" w:footer="979" w:top="1100" w:bottom="1160" w:left="980" w:right="0"/>
          <w:pgNumType w:start="101"/>
        </w:sectPr>
      </w:pPr>
    </w:p>
    <w:p>
      <w:pPr>
        <w:spacing w:line="240" w:lineRule="auto" w:before="7"/>
        <w:rPr>
          <w:rFonts w:ascii="宋体" w:hAnsi="宋体" w:cs="宋体" w:eastAsia="宋体" w:hint="default"/>
          <w:sz w:val="27"/>
          <w:szCs w:val="27"/>
        </w:rPr>
      </w:pPr>
    </w:p>
    <w:p>
      <w:pPr>
        <w:pStyle w:val="Heading5"/>
        <w:spacing w:line="240" w:lineRule="auto" w:before="35"/>
        <w:ind w:right="0"/>
        <w:jc w:val="both"/>
      </w:pPr>
      <w:r>
        <w:rPr/>
        <w:t>交易或事项制定了具体会计政策和会计估计。</w:t>
      </w:r>
    </w:p>
    <w:p>
      <w:pPr>
        <w:spacing w:line="702" w:lineRule="exact" w:before="19"/>
        <w:ind w:left="574" w:right="817" w:hanging="420"/>
        <w:jc w:val="left"/>
        <w:rPr>
          <w:rFonts w:ascii="宋体" w:hAnsi="宋体" w:cs="宋体" w:eastAsia="宋体" w:hint="default"/>
          <w:sz w:val="21"/>
          <w:szCs w:val="21"/>
        </w:rPr>
      </w:pPr>
      <w:bookmarkStart w:name="1、遵循企业会计准则的声明" w:id="195"/>
      <w:bookmarkEnd w:id="19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w:t>
      </w:r>
      <w:r>
        <w:rPr>
          <w:rFonts w:ascii="宋体" w:hAnsi="宋体" w:cs="宋体" w:eastAsia="宋体" w:hint="default"/>
          <w:spacing w:val="-1"/>
          <w:sz w:val="21"/>
          <w:szCs w:val="21"/>
        </w:rPr>
        <w:t>2018</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日的</w:t>
      </w:r>
      <w:r>
        <w:rPr>
          <w:rFonts w:ascii="宋体" w:hAnsi="宋体" w:cs="宋体" w:eastAsia="宋体" w:hint="default"/>
          <w:sz w:val="21"/>
          <w:szCs w:val="21"/>
        </w:rPr>
      </w:r>
    </w:p>
    <w:p>
      <w:pPr>
        <w:pStyle w:val="Heading5"/>
        <w:spacing w:line="240" w:lineRule="auto" w:before="15"/>
        <w:ind w:right="0"/>
        <w:jc w:val="both"/>
      </w:pPr>
      <w:r>
        <w:rPr/>
        <w:t>财务状况、</w:t>
      </w:r>
      <w:r>
        <w:rPr>
          <w:rFonts w:ascii="宋体" w:hAnsi="宋体" w:cs="宋体" w:eastAsia="宋体" w:hint="default"/>
        </w:rPr>
        <w:t>2018</w:t>
      </w:r>
      <w:r>
        <w:rPr/>
        <w:t>年度的经营成果和现金流量等相关信息。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ind w:right="0"/>
        <w:jc w:val="both"/>
        <w:rPr>
          <w:b w:val="0"/>
          <w:bCs w:val="0"/>
        </w:rPr>
      </w:pPr>
      <w:bookmarkStart w:name="2、会计期间" w:id="196"/>
      <w:bookmarkEnd w:id="19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74" w:right="817"/>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4"/>
          <w:szCs w:val="24"/>
        </w:rPr>
      </w:pPr>
    </w:p>
    <w:p>
      <w:pPr>
        <w:pStyle w:val="Heading4"/>
        <w:spacing w:line="240" w:lineRule="auto"/>
        <w:ind w:right="0"/>
        <w:jc w:val="both"/>
        <w:rPr>
          <w:b w:val="0"/>
          <w:bCs w:val="0"/>
        </w:rPr>
      </w:pPr>
      <w:bookmarkStart w:name="3、营业周期" w:id="197"/>
      <w:bookmarkEnd w:id="19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574" w:right="817"/>
        <w:jc w:val="left"/>
      </w:pPr>
      <w:r>
        <w:rPr/>
        <w:t>本公司以一年</w:t>
      </w:r>
      <w:r>
        <w:rPr>
          <w:spacing w:val="-23"/>
        </w:rPr>
        <w:t> </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8"/>
        <w:rPr>
          <w:rFonts w:ascii="宋体" w:hAnsi="宋体" w:cs="宋体" w:eastAsia="宋体" w:hint="default"/>
          <w:sz w:val="24"/>
          <w:szCs w:val="24"/>
        </w:rPr>
      </w:pPr>
    </w:p>
    <w:p>
      <w:pPr>
        <w:pStyle w:val="Heading4"/>
        <w:spacing w:line="240" w:lineRule="auto"/>
        <w:ind w:right="0"/>
        <w:jc w:val="both"/>
        <w:rPr>
          <w:b w:val="0"/>
          <w:bCs w:val="0"/>
        </w:rPr>
      </w:pPr>
      <w:bookmarkStart w:name="4、记账本位币" w:id="198"/>
      <w:bookmarkEnd w:id="19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74" w:right="817"/>
        <w:jc w:val="left"/>
      </w:pPr>
      <w:r>
        <w:rPr/>
        <w:t>本公司以人民币为记账本位币。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both"/>
        <w:rPr>
          <w:b w:val="0"/>
          <w:bCs w:val="0"/>
        </w:rPr>
      </w:pPr>
      <w:bookmarkStart w:name="5、同一控制下和非同一控制下企业合并的会计处理方法" w:id="199"/>
      <w:bookmarkEnd w:id="19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1"/>
          <w:szCs w:val="31"/>
        </w:rPr>
      </w:pPr>
    </w:p>
    <w:p>
      <w:pPr>
        <w:pStyle w:val="Heading5"/>
        <w:spacing w:line="348" w:lineRule="auto" w:before="0"/>
        <w:ind w:left="574" w:right="817"/>
        <w:jc w:val="left"/>
      </w:pPr>
      <w:r>
        <w:rPr>
          <w:rFonts w:ascii="宋体" w:hAnsi="宋体" w:cs="宋体" w:eastAsia="宋体" w:hint="default"/>
        </w:rPr>
        <w:t>1.</w:t>
      </w:r>
      <w:r>
        <w:rPr/>
        <w:t>同一控制下的企业合并 </w:t>
      </w:r>
      <w:r>
        <w:rPr>
          <w:spacing w:val="-1"/>
        </w:rPr>
        <w:t>本公司在企业合并中取得的资产和负债，按照合并日被合并方资产、负债（包括最终控制方收购被合</w:t>
      </w:r>
    </w:p>
    <w:p>
      <w:pPr>
        <w:pStyle w:val="Heading5"/>
        <w:spacing w:line="350" w:lineRule="auto" w:before="30"/>
        <w:ind w:right="1131"/>
        <w:jc w:val="both"/>
      </w:pPr>
      <w:r>
        <w:rPr>
          <w:spacing w:val="-1"/>
        </w:rPr>
        <w:t>并方而形成的商誉）在最终控制方合并财务报表中的账面价值计量。在合并中取得的净资产账面价值与支</w:t>
      </w:r>
      <w:r>
        <w:rPr>
          <w:spacing w:val="-81"/>
        </w:rPr>
        <w:t> </w:t>
      </w:r>
      <w:r>
        <w:rPr>
          <w:spacing w:val="-81"/>
        </w:rPr>
      </w:r>
      <w:r>
        <w:rPr>
          <w:spacing w:val="-1"/>
        </w:rPr>
        <w:t>付的合并对价账面价值（或发行股份面值总额）的差额，调整资本公积中的股本溢价，资本公积中的股本</w:t>
      </w:r>
      <w:r>
        <w:rPr>
          <w:spacing w:val="-85"/>
        </w:rPr>
        <w:t> </w:t>
      </w:r>
      <w:r>
        <w:rPr>
          <w:spacing w:val="-85"/>
        </w:rPr>
      </w:r>
      <w:r>
        <w:rPr/>
        <w:t>溢价不足冲减的，调整留存收益。</w:t>
      </w:r>
    </w:p>
    <w:p>
      <w:pPr>
        <w:pStyle w:val="Heading5"/>
        <w:spacing w:line="350" w:lineRule="auto"/>
        <w:ind w:left="574" w:right="817"/>
        <w:jc w:val="left"/>
      </w:pPr>
      <w:r>
        <w:rPr>
          <w:rFonts w:ascii="宋体" w:hAnsi="宋体" w:cs="宋体" w:eastAsia="宋体" w:hint="default"/>
        </w:rPr>
        <w:t>2.</w:t>
      </w:r>
      <w:r>
        <w:rPr/>
        <w:t>非同一控制下的企业合并 </w:t>
      </w:r>
      <w:r>
        <w:rPr>
          <w:spacing w:val="-1"/>
        </w:rPr>
        <w:t>本公司在购买日对作为企业合并对价付出的资产、发生或承担的负债按照公允价值计量，公允价值与</w:t>
      </w:r>
    </w:p>
    <w:p>
      <w:pPr>
        <w:pStyle w:val="Heading5"/>
        <w:spacing w:line="350" w:lineRule="auto"/>
        <w:ind w:right="1130"/>
        <w:jc w:val="both"/>
      </w:pPr>
      <w:r>
        <w:rPr>
          <w:spacing w:val="-1"/>
        </w:rPr>
        <w:t>其账面价值的差额，计入当期损益。本公司对合并成本大于合并中取得的被购买方可辨认净资产公允价值</w:t>
      </w:r>
      <w:r>
        <w:rPr>
          <w:spacing w:val="-80"/>
        </w:rPr>
        <w:t> </w:t>
      </w:r>
      <w:r>
        <w:rPr>
          <w:spacing w:val="-80"/>
        </w:rPr>
      </w:r>
      <w:r>
        <w:rPr>
          <w:spacing w:val="-1"/>
        </w:rPr>
        <w:t>份额的差额，确认为商誉；合并成本小于合并中取得的被购买方可辨认净资产公允价值份额的差额，经复</w:t>
      </w:r>
      <w:r>
        <w:rPr>
          <w:spacing w:val="-83"/>
        </w:rPr>
        <w:t> </w:t>
      </w:r>
      <w:r>
        <w:rPr>
          <w:spacing w:val="-83"/>
        </w:rPr>
      </w:r>
      <w:r>
        <w:rPr/>
        <w:t>核后，计入当期损益。</w:t>
      </w:r>
    </w:p>
    <w:p>
      <w:pPr>
        <w:pStyle w:val="Heading5"/>
        <w:spacing w:line="348" w:lineRule="auto"/>
        <w:ind w:right="817" w:firstLine="420"/>
        <w:jc w:val="left"/>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bookmarkStart w:name="6、合并财务报表的编制方法" w:id="200"/>
      <w:bookmarkEnd w:id="20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1"/>
          <w:szCs w:val="31"/>
        </w:rPr>
      </w:pPr>
    </w:p>
    <w:p>
      <w:pPr>
        <w:pStyle w:val="Heading5"/>
        <w:spacing w:line="240" w:lineRule="auto" w:before="0"/>
        <w:ind w:left="574" w:right="817"/>
        <w:jc w:val="left"/>
      </w:pPr>
      <w:r>
        <w:rPr>
          <w:rFonts w:ascii="宋体" w:hAnsi="宋体" w:cs="宋体" w:eastAsia="宋体" w:hint="default"/>
        </w:rPr>
        <w:t>1.</w:t>
      </w:r>
      <w:r>
        <w:rPr/>
        <w:t>合并范围</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right="1131" w:firstLine="420"/>
        <w:jc w:val="both"/>
      </w:pPr>
      <w:r>
        <w:rPr>
          <w:spacing w:val="-1"/>
        </w:rPr>
        <w:t>本公司合并财务报表的合并范围以控制为基础确定，所有子公司（包括本公司所控制的被投资方可分</w:t>
      </w:r>
      <w:r>
        <w:rPr/>
        <w:t> 割的部分）均纳入合并财务报表。</w:t>
      </w:r>
    </w:p>
    <w:p>
      <w:pPr>
        <w:pStyle w:val="Heading5"/>
        <w:spacing w:line="350" w:lineRule="auto" w:before="31"/>
        <w:ind w:left="577" w:right="817" w:hanging="4"/>
        <w:jc w:val="left"/>
      </w:pPr>
      <w:r>
        <w:rPr>
          <w:rFonts w:ascii="宋体" w:hAnsi="宋体" w:cs="宋体" w:eastAsia="宋体" w:hint="default"/>
        </w:rPr>
        <w:t>2.</w:t>
      </w:r>
      <w:r>
        <w:rPr/>
        <w:t>合并程序 </w:t>
      </w:r>
      <w:r>
        <w:rPr>
          <w:spacing w:val="-1"/>
        </w:rPr>
        <w:t>本公司以自身和各子公司的财务报表为基础，根据其他有关资料，编制合并财务报表。本公司编制合</w:t>
      </w:r>
    </w:p>
    <w:p>
      <w:pPr>
        <w:pStyle w:val="Heading5"/>
        <w:spacing w:line="350" w:lineRule="auto"/>
        <w:ind w:right="1133"/>
        <w:jc w:val="both"/>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Heading5"/>
        <w:spacing w:line="350" w:lineRule="auto"/>
        <w:ind w:right="1131" w:firstLine="423"/>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5"/>
        </w:rPr>
        <w:t> </w:t>
      </w:r>
      <w:r>
        <w:rPr>
          <w:spacing w:val="-85"/>
        </w:rPr>
      </w:r>
      <w:r>
        <w:rPr/>
        <w:t>而形成的商誉）在最终控制方财务报表中的账面价值为基础对其财务报表进行调整。</w:t>
      </w:r>
    </w:p>
    <w:p>
      <w:pPr>
        <w:pStyle w:val="Heading5"/>
        <w:spacing w:line="348" w:lineRule="auto" w:before="29"/>
        <w:ind w:right="1131" w:firstLine="423"/>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Heading5"/>
        <w:spacing w:line="348" w:lineRule="auto" w:before="31"/>
        <w:ind w:left="577" w:right="817"/>
        <w:jc w:val="left"/>
      </w:pPr>
      <w:r>
        <w:rPr/>
        <w:t>（</w:t>
      </w:r>
      <w:r>
        <w:rPr>
          <w:rFonts w:ascii="宋体" w:hAnsi="宋体" w:cs="宋体" w:eastAsia="宋体" w:hint="default"/>
        </w:rPr>
        <w:t>1</w:t>
      </w:r>
      <w:r>
        <w:rPr/>
        <w:t>）增加子公司或业务 </w:t>
      </w:r>
      <w:r>
        <w:rPr>
          <w:spacing w:val="-1"/>
        </w:rPr>
        <w:t>在报告期内，若因同一控制下企业合并增加子公司或业务的，则调整合并资产负债表的期初数；将子</w:t>
      </w:r>
    </w:p>
    <w:p>
      <w:pPr>
        <w:pStyle w:val="Heading5"/>
        <w:spacing w:line="350" w:lineRule="auto" w:before="30"/>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Heading5"/>
        <w:spacing w:line="350" w:lineRule="auto"/>
        <w:ind w:right="1131" w:firstLine="423"/>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Heading5"/>
        <w:spacing w:line="348" w:lineRule="auto" w:before="29"/>
        <w:ind w:right="1131" w:firstLine="423"/>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Heading5"/>
        <w:spacing w:line="350" w:lineRule="auto" w:before="31"/>
        <w:ind w:right="1131" w:firstLine="423"/>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Heading5"/>
        <w:spacing w:line="240" w:lineRule="auto"/>
        <w:ind w:left="577" w:right="817"/>
        <w:jc w:val="left"/>
      </w:pPr>
      <w:r>
        <w:rPr/>
        <w:t>（</w:t>
      </w:r>
      <w:r>
        <w:rPr>
          <w:rFonts w:ascii="宋体" w:hAnsi="宋体" w:cs="宋体" w:eastAsia="宋体" w:hint="default"/>
        </w:rPr>
        <w:t>2</w:t>
      </w:r>
      <w:r>
        <w:rPr/>
        <w:t>）处置子公司或业务</w:t>
      </w:r>
    </w:p>
    <w:p>
      <w:pPr>
        <w:pStyle w:val="Heading5"/>
        <w:spacing w:line="348" w:lineRule="auto" w:before="126"/>
        <w:ind w:left="577" w:right="817"/>
        <w:jc w:val="left"/>
      </w:pPr>
      <w:r>
        <w:rPr/>
        <w:t>①一般处理方法 </w:t>
      </w:r>
      <w:r>
        <w:rPr>
          <w:spacing w:val="-1"/>
        </w:rPr>
        <w:t>在报告期内，本公司处置子公司或业务，则该子公司或业务期初至处置日的收入、费用、利润纳入合</w:t>
      </w:r>
    </w:p>
    <w:p>
      <w:pPr>
        <w:spacing w:after="0" w:line="34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left="577" w:right="817" w:hanging="424"/>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Heading5"/>
        <w:spacing w:line="350" w:lineRule="auto" w:before="31"/>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Heading5"/>
        <w:spacing w:line="350" w:lineRule="auto"/>
        <w:ind w:right="817" w:firstLine="526"/>
        <w:jc w:val="left"/>
      </w:pPr>
      <w:r>
        <w:rPr/>
        <w:t>因其他投资方对子公司增资而导致本公司持股比例下降从而丧失控制权的，按照上述原则进行会计 处理。</w:t>
      </w:r>
    </w:p>
    <w:p>
      <w:pPr>
        <w:pStyle w:val="Heading5"/>
        <w:spacing w:line="348" w:lineRule="auto"/>
        <w:ind w:left="577" w:right="817"/>
        <w:jc w:val="left"/>
      </w:pPr>
      <w:r>
        <w:rPr/>
        <w:t>②分步处置子公司 </w:t>
      </w:r>
      <w:r>
        <w:rPr>
          <w:spacing w:val="-1"/>
        </w:rPr>
        <w:t>通过多次交易分步处置对子公司股权投资直至丧失控制权的，处置对子公司股权投资的各项交易的条</w:t>
      </w:r>
    </w:p>
    <w:p>
      <w:pPr>
        <w:pStyle w:val="Heading5"/>
        <w:spacing w:line="348" w:lineRule="auto" w:before="31"/>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Heading5"/>
        <w:spacing w:line="350" w:lineRule="auto" w:before="30"/>
        <w:ind w:left="577" w:right="817"/>
        <w:jc w:val="left"/>
      </w:pPr>
      <w:r>
        <w:rPr/>
        <w:t>ⅰ．这些交易是同时或者在考虑了彼此影响的情况下订立的； ⅱ．这些交易整体才能达成一项完整的商业结果； ⅲ．一项交易的发生取决于其他至少一项交易的发生； </w:t>
      </w:r>
      <w:r>
        <w:rPr>
          <w:spacing w:val="-1"/>
        </w:rPr>
        <w:t>ⅳ．一项交易单独看是不经济的，但是和其他交易一并考虑时是经济的。处置对子公司股权投资直至</w:t>
      </w:r>
    </w:p>
    <w:p>
      <w:pPr>
        <w:pStyle w:val="Heading5"/>
        <w:spacing w:line="348" w:lineRule="auto" w:before="29"/>
        <w:ind w:right="1023"/>
        <w:jc w:val="left"/>
      </w:pPr>
      <w:r>
        <w:rPr/>
        <w:t>丧失控制权的各项交易属于一揽子交易的，本公司将各项交易作为一项处置子公司并丧失控制权的交易进 </w:t>
      </w:r>
      <w:r>
        <w:rPr>
          <w:spacing w:val="-3"/>
        </w:rPr>
        <w:t>行会计处理；但是，在丧失控制权之前每一次处置价款与处置投资对应的享有该子公司净资产份额的差额，</w:t>
      </w:r>
      <w:r>
        <w:rPr>
          <w:spacing w:val="-92"/>
        </w:rPr>
        <w:t> </w:t>
      </w:r>
      <w:r>
        <w:rPr>
          <w:spacing w:val="-92"/>
        </w:rPr>
      </w:r>
      <w:r>
        <w:rPr/>
        <w:t>在合并财务报表中确认为其他综合收益，在丧失控制权时一并转入丧失控制权当期的损益。</w:t>
      </w:r>
    </w:p>
    <w:p>
      <w:pPr>
        <w:pStyle w:val="Heading5"/>
        <w:spacing w:line="348" w:lineRule="auto" w:before="31"/>
        <w:ind w:right="1131" w:firstLine="423"/>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Heading5"/>
        <w:spacing w:line="348" w:lineRule="auto" w:before="31"/>
        <w:ind w:left="577" w:right="817"/>
        <w:jc w:val="left"/>
      </w:pPr>
      <w:r>
        <w:rPr/>
        <w:t>（</w:t>
      </w:r>
      <w:r>
        <w:rPr>
          <w:rFonts w:ascii="宋体" w:hAnsi="宋体" w:cs="宋体" w:eastAsia="宋体" w:hint="default"/>
        </w:rPr>
        <w:t>3</w:t>
      </w:r>
      <w:r>
        <w:rPr/>
        <w:t>）购买子公司少数股权 </w:t>
      </w:r>
      <w:r>
        <w:rPr>
          <w:spacing w:val="-1"/>
        </w:rPr>
        <w:t>本公司因购买少数股权新取得的长期股权投资与按照新增持股比例计算应享有子公司自购买日（或合</w:t>
      </w:r>
    </w:p>
    <w:p>
      <w:pPr>
        <w:pStyle w:val="Heading5"/>
        <w:spacing w:line="350" w:lineRule="auto" w:before="30"/>
        <w:ind w:right="817"/>
        <w:jc w:val="left"/>
      </w:pPr>
      <w:r>
        <w:rPr>
          <w:spacing w:val="-1"/>
        </w:rPr>
        <w:t>并日）开始持续计算的净资产份额之间的差额，调整合并资产负债表中的资本公积中的股本溢价，资本公</w:t>
      </w:r>
      <w:r>
        <w:rPr>
          <w:spacing w:val="-82"/>
        </w:rPr>
        <w:t> </w:t>
      </w:r>
      <w:r>
        <w:rPr>
          <w:spacing w:val="-82"/>
        </w:rPr>
      </w:r>
      <w:r>
        <w:rPr/>
        <w:t>积中的股本溢价不足冲减的，调整留存收益。</w:t>
      </w:r>
    </w:p>
    <w:p>
      <w:pPr>
        <w:pStyle w:val="Heading5"/>
        <w:spacing w:line="348" w:lineRule="auto"/>
        <w:ind w:left="577" w:right="817"/>
        <w:jc w:val="left"/>
      </w:pPr>
      <w:r>
        <w:rPr/>
        <w:t>（</w:t>
      </w:r>
      <w:r>
        <w:rPr>
          <w:rFonts w:ascii="宋体" w:hAnsi="宋体" w:cs="宋体" w:eastAsia="宋体"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Heading5"/>
        <w:spacing w:line="348" w:lineRule="auto" w:before="31"/>
        <w:ind w:right="817"/>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6"/>
        <w:rPr>
          <w:rFonts w:ascii="宋体" w:hAnsi="宋体" w:cs="宋体" w:eastAsia="宋体" w:hint="default"/>
          <w:sz w:val="18"/>
          <w:szCs w:val="18"/>
        </w:rPr>
      </w:pPr>
    </w:p>
    <w:p>
      <w:pPr>
        <w:spacing w:line="578" w:lineRule="auto" w:before="0"/>
        <w:ind w:left="574" w:right="6432" w:hanging="420"/>
        <w:jc w:val="left"/>
        <w:rPr>
          <w:rFonts w:ascii="宋体" w:hAnsi="宋体" w:cs="宋体" w:eastAsia="宋体" w:hint="default"/>
          <w:sz w:val="21"/>
          <w:szCs w:val="21"/>
        </w:rPr>
      </w:pPr>
      <w:bookmarkStart w:name="7、合营安排分类及共同经营会计处理方法" w:id="201"/>
      <w:bookmarkEnd w:id="20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spacing w:after="0" w:line="578"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left="574" w:right="1092"/>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Heading5"/>
        <w:spacing w:line="240" w:lineRule="auto" w:before="31"/>
        <w:ind w:left="574" w:right="817"/>
        <w:jc w:val="left"/>
      </w:pPr>
      <w:r>
        <w:rPr/>
        <w:t>（</w:t>
      </w:r>
      <w:r>
        <w:rPr>
          <w:rFonts w:ascii="宋体" w:hAnsi="宋体" w:cs="宋体" w:eastAsia="宋体" w:hint="default"/>
        </w:rPr>
        <w:t>1</w:t>
      </w:r>
      <w:r>
        <w:rPr/>
        <w:t>）确认本公司单独所持有的资产，以及按本公司份额确认共同持有的资产；</w:t>
      </w:r>
    </w:p>
    <w:p>
      <w:pPr>
        <w:pStyle w:val="Heading5"/>
        <w:spacing w:line="240" w:lineRule="auto" w:before="125"/>
        <w:ind w:left="574" w:right="817"/>
        <w:jc w:val="left"/>
      </w:pPr>
      <w:r>
        <w:rPr/>
        <w:t>（</w:t>
      </w:r>
      <w:r>
        <w:rPr>
          <w:rFonts w:ascii="宋体" w:hAnsi="宋体" w:cs="宋体" w:eastAsia="宋体" w:hint="default"/>
        </w:rPr>
        <w:t>2</w:t>
      </w:r>
      <w:r>
        <w:rPr/>
        <w:t>）确认本公司单独所承担的负债，以及按本公司份额确认共同承担的负债；</w:t>
      </w:r>
    </w:p>
    <w:p>
      <w:pPr>
        <w:pStyle w:val="Heading5"/>
        <w:spacing w:line="240" w:lineRule="auto" w:before="124"/>
        <w:ind w:left="574" w:right="817"/>
        <w:jc w:val="left"/>
      </w:pPr>
      <w:r>
        <w:rPr/>
        <w:t>（</w:t>
      </w:r>
      <w:r>
        <w:rPr>
          <w:rFonts w:ascii="宋体" w:hAnsi="宋体" w:cs="宋体" w:eastAsia="宋体" w:hint="default"/>
        </w:rPr>
        <w:t>3</w:t>
      </w:r>
      <w:r>
        <w:rPr/>
        <w:t>）确认出售本公司享有的共同经营产出份额所产生的收入；</w:t>
      </w:r>
    </w:p>
    <w:p>
      <w:pPr>
        <w:pStyle w:val="Heading5"/>
        <w:spacing w:line="240" w:lineRule="auto" w:before="126"/>
        <w:ind w:left="574" w:right="817"/>
        <w:jc w:val="left"/>
      </w:pPr>
      <w:r>
        <w:rPr/>
        <w:t>（</w:t>
      </w:r>
      <w:r>
        <w:rPr>
          <w:rFonts w:ascii="宋体" w:hAnsi="宋体" w:cs="宋体" w:eastAsia="宋体" w:hint="default"/>
        </w:rPr>
        <w:t>4</w:t>
      </w:r>
      <w:r>
        <w:rPr/>
        <w:t>）按本公司份额确认共同经营因出售产出所产生的收入；</w:t>
      </w:r>
    </w:p>
    <w:p>
      <w:pPr>
        <w:pStyle w:val="Heading5"/>
        <w:spacing w:line="240" w:lineRule="auto" w:before="124"/>
        <w:ind w:left="574" w:right="817"/>
        <w:jc w:val="left"/>
      </w:pPr>
      <w:r>
        <w:rPr/>
        <w:t>（</w:t>
      </w:r>
      <w:r>
        <w:rPr>
          <w:rFonts w:ascii="宋体" w:hAnsi="宋体" w:cs="宋体" w:eastAsia="宋体" w:hint="default"/>
        </w:rPr>
        <w:t>5</w:t>
      </w:r>
      <w:r>
        <w:rPr/>
        <w:t>）确认单独所发生的费用，以及按本公司份额确认共同经营发生的费用。</w:t>
      </w:r>
    </w:p>
    <w:p>
      <w:pPr>
        <w:spacing w:line="702" w:lineRule="exact" w:before="19"/>
        <w:ind w:left="574" w:right="817" w:hanging="420"/>
        <w:jc w:val="left"/>
        <w:rPr>
          <w:rFonts w:ascii="宋体" w:hAnsi="宋体" w:cs="宋体" w:eastAsia="宋体" w:hint="default"/>
          <w:sz w:val="21"/>
          <w:szCs w:val="21"/>
        </w:rPr>
      </w:pPr>
      <w:bookmarkStart w:name="8、现金及现金等价物的确定标准" w:id="202"/>
      <w:bookmarkEnd w:id="20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Heading5"/>
        <w:spacing w:line="348" w:lineRule="auto" w:before="15"/>
        <w:ind w:right="1110"/>
        <w:jc w:val="both"/>
      </w:pPr>
      <w:r>
        <w:rPr/>
        <w:t>短（从购买日起三个月内到期）、流动性强、易于转换为已知现金、价值变动风险很小四个条件的投资， 确定为现金等价物。</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4"/>
        <w:spacing w:line="240" w:lineRule="auto"/>
        <w:ind w:right="0"/>
        <w:jc w:val="both"/>
        <w:rPr>
          <w:b w:val="0"/>
          <w:bCs w:val="0"/>
        </w:rPr>
      </w:pPr>
      <w:bookmarkStart w:name="9、外币业务和外币报表折算" w:id="203"/>
      <w:bookmarkEnd w:id="20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1"/>
          <w:szCs w:val="31"/>
        </w:rPr>
      </w:pPr>
    </w:p>
    <w:p>
      <w:pPr>
        <w:pStyle w:val="Heading5"/>
        <w:spacing w:line="348" w:lineRule="auto" w:before="0"/>
        <w:ind w:left="574" w:right="2772"/>
        <w:jc w:val="left"/>
      </w:pPr>
      <w:r>
        <w:rPr>
          <w:rFonts w:ascii="宋体" w:hAnsi="宋体" w:cs="宋体" w:eastAsia="宋体" w:hint="default"/>
        </w:rPr>
        <w:t>1.</w:t>
      </w:r>
      <w:r>
        <w:rPr/>
        <w:t>外币业务 外币业务采用交易发生日的即期汇率作为折算汇率将外币金额折合成人民币记账。</w:t>
      </w:r>
    </w:p>
    <w:p>
      <w:pPr>
        <w:pStyle w:val="Heading5"/>
        <w:spacing w:line="350" w:lineRule="auto" w:before="30"/>
        <w:ind w:right="113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pStyle w:val="Heading5"/>
        <w:spacing w:line="350" w:lineRule="auto"/>
        <w:ind w:left="574" w:right="817"/>
        <w:jc w:val="left"/>
      </w:pPr>
      <w:r>
        <w:rPr>
          <w:rFonts w:ascii="宋体" w:hAnsi="宋体" w:cs="宋体" w:eastAsia="宋体" w:hint="default"/>
        </w:rPr>
        <w:t>2.</w:t>
      </w:r>
      <w:r>
        <w:rPr/>
        <w:t>外币财务报表折算 </w:t>
      </w:r>
      <w:r>
        <w:rPr>
          <w:spacing w:val="-1"/>
        </w:rPr>
        <w:t>资产负债表中的资产和负债项目，采用资产负债表日的即期汇率折算；所有者权益项目除“未分配利</w:t>
      </w:r>
    </w:p>
    <w:p>
      <w:pPr>
        <w:pStyle w:val="Heading5"/>
        <w:spacing w:line="350" w:lineRule="auto"/>
        <w:ind w:right="1131"/>
        <w:jc w:val="both"/>
      </w:pPr>
      <w:r>
        <w:rPr>
          <w:spacing w:val="-1"/>
        </w:rPr>
        <w:t>润”项目外，其他项目采用发生时的即期汇率折算。利润表中的收入和费用项目，采用交易发生日的即期</w:t>
      </w:r>
      <w:r>
        <w:rPr>
          <w:spacing w:val="-83"/>
        </w:rPr>
        <w:t> </w:t>
      </w:r>
      <w:r>
        <w:rPr>
          <w:spacing w:val="-83"/>
        </w:rPr>
      </w:r>
      <w:r>
        <w:rPr>
          <w:spacing w:val="-1"/>
        </w:rPr>
        <w:t>汇率折算。处置境外经营时，将与该境外经营相关的外币财务报表折算差额，自所有者权益项目转入处置</w:t>
      </w:r>
      <w:r>
        <w:rPr>
          <w:spacing w:val="-83"/>
        </w:rPr>
        <w:t> </w:t>
      </w:r>
      <w:r>
        <w:rPr>
          <w:spacing w:val="-83"/>
        </w:rPr>
      </w:r>
      <w:r>
        <w:rPr/>
        <w:t>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40" w:lineRule="auto"/>
        <w:ind w:right="0"/>
        <w:jc w:val="both"/>
        <w:rPr>
          <w:b w:val="0"/>
          <w:bCs w:val="0"/>
        </w:rPr>
      </w:pPr>
      <w:bookmarkStart w:name="10、金融工具" w:id="204"/>
      <w:bookmarkEnd w:id="20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1"/>
          <w:szCs w:val="31"/>
        </w:rPr>
      </w:pPr>
    </w:p>
    <w:p>
      <w:pPr>
        <w:pStyle w:val="Heading5"/>
        <w:spacing w:line="348" w:lineRule="auto" w:before="0"/>
        <w:ind w:left="574" w:right="5922"/>
        <w:jc w:val="left"/>
      </w:pPr>
      <w:r>
        <w:rPr/>
        <w:t>金融工具包括金融资产、金融负债和权益工具。 </w:t>
      </w:r>
      <w:r>
        <w:rPr>
          <w:rFonts w:ascii="宋体" w:hAnsi="宋体" w:cs="宋体" w:eastAsia="宋体" w:hint="default"/>
        </w:rPr>
        <w:t>1</w:t>
      </w:r>
      <w:r>
        <w:rPr/>
        <w:t>、金融工具的分类</w:t>
      </w:r>
    </w:p>
    <w:p>
      <w:pPr>
        <w:pStyle w:val="Heading5"/>
        <w:spacing w:line="350" w:lineRule="auto" w:before="30"/>
        <w:ind w:right="1131" w:firstLine="420"/>
        <w:jc w:val="both"/>
      </w:pPr>
      <w:r>
        <w:rPr>
          <w:spacing w:val="-1"/>
        </w:rPr>
        <w:t>金融资产和金融负债于初始确认时分类为：以公允价值计量且其变动计入当期损益的金融资产或金融</w:t>
      </w:r>
      <w:r>
        <w:rPr/>
        <w:t> </w:t>
      </w: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pStyle w:val="Heading5"/>
        <w:spacing w:line="240" w:lineRule="auto"/>
        <w:ind w:left="574" w:right="817"/>
        <w:jc w:val="left"/>
      </w:pPr>
      <w:r>
        <w:rPr>
          <w:rFonts w:ascii="宋体" w:hAnsi="宋体" w:cs="宋体" w:eastAsia="宋体" w:hint="default"/>
        </w:rPr>
        <w:t>2</w:t>
      </w:r>
      <w:r>
        <w:rPr/>
        <w:t>、金融工具的确认依据和计量方法</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50" w:lineRule="auto" w:before="35"/>
        <w:ind w:right="1131" w:firstLine="420"/>
        <w:jc w:val="both"/>
      </w:pPr>
      <w:r>
        <w:rPr/>
        <w:t>（</w:t>
      </w:r>
      <w:r>
        <w:rPr>
          <w:rFonts w:ascii="宋体" w:hAnsi="宋体" w:cs="宋体" w:eastAsia="宋体" w:hint="default"/>
        </w:rPr>
        <w:t>1</w:t>
      </w:r>
      <w:r>
        <w:rPr/>
        <w:t>）以公允价值计量且其变动计入当期损益的金融资产（金融负债）</w:t>
      </w:r>
      <w:r>
        <w:rPr>
          <w:spacing w:val="-24"/>
        </w:rPr>
        <w:t> </w:t>
      </w:r>
      <w:r>
        <w:rPr/>
        <w:t>取得时以公允价值（扣除已宣</w:t>
      </w:r>
      <w:r>
        <w:rPr/>
        <w:t> </w:t>
      </w:r>
      <w:r>
        <w:rPr>
          <w:spacing w:val="-1"/>
        </w:rPr>
        <w:t>告但尚未发放的现金股利或已到付息期但尚未领取的债券利息）作为初始确认金额，相关的交易费用计入</w:t>
      </w:r>
      <w:r>
        <w:rPr>
          <w:spacing w:val="-81"/>
        </w:rPr>
        <w:t> </w:t>
      </w:r>
      <w:r>
        <w:rPr>
          <w:spacing w:val="-81"/>
        </w:rPr>
      </w:r>
      <w:r>
        <w:rPr/>
        <w:t>当期损益。</w:t>
      </w:r>
    </w:p>
    <w:p>
      <w:pPr>
        <w:pStyle w:val="Heading5"/>
        <w:spacing w:line="348" w:lineRule="auto"/>
        <w:ind w:left="574" w:right="1512"/>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Heading5"/>
        <w:spacing w:line="348" w:lineRule="auto" w:before="31"/>
        <w:ind w:left="574" w:right="1017"/>
        <w:jc w:val="left"/>
      </w:pPr>
      <w:r>
        <w:rPr/>
        <w:t>（</w:t>
      </w:r>
      <w:r>
        <w:rPr>
          <w:rFonts w:ascii="宋体" w:hAnsi="宋体" w:cs="宋体" w:eastAsia="宋体"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Heading5"/>
        <w:spacing w:line="348" w:lineRule="auto" w:before="31"/>
        <w:ind w:right="817"/>
        <w:jc w:val="left"/>
      </w:pPr>
      <w:r>
        <w:rPr>
          <w:spacing w:val="-1"/>
        </w:rPr>
        <w:t>预期存续期间或适用的更短期间内保持不变。处置时，将所取得价款与该投资账面价值之间的差额计入投</w:t>
      </w:r>
      <w:r>
        <w:rPr>
          <w:spacing w:val="-81"/>
        </w:rPr>
        <w:t> </w:t>
      </w:r>
      <w:r>
        <w:rPr>
          <w:spacing w:val="-81"/>
        </w:rPr>
      </w:r>
      <w:r>
        <w:rPr/>
        <w:t>资收益。</w:t>
      </w:r>
    </w:p>
    <w:p>
      <w:pPr>
        <w:pStyle w:val="Heading5"/>
        <w:spacing w:line="350" w:lineRule="auto" w:before="30"/>
        <w:ind w:left="574" w:right="817"/>
        <w:jc w:val="left"/>
      </w:pPr>
      <w:r>
        <w:rPr/>
        <w:t>（</w:t>
      </w:r>
      <w:r>
        <w:rPr>
          <w:rFonts w:ascii="宋体" w:hAnsi="宋体" w:cs="宋体" w:eastAsia="宋体" w:hint="default"/>
        </w:rPr>
        <w:t>3</w:t>
      </w:r>
      <w:r>
        <w:rPr/>
        <w:t>）应收款项 </w:t>
      </w:r>
      <w:r>
        <w:rPr>
          <w:spacing w:val="-1"/>
        </w:rPr>
        <w:t>公司对外销售商品或提供劳务形成的应收债权，以及公司持有的其他企业的不包括在活跃市场上有报</w:t>
      </w:r>
    </w:p>
    <w:p>
      <w:pPr>
        <w:pStyle w:val="Heading5"/>
        <w:spacing w:line="348" w:lineRule="auto"/>
        <w:ind w:right="817"/>
        <w:jc w:val="left"/>
      </w:pP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Heading5"/>
        <w:spacing w:line="240" w:lineRule="auto" w:before="31"/>
        <w:ind w:left="574" w:right="817"/>
        <w:jc w:val="left"/>
      </w:pPr>
      <w:r>
        <w:rPr/>
        <w:t>收回或处置时，将取得的价款与该应收款项账面价值之间的差额计入当期损益。</w:t>
      </w:r>
    </w:p>
    <w:p>
      <w:pPr>
        <w:pStyle w:val="Heading5"/>
        <w:spacing w:line="348" w:lineRule="auto" w:before="124"/>
        <w:ind w:left="574" w:right="817"/>
        <w:jc w:val="left"/>
      </w:pPr>
      <w:r>
        <w:rPr/>
        <w:t>（</w:t>
      </w:r>
      <w:r>
        <w:rPr>
          <w:rFonts w:ascii="宋体" w:hAnsi="宋体" w:cs="宋体" w:eastAsia="宋体" w:hint="default"/>
        </w:rPr>
        <w:t>4</w:t>
      </w:r>
      <w:r>
        <w:rPr/>
        <w:t>）可供出售金融资产 </w:t>
      </w:r>
      <w:r>
        <w:rPr>
          <w:spacing w:val="-1"/>
        </w:rPr>
        <w:t>取得时按公允价值（扣除已宣告但尚未发放的现金股利或已到付息期但尚未领取的债券利息）和相关</w:t>
      </w:r>
    </w:p>
    <w:p>
      <w:pPr>
        <w:pStyle w:val="Heading5"/>
        <w:spacing w:line="348" w:lineRule="auto" w:before="32"/>
        <w:ind w:left="574" w:right="817" w:hanging="420"/>
        <w:jc w:val="left"/>
      </w:pPr>
      <w:r>
        <w:rPr/>
        <w:t>交易费用之和作为初始确认金额。 </w:t>
      </w:r>
      <w:r>
        <w:rPr>
          <w:spacing w:val="-1"/>
        </w:rPr>
        <w:t>持有期间将取得的利息或现金股利确认为投资收益。期末以公允价值计量且将公允价值变动计入其他</w:t>
      </w:r>
    </w:p>
    <w:p>
      <w:pPr>
        <w:pStyle w:val="Heading5"/>
        <w:spacing w:line="350" w:lineRule="auto" w:before="30"/>
        <w:ind w:right="817"/>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Heading5"/>
        <w:spacing w:line="348" w:lineRule="auto"/>
        <w:ind w:right="1132" w:firstLine="420"/>
        <w:jc w:val="both"/>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Heading5"/>
        <w:spacing w:line="350" w:lineRule="auto" w:before="31"/>
        <w:ind w:left="574" w:right="817"/>
        <w:jc w:val="left"/>
      </w:pPr>
      <w:r>
        <w:rPr/>
        <w:t>（</w:t>
      </w:r>
      <w:r>
        <w:rPr>
          <w:rFonts w:ascii="宋体" w:hAnsi="宋体" w:cs="宋体" w:eastAsia="宋体" w:hint="default"/>
        </w:rPr>
        <w:t>5</w:t>
      </w:r>
      <w:r>
        <w:rPr/>
        <w:t>）其他金融负债 按其公允价值和相关交易费用之和作为初始确认金额。采用摊余成本进行后续计量。 </w:t>
      </w:r>
      <w:r>
        <w:rPr>
          <w:rFonts w:ascii="宋体" w:hAnsi="宋体" w:cs="宋体" w:eastAsia="宋体" w:hint="default"/>
        </w:rPr>
        <w:t>3</w:t>
      </w:r>
      <w:r>
        <w:rPr/>
        <w:t>、金融资产转移的确认依据和计量方法 </w:t>
      </w:r>
      <w:r>
        <w:rPr>
          <w:spacing w:val="-1"/>
        </w:rPr>
        <w:t>公司发生金融资产转移时，如已将金融资产所有权上几乎所有的风险和报酬转移给转入方，则终止确</w:t>
      </w:r>
    </w:p>
    <w:p>
      <w:pPr>
        <w:pStyle w:val="Heading5"/>
        <w:spacing w:line="348" w:lineRule="auto"/>
        <w:ind w:left="574" w:right="817"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Heading5"/>
        <w:spacing w:line="348" w:lineRule="auto" w:before="31"/>
        <w:ind w:right="817"/>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Heading5"/>
        <w:spacing w:line="240" w:lineRule="auto" w:before="30"/>
        <w:ind w:left="574" w:right="817"/>
        <w:jc w:val="left"/>
      </w:pPr>
      <w:r>
        <w:rPr/>
        <w:t>（</w:t>
      </w:r>
      <w:r>
        <w:rPr>
          <w:rFonts w:ascii="宋体" w:hAnsi="宋体" w:cs="宋体" w:eastAsia="宋体" w:hint="default"/>
        </w:rPr>
        <w:t>1</w:t>
      </w:r>
      <w:r>
        <w:rPr/>
        <w:t>）所转移金融资产的账面价值；</w:t>
      </w:r>
    </w:p>
    <w:p>
      <w:pPr>
        <w:pStyle w:val="Heading5"/>
        <w:spacing w:line="348" w:lineRule="auto" w:before="126"/>
        <w:ind w:right="1141" w:firstLine="420"/>
        <w:jc w:val="both"/>
      </w:pPr>
      <w:r>
        <w:rPr/>
        <w:t>（</w:t>
      </w:r>
      <w:r>
        <w:rPr>
          <w:rFonts w:ascii="宋体" w:hAnsi="宋体" w:cs="宋体" w:eastAsia="宋体" w:hint="default"/>
        </w:rPr>
        <w:t>2</w:t>
      </w:r>
      <w:r>
        <w:rPr/>
        <w:t>）因转移而收到的对价，与原直接计入所有者权益的公允价值变动累计额（涉及转移的金融资产 为可供出售金融资产的情形）之和。</w:t>
      </w:r>
    </w:p>
    <w:p>
      <w:pPr>
        <w:spacing w:after="0" w:line="34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5"/>
        <w:spacing w:line="240" w:lineRule="auto" w:before="31"/>
        <w:ind w:left="574" w:right="817"/>
        <w:jc w:val="left"/>
      </w:pPr>
      <w:r>
        <w:rPr/>
        <w:t>（</w:t>
      </w:r>
      <w:r>
        <w:rPr>
          <w:rFonts w:ascii="宋体" w:hAnsi="宋体" w:cs="宋体" w:eastAsia="宋体" w:hint="default"/>
        </w:rPr>
        <w:t>1</w:t>
      </w:r>
      <w:r>
        <w:rPr/>
        <w:t>）终止确认部分的账面价值；</w:t>
      </w:r>
    </w:p>
    <w:p>
      <w:pPr>
        <w:pStyle w:val="Heading5"/>
        <w:spacing w:line="348" w:lineRule="auto" w:before="125"/>
        <w:ind w:right="1138" w:firstLine="420"/>
        <w:jc w:val="both"/>
      </w:pPr>
      <w:r>
        <w:rPr/>
        <w:t>（</w:t>
      </w:r>
      <w:r>
        <w:rPr>
          <w:rFonts w:ascii="宋体" w:hAnsi="宋体" w:cs="宋体" w:eastAsia="宋体" w:hint="default"/>
        </w:rPr>
        <w:t>2</w:t>
      </w:r>
      <w:r>
        <w:rPr/>
        <w:t>）终止确认部分的对价，与原直接计入所有者权益的公允价值变动累计额中对应终止确认部分的 金额（涉及转移的金融资产为可供出售金融资产的情形）之和。</w:t>
      </w:r>
    </w:p>
    <w:p>
      <w:pPr>
        <w:pStyle w:val="Heading5"/>
        <w:spacing w:line="348" w:lineRule="auto" w:before="31"/>
        <w:ind w:left="574" w:right="817"/>
        <w:jc w:val="left"/>
      </w:pPr>
      <w:r>
        <w:rPr/>
        <w:t>金融资产转移不满足终止确认条件的，继续确认该金融资产，所收到的对价确认为一项金融负债。 </w:t>
      </w:r>
      <w:r>
        <w:rPr>
          <w:rFonts w:ascii="宋体" w:hAnsi="宋体" w:cs="宋体" w:eastAsia="宋体" w:hint="default"/>
        </w:rPr>
        <w:t>4</w:t>
      </w:r>
      <w:r>
        <w:rPr/>
        <w:t>、金融负债终止确认条件 </w:t>
      </w:r>
      <w:r>
        <w:rPr>
          <w:spacing w:val="-1"/>
        </w:rPr>
        <w:t>金融负债的现时义务全部或部分已经解除的，则终止确认该金融负债或其一部分；本公司若与债权人</w:t>
      </w:r>
    </w:p>
    <w:p>
      <w:pPr>
        <w:pStyle w:val="Heading5"/>
        <w:spacing w:line="348" w:lineRule="auto" w:before="31"/>
        <w:ind w:right="1131"/>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Heading5"/>
        <w:spacing w:line="350" w:lineRule="auto" w:before="30"/>
        <w:ind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Heading5"/>
        <w:spacing w:line="350" w:lineRule="auto"/>
        <w:ind w:right="1131" w:firstLine="420"/>
        <w:jc w:val="both"/>
      </w:pPr>
      <w:r>
        <w:rPr>
          <w:spacing w:val="-1"/>
        </w:rPr>
        <w:t>金融负债全部或部分终止确认时，终止确认的金融负债账面价值与支付对价（包括转出的非现金资产</w:t>
      </w:r>
      <w:r>
        <w:rPr/>
        <w:t> </w:t>
      </w:r>
      <w:r>
        <w:rPr>
          <w:spacing w:val="-1"/>
        </w:rPr>
        <w:t>或承担的新金融负债）之间的差额，计入当期损益。本公司若回购部分金融负债的，在回购日按照继续确</w:t>
      </w:r>
      <w:r>
        <w:rPr>
          <w:spacing w:val="-86"/>
        </w:rPr>
        <w:t> </w:t>
      </w:r>
      <w:r>
        <w:rPr>
          <w:spacing w:val="-86"/>
        </w:rPr>
      </w:r>
      <w:r>
        <w:rPr>
          <w:spacing w:val="-1"/>
        </w:rPr>
        <w:t>认部分与终止确认部分的相对公允价值，将该金融负债整体的账面价值进行分配。分配给终止确认部分的</w:t>
      </w:r>
      <w:r>
        <w:rPr>
          <w:spacing w:val="-81"/>
        </w:rPr>
        <w:t> </w:t>
      </w:r>
      <w:r>
        <w:rPr>
          <w:spacing w:val="-81"/>
        </w:rPr>
      </w:r>
      <w:r>
        <w:rPr/>
        <w:t>账面价值与支付的对价（包括转出的非现金资产或承担的新金融负债）之间的差额，计入当期损益。</w:t>
      </w:r>
    </w:p>
    <w:p>
      <w:pPr>
        <w:pStyle w:val="Heading5"/>
        <w:spacing w:line="350" w:lineRule="auto"/>
        <w:ind w:left="574" w:right="817"/>
        <w:jc w:val="left"/>
      </w:pPr>
      <w:r>
        <w:rPr>
          <w:rFonts w:ascii="宋体" w:hAnsi="宋体" w:cs="宋体" w:eastAsia="宋体" w:hint="default"/>
        </w:rPr>
        <w:t>5</w:t>
      </w:r>
      <w:r>
        <w:rPr/>
        <w:t>、金融资产和金融负债的公允价值的确定方法 </w:t>
      </w:r>
      <w:r>
        <w:rPr>
          <w:spacing w:val="-1"/>
        </w:rPr>
        <w:t>存在活跃市场的金融工具，以活跃市场中的报价确定其公允价值。不存在活跃市场的金融工具，采用</w:t>
      </w:r>
    </w:p>
    <w:p>
      <w:pPr>
        <w:pStyle w:val="Heading5"/>
        <w:spacing w:line="350" w:lineRule="auto"/>
        <w:ind w:right="1110"/>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pStyle w:val="Heading5"/>
        <w:spacing w:line="350" w:lineRule="auto"/>
        <w:ind w:left="574" w:right="817"/>
        <w:jc w:val="left"/>
      </w:pPr>
      <w:r>
        <w:rPr>
          <w:rFonts w:ascii="宋体" w:hAnsi="宋体" w:cs="宋体" w:eastAsia="宋体" w:hint="default"/>
        </w:rPr>
        <w:t>6</w:t>
      </w:r>
      <w:r>
        <w:rPr/>
        <w:t>、金融资产（不含应收款项）减值的测试方法及会计处理方法 </w:t>
      </w:r>
      <w:r>
        <w:rPr>
          <w:spacing w:val="-1"/>
        </w:rPr>
        <w:t>除以公允价值计量且其变动计入当期损益的金融资产外，本公司于资产负债表日对金融资产的账面价</w:t>
      </w:r>
    </w:p>
    <w:p>
      <w:pPr>
        <w:pStyle w:val="Heading5"/>
        <w:spacing w:line="240" w:lineRule="auto"/>
        <w:ind w:right="0"/>
        <w:jc w:val="both"/>
      </w:pPr>
      <w:r>
        <w:rPr/>
        <w:t>值进行检查，如果有客观证据表明某项金融资产发生减值的，计提减值准备。</w:t>
      </w:r>
    </w:p>
    <w:p>
      <w:pPr>
        <w:pStyle w:val="Heading5"/>
        <w:spacing w:line="350" w:lineRule="auto" w:before="124"/>
        <w:ind w:left="574" w:right="817"/>
        <w:jc w:val="left"/>
      </w:pPr>
      <w:r>
        <w:rPr/>
        <w:t>（</w:t>
      </w:r>
      <w:r>
        <w:rPr>
          <w:rFonts w:ascii="宋体" w:hAnsi="宋体" w:cs="宋体" w:eastAsia="宋体" w:hint="default"/>
        </w:rPr>
        <w:t>1</w:t>
      </w:r>
      <w:r>
        <w:rPr/>
        <w:t>）可供出售金融资产的减值准备： </w:t>
      </w:r>
      <w:r>
        <w:rPr>
          <w:spacing w:val="-1"/>
        </w:rPr>
        <w:t>期末如果可供出售金融资产的公允价值发生严重下降，或在综合考虑各种相关因素后，预期这种下降</w:t>
      </w:r>
    </w:p>
    <w:p>
      <w:pPr>
        <w:pStyle w:val="Heading5"/>
        <w:spacing w:line="350" w:lineRule="auto"/>
        <w:ind w:right="1131"/>
        <w:jc w:val="both"/>
      </w:pPr>
      <w:r>
        <w:rPr>
          <w:spacing w:val="-1"/>
        </w:rPr>
        <w:t>趋势属于非暂时性的，就认定其已发生减值，将原直接计入所有者权益的公允价值下降形成的累计损失一</w:t>
      </w:r>
      <w:r>
        <w:rPr>
          <w:spacing w:val="-81"/>
        </w:rPr>
        <w:t> </w:t>
      </w:r>
      <w:r>
        <w:rPr>
          <w:spacing w:val="-81"/>
        </w:rPr>
      </w:r>
      <w:r>
        <w:rPr>
          <w:spacing w:val="-1"/>
        </w:rPr>
        <w:t>并转出，确认减值损失。对于已确认减值损失的可供出售债务工具，在随后的会计期间公允价值已上升且</w:t>
      </w:r>
      <w:r>
        <w:rPr>
          <w:spacing w:val="-83"/>
        </w:rPr>
        <w:t> </w:t>
      </w:r>
      <w:r>
        <w:rPr>
          <w:spacing w:val="-83"/>
        </w:rPr>
      </w:r>
      <w:r>
        <w:rPr/>
        <w:t>客观上与确认原减值损失确认后发生的事项有关的，原确认的减值损失予以转回，计入当期损益。</w:t>
      </w:r>
    </w:p>
    <w:p>
      <w:pPr>
        <w:pStyle w:val="Heading5"/>
        <w:spacing w:line="240" w:lineRule="auto"/>
        <w:ind w:left="574" w:right="817"/>
        <w:jc w:val="left"/>
      </w:pPr>
      <w:r>
        <w:rPr/>
        <w:t>可供出售权益工具投资发生的减值损失，不通过损益转回。</w:t>
      </w:r>
    </w:p>
    <w:p>
      <w:pPr>
        <w:pStyle w:val="Heading5"/>
        <w:spacing w:line="350" w:lineRule="auto" w:before="125"/>
        <w:ind w:left="574" w:right="3822"/>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after="0" w:line="35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254" w:right="1032"/>
        <w:jc w:val="left"/>
        <w:rPr>
          <w:b w:val="0"/>
          <w:bCs w:val="0"/>
        </w:rPr>
      </w:pPr>
      <w:bookmarkStart w:name="11、应收票据及应收账款" w:id="205"/>
      <w:bookmarkEnd w:id="20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1032"/>
        <w:jc w:val="left"/>
        <w:rPr>
          <w:b w:val="0"/>
          <w:bCs w:val="0"/>
        </w:rPr>
      </w:pPr>
      <w:bookmarkStart w:name="（1）单项金额重大并单独计提坏账准备的应收款项" w:id="206"/>
      <w:bookmarkEnd w:id="20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万元（含）以上款项，其他应收款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 元（含）以上款项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值的差额计提坏账准备；经单独测试未发生减值的，以账龄 为信用风险特征根据账龄分析法计提坏账准备。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254" w:right="1032"/>
        <w:jc w:val="left"/>
        <w:rPr>
          <w:b w:val="0"/>
          <w:bCs w:val="0"/>
        </w:rPr>
      </w:pPr>
      <w:bookmarkStart w:name="（2）按组合计提坏账准备的应收款项" w:id="207"/>
      <w:bookmarkEnd w:id="207"/>
      <w:r>
        <w:rPr>
          <w:b w:val="0"/>
          <w:bCs w:val="0"/>
        </w:rPr>
      </w: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p>
      <w:pPr>
        <w:spacing w:line="30" w:lineRule="exact"/>
        <w:ind w:left="13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4.3pt;height:1.5pt;mso-position-horizontal-relative:char;mso-position-vertical-relative:line" coordorigin="0,0" coordsize="9886,30">
            <v:group style="position:absolute;left:15;top:15;width:9856;height:2" coordorigin="15,15" coordsize="9856,2">
              <v:shape style="position:absolute;left:15;top:15;width:9856;height:2" coordorigin="15,15" coordsize="9856,0" path="m15,15l9871,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40" w:lineRule="auto" w:before="22"/>
        <w:ind w:left="254" w:right="1032"/>
        <w:jc w:val="left"/>
      </w:pPr>
      <w:r>
        <w:rPr/>
        <w:t>确定组合的依据</w:t>
      </w:r>
    </w:p>
    <w:p>
      <w:pPr>
        <w:spacing w:line="240" w:lineRule="auto" w:before="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968"/>
        <w:gridCol w:w="5888"/>
      </w:tblGrid>
      <w:tr>
        <w:trPr>
          <w:trHeight w:val="476" w:hRule="exact"/>
        </w:trPr>
        <w:tc>
          <w:tcPr>
            <w:tcW w:w="3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46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588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无明显减值迹象的应收款项</w:t>
            </w:r>
            <w:r>
              <w:rPr>
                <w:rFonts w:ascii="宋体" w:hAnsi="宋体" w:cs="宋体" w:eastAsia="宋体" w:hint="default"/>
                <w:spacing w:val="-89"/>
                <w:sz w:val="18"/>
                <w:szCs w:val="18"/>
              </w:rPr>
              <w:t>，</w:t>
            </w:r>
            <w:r>
              <w:rPr>
                <w:rFonts w:ascii="宋体" w:hAnsi="宋体" w:cs="宋体" w:eastAsia="宋体" w:hint="default"/>
                <w:sz w:val="18"/>
                <w:szCs w:val="18"/>
              </w:rPr>
              <w:t>相同账龄的应收款项具有类似信用风险的特</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征</w:t>
            </w:r>
          </w:p>
        </w:tc>
      </w:tr>
      <w:tr>
        <w:trPr>
          <w:trHeight w:val="350" w:hRule="exact"/>
        </w:trPr>
        <w:tc>
          <w:tcPr>
            <w:tcW w:w="3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6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5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受本公司控制的子公司的应收款项不计提坏账准备</w:t>
            </w:r>
          </w:p>
        </w:tc>
      </w:tr>
    </w:tbl>
    <w:p>
      <w:pPr>
        <w:pStyle w:val="BodyText"/>
        <w:spacing w:line="240" w:lineRule="auto" w:before="23"/>
        <w:ind w:left="254" w:right="1032"/>
        <w:jc w:val="left"/>
      </w:pPr>
      <w:r>
        <w:rPr/>
        <w:t>按组合计提坏账准备的计提方法（账龄分析法、余额百分比法、其他方法）</w:t>
      </w:r>
    </w:p>
    <w:p>
      <w:pPr>
        <w:spacing w:line="240" w:lineRule="auto" w:before="11"/>
        <w:rPr>
          <w:rFonts w:ascii="宋体" w:hAnsi="宋体" w:cs="宋体" w:eastAsia="宋体" w:hint="default"/>
          <w:sz w:val="5"/>
          <w:szCs w:val="5"/>
        </w:rPr>
      </w:pPr>
    </w:p>
    <w:p>
      <w:pPr>
        <w:spacing w:line="384"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95pt;height:19.2pt;mso-position-horizontal-relative:char;mso-position-vertical-relative:line" coordorigin="0,0" coordsize="9900,384">
            <v:group style="position:absolute;left:29;top:10;width:3964;height:2" coordorigin="29,10" coordsize="3964,2">
              <v:shape style="position:absolute;left:29;top:10;width:3964;height:2" coordorigin="29,10" coordsize="3964,0" path="m29,10l3993,10e" filled="false" stroked="true" strokeweight=".47998pt" strokecolor="#000000">
                <v:path arrowok="t"/>
              </v:shape>
            </v:group>
            <v:group style="position:absolute;left:4002;top:10;width:5883;height:2" coordorigin="4002,10" coordsize="5883,2">
              <v:shape style="position:absolute;left:4002;top:10;width:5883;height:2" coordorigin="4002,10" coordsize="5883,0" path="m4002,10l9885,10e" filled="false" stroked="true" strokeweight=".47998pt" strokecolor="#000000">
                <v:path arrowok="t"/>
              </v:shape>
            </v:group>
            <v:group style="position:absolute;left:15;top:369;width:3978;height:2" coordorigin="15,369" coordsize="3978,2">
              <v:shape style="position:absolute;left:15;top:369;width:3978;height:2" coordorigin="15,369" coordsize="3978,0" path="m15,369l3993,369e" filled="false" stroked="true" strokeweight="1.5pt" strokecolor="#000000">
                <v:path arrowok="t"/>
              </v:shape>
            </v:group>
            <v:group style="position:absolute;left:3997;top:5;width:2;height:350" coordorigin="3997,5" coordsize="2,350">
              <v:shape style="position:absolute;left:3997;top:5;width:2;height:350" coordorigin="3997,5" coordsize="0,350" path="m3997,5l3997,354e" filled="false" stroked="true" strokeweight=".48pt" strokecolor="#000000">
                <v:path arrowok="t"/>
              </v:shape>
            </v:group>
            <v:group style="position:absolute;left:3993;top:369;width:30;height:2" coordorigin="3993,369" coordsize="30,2">
              <v:shape style="position:absolute;left:3993;top:369;width:30;height:2" coordorigin="3993,369" coordsize="30,0" path="m3993,369l4023,369e" filled="false" stroked="true" strokeweight="1.5pt" strokecolor="#000000">
                <v:path arrowok="t"/>
              </v:shape>
            </v:group>
            <v:group style="position:absolute;left:4023;top:369;width:5863;height:2" coordorigin="4023,369" coordsize="5863,2">
              <v:shape style="position:absolute;left:4023;top:369;width:5863;height:2" coordorigin="4023,369" coordsize="5863,0" path="m4023,369l9885,369e" filled="false" stroked="true" strokeweight="1.5pt" strokecolor="#000000">
                <v:path arrowok="t"/>
              </v:shape>
              <v:shape style="position:absolute;left:497;top:93;width:4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xbxContent>
                </v:textbox>
                <w10:wrap type="none"/>
              </v:shape>
              <v:shape style="position:absolute;left:4105;top:9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账龄分析法</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left="254" w:right="1032"/>
        <w:jc w:val="left"/>
      </w:pPr>
      <w:r>
        <w:rPr/>
        <w:t>组合中，采用账龄分析法计提坏账准备的：</w:t>
      </w:r>
    </w:p>
    <w:p>
      <w:pPr>
        <w:pStyle w:val="BodyText"/>
        <w:spacing w:line="240" w:lineRule="auto" w:before="117"/>
        <w:ind w:left="25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254" w:right="1032"/>
        <w:jc w:val="left"/>
      </w:pPr>
      <w:r>
        <w:rPr/>
        <w:t>组合中，采用余额百分比法计提坏账准备的：</w:t>
      </w:r>
    </w:p>
    <w:p>
      <w:pPr>
        <w:pStyle w:val="BodyText"/>
        <w:spacing w:line="340" w:lineRule="auto" w:before="116"/>
        <w:ind w:left="254"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left="25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254" w:right="1032"/>
        <w:jc w:val="left"/>
        <w:rPr>
          <w:b w:val="0"/>
          <w:bCs w:val="0"/>
        </w:rPr>
      </w:pPr>
      <w:bookmarkStart w:name="（3）单项金额不重大但单独计提坏账准备的应收款项" w:id="208"/>
      <w:bookmarkEnd w:id="20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有客观证据表明可能发生了减值，如债务人出现撤销、破产 或死亡，以其破产财产或遗产清偿后，仍不能收回、现金流 量严重不足等情况的。</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组合中分离出来，单独进行减值测试，确认减值损失。</w:t>
            </w:r>
          </w:p>
        </w:tc>
      </w:tr>
    </w:tbl>
    <w:p>
      <w:pPr>
        <w:spacing w:line="240" w:lineRule="auto" w:before="0"/>
        <w:rPr>
          <w:rFonts w:ascii="宋体" w:hAnsi="宋体" w:cs="宋体" w:eastAsia="宋体" w:hint="default"/>
          <w:b/>
          <w:bCs/>
          <w:sz w:val="9"/>
          <w:szCs w:val="9"/>
        </w:rPr>
      </w:pPr>
    </w:p>
    <w:p>
      <w:pPr>
        <w:pStyle w:val="Heading5"/>
        <w:spacing w:line="240" w:lineRule="auto" w:before="35"/>
        <w:ind w:left="674" w:right="1032"/>
        <w:jc w:val="left"/>
      </w:pPr>
      <w:r>
        <w:rPr/>
        <w:t>对于单独测试后未减值的内部应收款项（公司与控股子公司之间的往来，包括单项金额重大的和非重</w:t>
      </w:r>
    </w:p>
    <w:p>
      <w:pPr>
        <w:spacing w:after="0" w:line="240" w:lineRule="auto"/>
        <w:jc w:val="left"/>
        <w:sectPr>
          <w:pgSz w:w="11910" w:h="16840"/>
          <w:pgMar w:header="877" w:footer="979" w:top="1100" w:bottom="1160" w:left="8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240" w:lineRule="auto" w:before="0"/>
        <w:ind w:right="817"/>
        <w:jc w:val="left"/>
      </w:pPr>
      <w:r>
        <w:rPr/>
        <w:t>大的），不计提坏账准备。</w:t>
      </w:r>
    </w:p>
    <w:p>
      <w:pPr>
        <w:spacing w:line="240" w:lineRule="auto" w:before="4"/>
        <w:rPr>
          <w:rFonts w:ascii="宋体" w:hAnsi="宋体" w:cs="宋体" w:eastAsia="宋体" w:hint="default"/>
          <w:sz w:val="24"/>
          <w:szCs w:val="24"/>
        </w:rPr>
      </w:pPr>
    </w:p>
    <w:p>
      <w:pPr>
        <w:pStyle w:val="Heading4"/>
        <w:spacing w:line="240" w:lineRule="auto"/>
        <w:ind w:right="817"/>
        <w:jc w:val="left"/>
        <w:rPr>
          <w:b w:val="0"/>
          <w:bCs w:val="0"/>
        </w:rPr>
      </w:pPr>
      <w:bookmarkStart w:name="12、存货" w:id="209"/>
      <w:bookmarkEnd w:id="20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5"/>
        <w:spacing w:line="350" w:lineRule="auto" w:before="89"/>
        <w:ind w:left="574" w:right="1017"/>
        <w:jc w:val="left"/>
      </w:pPr>
      <w:r>
        <w:rPr>
          <w:rFonts w:ascii="宋体" w:hAnsi="宋体" w:cs="宋体" w:eastAsia="宋体" w:hint="default"/>
        </w:rPr>
        <w:t>1.</w:t>
      </w:r>
      <w:r>
        <w:rPr/>
        <w:t>存货的分类 </w:t>
      </w:r>
      <w:r>
        <w:rPr>
          <w:spacing w:val="-3"/>
        </w:rPr>
        <w:t>存货分类为：原材料、包装物、低值易耗品、在产品、库存商品、发出商品、委托加工物资等七大类。</w:t>
      </w:r>
      <w:r>
        <w:rPr>
          <w:spacing w:val="-103"/>
        </w:rPr>
        <w:t> </w:t>
      </w:r>
      <w:r>
        <w:rPr>
          <w:spacing w:val="-103"/>
        </w:rPr>
      </w:r>
      <w:r>
        <w:rPr>
          <w:rFonts w:ascii="宋体" w:hAnsi="宋体" w:cs="宋体" w:eastAsia="宋体" w:hint="default"/>
        </w:rPr>
        <w:t>2.</w:t>
      </w:r>
      <w:r>
        <w:rPr/>
        <w:t>发出存货的计价方法</w:t>
      </w:r>
    </w:p>
    <w:p>
      <w:pPr>
        <w:pStyle w:val="Heading5"/>
        <w:spacing w:line="348" w:lineRule="auto"/>
        <w:ind w:left="574" w:right="3822"/>
        <w:jc w:val="left"/>
      </w:pPr>
      <w:r>
        <w:rPr/>
        <w:t>存货取得按照成本进行初始计量；存货发出按照加权平均法进行核算。 </w:t>
      </w:r>
      <w:r>
        <w:rPr>
          <w:rFonts w:ascii="宋体" w:hAnsi="宋体" w:cs="宋体" w:eastAsia="宋体" w:hint="default"/>
        </w:rPr>
        <w:t>3.</w:t>
      </w:r>
      <w:r>
        <w:rPr>
          <w:rFonts w:ascii="宋体" w:hAnsi="宋体" w:cs="宋体" w:eastAsia="宋体" w:hint="default"/>
          <w:spacing w:val="-2"/>
        </w:rPr>
        <w:t> </w:t>
      </w:r>
      <w:r>
        <w:rPr/>
        <w:t>不同类别存货可变现净值的确定依据</w:t>
      </w:r>
    </w:p>
    <w:p>
      <w:pPr>
        <w:pStyle w:val="Heading5"/>
        <w:spacing w:line="350" w:lineRule="auto" w:before="31"/>
        <w:ind w:right="1131" w:firstLine="420"/>
        <w:jc w:val="both"/>
      </w:pPr>
      <w:r>
        <w:rPr>
          <w:spacing w:val="-1"/>
        </w:rPr>
        <w:t>产成品、库存商品和用于出售的材料等直接用于出售的商品存货，在正常生产经营过程中，以该存货</w:t>
      </w:r>
      <w:r>
        <w:rPr/>
        <w:t> </w:t>
      </w: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spacing w:val="-1"/>
        </w:rPr>
        <w:t>销售价格为基础计算。期末按照单个存货项目计提存货跌价准备；但对于数量繁多、单价较低的存货，按</w:t>
      </w:r>
      <w:r>
        <w:rPr>
          <w:spacing w:val="-85"/>
        </w:rPr>
        <w:t> </w:t>
      </w:r>
      <w:r>
        <w:rPr>
          <w:spacing w:val="-85"/>
        </w:rPr>
      </w:r>
      <w:r>
        <w:rPr>
          <w:spacing w:val="-1"/>
        </w:rPr>
        <w:t>照存货类别计提存货跌价准备；与在同一地区生产和销售的产品系列相关、具有相同或类似最终用途或目</w:t>
      </w:r>
      <w:r>
        <w:rPr>
          <w:spacing w:val="-81"/>
        </w:rPr>
        <w:t> </w:t>
      </w:r>
      <w:r>
        <w:rPr>
          <w:spacing w:val="-81"/>
        </w:rPr>
      </w:r>
      <w:r>
        <w:rPr/>
        <w:t>的，且难以与其他项目分开计量的存货，则合并计提存货跌价准备。</w:t>
      </w:r>
    </w:p>
    <w:p>
      <w:pPr>
        <w:pStyle w:val="Heading5"/>
        <w:spacing w:line="350" w:lineRule="auto"/>
        <w:ind w:right="1132" w:firstLine="420"/>
        <w:jc w:val="both"/>
      </w:pPr>
      <w:r>
        <w:rPr>
          <w:spacing w:val="-1"/>
        </w:rPr>
        <w:t>除有明确证据表明资产负债表日市场价格异常外，存货项目的可变现净值以资产负债表日市场价格为</w:t>
      </w:r>
      <w:r>
        <w:rPr/>
        <w:t> 基础确定。</w:t>
      </w:r>
    </w:p>
    <w:p>
      <w:pPr>
        <w:pStyle w:val="Heading5"/>
        <w:spacing w:line="348" w:lineRule="auto"/>
        <w:ind w:left="574" w:right="3822"/>
        <w:jc w:val="left"/>
      </w:pPr>
      <w:r>
        <w:rPr/>
        <w:t>本期期末存货项目的可变现净值以资产负债表日市场价格为基础确定。 </w:t>
      </w:r>
      <w:r>
        <w:rPr>
          <w:rFonts w:ascii="宋体" w:hAnsi="宋体" w:cs="宋体" w:eastAsia="宋体" w:hint="default"/>
        </w:rPr>
        <w:t>4.</w:t>
      </w:r>
      <w:r>
        <w:rPr/>
        <w:t>存货的盘存制度</w:t>
      </w:r>
    </w:p>
    <w:p>
      <w:pPr>
        <w:pStyle w:val="Heading5"/>
        <w:spacing w:line="348" w:lineRule="auto" w:before="31"/>
        <w:ind w:left="574" w:right="6762"/>
        <w:jc w:val="left"/>
      </w:pPr>
      <w:r>
        <w:rPr/>
        <w:t>本公司的存货盘存制度为永续盘存制。 </w:t>
      </w:r>
      <w:r>
        <w:rPr>
          <w:rFonts w:ascii="宋体" w:hAnsi="宋体" w:cs="宋体" w:eastAsia="宋体" w:hint="default"/>
        </w:rPr>
        <w:t>5.</w:t>
      </w:r>
      <w:r>
        <w:rPr/>
        <w:t>低值易耗品和包装物的摊销方法</w:t>
      </w:r>
    </w:p>
    <w:p>
      <w:pPr>
        <w:pStyle w:val="Heading5"/>
        <w:spacing w:line="240" w:lineRule="auto" w:before="30"/>
        <w:ind w:left="574" w:right="817"/>
        <w:jc w:val="left"/>
      </w:pPr>
      <w:r>
        <w:rPr/>
        <w:t>（</w:t>
      </w:r>
      <w:r>
        <w:rPr>
          <w:rFonts w:ascii="宋体" w:hAnsi="宋体" w:cs="宋体" w:eastAsia="宋体" w:hint="default"/>
        </w:rPr>
        <w:t>1</w:t>
      </w:r>
      <w:r>
        <w:rPr/>
        <w:t>）低值易耗品采用一次转销法；</w:t>
      </w:r>
    </w:p>
    <w:p>
      <w:pPr>
        <w:pStyle w:val="Heading5"/>
        <w:spacing w:line="240" w:lineRule="auto" w:before="126"/>
        <w:ind w:left="574" w:right="817"/>
        <w:jc w:val="left"/>
      </w:pPr>
      <w:r>
        <w:rPr/>
        <w:t>（</w:t>
      </w:r>
      <w:r>
        <w:rPr>
          <w:rFonts w:ascii="宋体" w:hAnsi="宋体" w:cs="宋体" w:eastAsia="宋体" w:hint="default"/>
        </w:rPr>
        <w:t>2</w:t>
      </w:r>
      <w:r>
        <w:rPr/>
        <w:t>）包装物采用一次转销法。</w:t>
      </w:r>
    </w:p>
    <w:p>
      <w:pPr>
        <w:spacing w:line="702" w:lineRule="exact" w:before="19"/>
        <w:ind w:left="574" w:right="3612" w:hanging="420"/>
        <w:jc w:val="left"/>
        <w:rPr>
          <w:rFonts w:ascii="宋体" w:hAnsi="宋体" w:cs="宋体" w:eastAsia="宋体" w:hint="default"/>
          <w:sz w:val="21"/>
          <w:szCs w:val="21"/>
        </w:rPr>
      </w:pPr>
      <w:bookmarkStart w:name="13、持有待售资产" w:id="210"/>
      <w:bookmarkEnd w:id="21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bookmarkStart w:name="本公司将同时满足下列条件的非流动资产或处置组划分为持有待售类别：" w:id="211"/>
      <w:bookmarkEnd w:id="211"/>
      <w:r>
        <w:rPr>
          <w:rFonts w:ascii="宋体" w:hAnsi="宋体" w:cs="宋体" w:eastAsia="宋体" w:hint="default"/>
          <w:b/>
          <w:bCs/>
          <w:w w:val="99"/>
          <w:sz w:val="21"/>
          <w:szCs w:val="21"/>
        </w:rPr>
      </w:r>
      <w:r>
        <w:rPr>
          <w:rFonts w:ascii="宋体" w:hAnsi="宋体" w:cs="宋体" w:eastAsia="宋体" w:hint="default"/>
          <w:sz w:val="21"/>
          <w:szCs w:val="21"/>
        </w:rPr>
        <w:t>本公司将同时满足下列条件的非流动资产或处置组划分为持有待售类别：</w:t>
      </w:r>
    </w:p>
    <w:p>
      <w:pPr>
        <w:pStyle w:val="Heading5"/>
        <w:spacing w:line="240" w:lineRule="auto" w:before="14"/>
        <w:ind w:left="574" w:right="817"/>
        <w:jc w:val="left"/>
      </w:pPr>
      <w:bookmarkStart w:name="（1）根据类似交易中出售此类资产或处置组的惯例，在当前状况下即可立即出售；" w:id="212"/>
      <w:bookmarkEnd w:id="212"/>
      <w:r>
        <w:rPr/>
      </w:r>
      <w:r>
        <w:rPr/>
        <w:t>（</w:t>
      </w:r>
      <w:r>
        <w:rPr>
          <w:rFonts w:ascii="宋体" w:hAnsi="宋体" w:cs="宋体" w:eastAsia="宋体" w:hint="default"/>
        </w:rPr>
        <w:t>1</w:t>
      </w:r>
      <w:r>
        <w:rPr/>
        <w:t>）根据类似交易中出售此类资产或处置组的惯例，在当前状况下即可立即出售；</w:t>
      </w:r>
    </w:p>
    <w:p>
      <w:pPr>
        <w:pStyle w:val="Heading5"/>
        <w:spacing w:line="350" w:lineRule="auto" w:before="126"/>
        <w:ind w:left="574" w:right="1092"/>
        <w:jc w:val="left"/>
      </w:pPr>
      <w:bookmarkStart w:name="（2）出售极可能发生，即本公司已经就一项出售计划作出决议且获得确定的购买承诺，预" w:id="213"/>
      <w:bookmarkEnd w:id="213"/>
      <w:r>
        <w:rPr/>
      </w:r>
      <w:r>
        <w:rPr/>
        <w:t>（</w:t>
      </w:r>
      <w:r>
        <w:rPr>
          <w:rFonts w:ascii="宋体" w:hAnsi="宋体" w:cs="宋体" w:eastAsia="宋体" w:hint="default"/>
        </w:rPr>
        <w:t>2</w:t>
      </w:r>
      <w:r>
        <w:rPr/>
        <w:t>）出售极可能发生，即本公司已经就一项出售计划作出决议且获得确定的购买承诺，预计出售将</w:t>
      </w:r>
      <w:r>
        <w:rPr>
          <w:spacing w:val="-37"/>
        </w:rPr>
        <w:t> </w:t>
      </w:r>
      <w:r>
        <w:rPr>
          <w:spacing w:val="-37"/>
        </w:rPr>
      </w:r>
      <w:r>
        <w:rPr/>
        <w:t>在一年内完成。有关规定要求本公司相关权力机构或者监管部门批准后方可出售的，已经获得批准。</w:t>
      </w:r>
    </w:p>
    <w:p>
      <w:pPr>
        <w:spacing w:after="0" w:line="35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bookmarkStart w:name="14、长期股权投资" w:id="214"/>
      <w:bookmarkEnd w:id="21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1"/>
          <w:szCs w:val="31"/>
        </w:rPr>
      </w:pPr>
    </w:p>
    <w:p>
      <w:pPr>
        <w:pStyle w:val="Heading5"/>
        <w:spacing w:line="348" w:lineRule="auto" w:before="0"/>
        <w:ind w:left="574" w:right="817"/>
        <w:jc w:val="left"/>
      </w:pPr>
      <w:r>
        <w:rPr>
          <w:rFonts w:ascii="宋体" w:hAnsi="宋体" w:cs="宋体" w:eastAsia="宋体" w:hint="default"/>
        </w:rPr>
        <w:t>1</w:t>
      </w:r>
      <w:r>
        <w:rPr/>
        <w:t>、共同控制、重大影响的判断标准 </w:t>
      </w:r>
      <w:r>
        <w:rPr>
          <w:spacing w:val="-1"/>
        </w:rPr>
        <w:t>共同控制，是指按照相关约定对某项安排所共有的控制，并且该安排的相关活动必须经过分享控制权</w:t>
      </w:r>
    </w:p>
    <w:p>
      <w:pPr>
        <w:pStyle w:val="Heading5"/>
        <w:spacing w:line="348" w:lineRule="auto" w:before="32"/>
        <w:ind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Heading5"/>
        <w:spacing w:line="350" w:lineRule="auto" w:before="30"/>
        <w:ind w:right="113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pStyle w:val="Heading5"/>
        <w:spacing w:line="240" w:lineRule="auto"/>
        <w:ind w:left="574" w:right="817"/>
        <w:jc w:val="left"/>
      </w:pPr>
      <w:r>
        <w:rPr>
          <w:rFonts w:ascii="宋体" w:hAnsi="宋体" w:cs="宋体" w:eastAsia="宋体" w:hint="default"/>
        </w:rPr>
        <w:t>2</w:t>
      </w:r>
      <w:r>
        <w:rPr/>
        <w:t>、初始投资成本的确定</w:t>
      </w:r>
    </w:p>
    <w:p>
      <w:pPr>
        <w:pStyle w:val="Heading5"/>
        <w:spacing w:line="350" w:lineRule="auto" w:before="124"/>
        <w:ind w:left="574" w:right="817"/>
        <w:jc w:val="left"/>
      </w:pPr>
      <w:r>
        <w:rPr/>
        <w:t>（</w:t>
      </w:r>
      <w:r>
        <w:rPr>
          <w:rFonts w:ascii="宋体" w:hAnsi="宋体" w:cs="宋体" w:eastAsia="宋体" w:hint="default"/>
        </w:rPr>
        <w:t>1</w:t>
      </w:r>
      <w:r>
        <w:rPr/>
        <w:t>）企业合并形成的长期股权投资 </w:t>
      </w:r>
      <w:r>
        <w:rPr>
          <w:spacing w:val="-1"/>
        </w:rPr>
        <w:t>同一控制下的企业合并：公司以支付现金、转让非现金资产或承担债务方式以及以发行权益性证券作</w:t>
      </w:r>
    </w:p>
    <w:p>
      <w:pPr>
        <w:pStyle w:val="Heading5"/>
        <w:spacing w:line="350" w:lineRule="auto"/>
        <w:ind w:right="1130"/>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0"/>
        </w:rPr>
        <w:t> </w:t>
      </w:r>
      <w:r>
        <w:rPr>
          <w:spacing w:val="-80"/>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Heading5"/>
        <w:spacing w:line="350" w:lineRule="auto"/>
        <w:ind w:right="113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Heading5"/>
        <w:spacing w:line="350" w:lineRule="auto"/>
        <w:ind w:left="574" w:right="817"/>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Heading5"/>
        <w:spacing w:line="350" w:lineRule="auto"/>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Heading5"/>
        <w:spacing w:line="350" w:lineRule="auto"/>
        <w:ind w:left="574" w:right="2982"/>
        <w:jc w:val="left"/>
      </w:pPr>
      <w:r>
        <w:rPr/>
        <w:t>通过债务重组取得的长期股权投资，其初始投资成本按照公允价值为基础确定。 </w:t>
      </w:r>
      <w:r>
        <w:rPr>
          <w:rFonts w:ascii="宋体" w:hAnsi="宋体" w:cs="宋体" w:eastAsia="宋体" w:hint="default"/>
        </w:rPr>
        <w:t>3</w:t>
      </w:r>
      <w:r>
        <w:rPr/>
        <w:t>、后续计量及损益确认方法</w:t>
      </w:r>
    </w:p>
    <w:p>
      <w:pPr>
        <w:pStyle w:val="Heading5"/>
        <w:spacing w:line="348" w:lineRule="auto"/>
        <w:ind w:left="574" w:right="817"/>
        <w:jc w:val="left"/>
      </w:pPr>
      <w:r>
        <w:rPr/>
        <w:t>（</w:t>
      </w:r>
      <w:r>
        <w:rPr>
          <w:rFonts w:ascii="宋体" w:hAnsi="宋体" w:cs="宋体" w:eastAsia="宋体" w:hint="default"/>
        </w:rPr>
        <w:t>1</w:t>
      </w:r>
      <w:r>
        <w:rPr/>
        <w:t>）成本法核算的长期股权投资 </w:t>
      </w:r>
      <w:r>
        <w:rPr>
          <w:spacing w:val="-1"/>
        </w:rPr>
        <w:t>公司对子公司的长期股权投资，采用成本法核算。除取得投资时实际支付的价款或对价中包含的已宣</w:t>
      </w:r>
    </w:p>
    <w:p>
      <w:pPr>
        <w:pStyle w:val="Heading5"/>
        <w:spacing w:line="350" w:lineRule="auto" w:before="31"/>
        <w:ind w:right="1132"/>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Heading5"/>
        <w:spacing w:line="350" w:lineRule="auto"/>
        <w:ind w:left="574" w:right="817"/>
        <w:jc w:val="left"/>
      </w:pPr>
      <w:r>
        <w:rPr/>
        <w:t>（</w:t>
      </w:r>
      <w:r>
        <w:rPr>
          <w:rFonts w:ascii="宋体" w:hAnsi="宋体" w:cs="宋体" w:eastAsia="宋体" w:hint="default"/>
        </w:rPr>
        <w:t>2</w:t>
      </w:r>
      <w:r>
        <w:rPr/>
        <w:t>）权益法核算的长期股权投资 </w:t>
      </w:r>
      <w:r>
        <w:rPr>
          <w:spacing w:val="-1"/>
        </w:rPr>
        <w:t>对联营企业和合营企业的长期股权投资，采用权益法核算。初始投资成本大于投资时应享有被投资单</w:t>
      </w:r>
    </w:p>
    <w:p>
      <w:pPr>
        <w:spacing w:after="0" w:line="35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right="817"/>
        <w:jc w:val="left"/>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Heading5"/>
        <w:spacing w:line="350" w:lineRule="auto" w:before="31"/>
        <w:ind w:right="1023" w:firstLine="420"/>
        <w:jc w:val="left"/>
      </w:pPr>
      <w:r>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有者权益的其他变动，调整长期股权投资的账面价值并计入所有者权益。在确认应享有被投资单位净损益 </w:t>
      </w:r>
      <w:r>
        <w:rPr>
          <w:spacing w:val="-3"/>
        </w:rPr>
        <w:t>的份额时，以取得投资时被投资单位可辨认净资产的公允价值为基础，并按照公司的会计政策及会计期间，</w:t>
      </w:r>
      <w:r>
        <w:rPr>
          <w:spacing w:val="-92"/>
        </w:rPr>
        <w:t> </w:t>
      </w:r>
      <w:r>
        <w:rPr>
          <w:spacing w:val="-92"/>
        </w:rPr>
      </w:r>
      <w:r>
        <w:rPr/>
        <w:t>对被投资单位的净利润进行调整后确认。在持有投资期间，被投资单位编制合并财务报表的，以合并财务</w:t>
      </w:r>
      <w:r>
        <w:rPr/>
        <w:t> 报表中的净利润、其他综合收益和其他所有者权益变动中归属于被投资单位的金额为基础进行核算。</w:t>
      </w:r>
    </w:p>
    <w:p>
      <w:pPr>
        <w:pStyle w:val="Heading5"/>
        <w:spacing w:line="350" w:lineRule="auto"/>
        <w:ind w:right="1130" w:firstLine="420"/>
        <w:jc w:val="both"/>
      </w:pPr>
      <w:r>
        <w:rPr>
          <w:spacing w:val="3"/>
        </w:rPr>
        <w:t>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spacing w:val="-1"/>
        </w:rPr>
        <w:t>附注“三、（五）同一控制下和非同一控制下企业合并的会计处理方法”和“三、（六）合并财务报表的</w:t>
      </w:r>
      <w:r>
        <w:rPr>
          <w:spacing w:val="-83"/>
        </w:rPr>
        <w:t> </w:t>
      </w:r>
      <w:r>
        <w:rPr>
          <w:spacing w:val="-83"/>
        </w:rPr>
      </w:r>
      <w:r>
        <w:rPr/>
        <w:t>编制方法”中披露的相关政策进行会计处理。</w:t>
      </w:r>
    </w:p>
    <w:p>
      <w:pPr>
        <w:pStyle w:val="Heading5"/>
        <w:spacing w:line="350" w:lineRule="auto" w:before="29"/>
        <w:ind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Heading5"/>
        <w:spacing w:line="348" w:lineRule="auto"/>
        <w:ind w:left="574" w:right="3612"/>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Heading5"/>
        <w:spacing w:line="350" w:lineRule="auto" w:before="31"/>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Heading5"/>
        <w:spacing w:line="350" w:lineRule="auto"/>
        <w:ind w:right="113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Heading5"/>
        <w:spacing w:line="350" w:lineRule="auto" w:before="29"/>
        <w:ind w:right="1131" w:firstLine="420"/>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r>
        <w:rPr>
          <w:spacing w:val="-83"/>
        </w:rPr>
        <w:t> </w:t>
      </w:r>
      <w:r>
        <w:rPr>
          <w:spacing w:val="-83"/>
        </w:rPr>
      </w: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spacing w:after="0" w:line="350"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50" w:lineRule="auto" w:before="35"/>
        <w:ind w:right="1131"/>
        <w:jc w:val="both"/>
      </w:pPr>
      <w:r>
        <w:rPr>
          <w:spacing w:val="-1"/>
        </w:rPr>
        <w:t>处置的股权是因追加投资等原因通过企业合并取得的，在编制个别财务报表时，处置后的剩余股权采用成</w:t>
      </w:r>
      <w:r>
        <w:rPr>
          <w:spacing w:val="-81"/>
        </w:rPr>
        <w:t> </w:t>
      </w:r>
      <w:r>
        <w:rPr>
          <w:spacing w:val="-81"/>
        </w:rPr>
      </w:r>
      <w:r>
        <w:rPr>
          <w:spacing w:val="-1"/>
        </w:rPr>
        <w:t>本法或权益法核算的，购买日之前持有的股权投资因采用权益法核算而确认的其他综合收益和其他所有者</w:t>
      </w:r>
      <w:r>
        <w:rPr>
          <w:spacing w:val="-81"/>
        </w:rPr>
        <w:t> </w:t>
      </w:r>
      <w:r>
        <w:rPr>
          <w:spacing w:val="-81"/>
        </w:rPr>
      </w:r>
      <w:r>
        <w:rPr>
          <w:spacing w:val="-1"/>
        </w:rPr>
        <w:t>权益按比例结转；处置后的剩余股权改按金融工具确认和计量准则进行会计处理的，其他综合收益和其他</w:t>
      </w:r>
      <w:r>
        <w:rPr>
          <w:spacing w:val="-81"/>
        </w:rPr>
        <w:t> </w:t>
      </w:r>
      <w:r>
        <w:rPr>
          <w:spacing w:val="-81"/>
        </w:rPr>
      </w:r>
      <w:r>
        <w:rPr/>
        <w:t>所有者权益全部结转。</w:t>
      </w:r>
    </w:p>
    <w:p>
      <w:pPr>
        <w:spacing w:line="240" w:lineRule="auto" w:before="4"/>
        <w:rPr>
          <w:rFonts w:ascii="宋体" w:hAnsi="宋体" w:cs="宋体" w:eastAsia="宋体" w:hint="default"/>
          <w:sz w:val="18"/>
          <w:szCs w:val="18"/>
        </w:rPr>
      </w:pPr>
    </w:p>
    <w:p>
      <w:pPr>
        <w:pStyle w:val="Heading4"/>
        <w:spacing w:line="240" w:lineRule="auto"/>
        <w:ind w:right="817"/>
        <w:jc w:val="left"/>
        <w:rPr>
          <w:b w:val="0"/>
          <w:bCs w:val="0"/>
        </w:rPr>
      </w:pPr>
      <w:bookmarkStart w:name="15、投资性房地产" w:id="215"/>
      <w:bookmarkEnd w:id="21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Heading5"/>
        <w:spacing w:line="350" w:lineRule="auto" w:before="89"/>
        <w:ind w:right="1110"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Heading5"/>
        <w:spacing w:line="350" w:lineRule="auto"/>
        <w:ind w:right="1132"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line="240" w:lineRule="auto" w:before="4"/>
        <w:rPr>
          <w:rFonts w:ascii="宋体" w:hAnsi="宋体" w:cs="宋体" w:eastAsia="宋体" w:hint="default"/>
          <w:sz w:val="18"/>
          <w:szCs w:val="18"/>
        </w:rPr>
      </w:pPr>
    </w:p>
    <w:p>
      <w:pPr>
        <w:pStyle w:val="Heading4"/>
        <w:spacing w:line="240" w:lineRule="auto"/>
        <w:ind w:right="817"/>
        <w:jc w:val="left"/>
        <w:rPr>
          <w:b w:val="0"/>
          <w:bCs w:val="0"/>
        </w:rPr>
      </w:pPr>
      <w:bookmarkStart w:name="16、固定资产" w:id="216"/>
      <w:bookmarkEnd w:id="21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确认条件" w:id="217"/>
      <w:bookmarkEnd w:id="21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1"/>
          <w:szCs w:val="31"/>
        </w:rPr>
      </w:pPr>
    </w:p>
    <w:p>
      <w:pPr>
        <w:pStyle w:val="Heading5"/>
        <w:spacing w:line="350" w:lineRule="auto" w:before="0"/>
        <w:ind w:right="1131" w:firstLine="420"/>
        <w:jc w:val="both"/>
      </w:pPr>
      <w:r>
        <w:rPr>
          <w:spacing w:val="-1"/>
        </w:rPr>
        <w:t>固定资产指为生产商品、提供劳务、出租或经营管理而持有，并且使用寿命超过一个会计年度的有形</w:t>
      </w:r>
      <w:r>
        <w:rPr/>
        <w:t> 资产。固定资产在同时满足下列条件时予以确认：</w:t>
      </w:r>
    </w:p>
    <w:p>
      <w:pPr>
        <w:pStyle w:val="Heading5"/>
        <w:spacing w:line="240" w:lineRule="auto"/>
        <w:ind w:left="574" w:right="817"/>
        <w:jc w:val="left"/>
      </w:pPr>
      <w:r>
        <w:rPr/>
        <w:t>（</w:t>
      </w:r>
      <w:r>
        <w:rPr>
          <w:rFonts w:ascii="宋体" w:hAnsi="宋体" w:cs="宋体" w:eastAsia="宋体" w:hint="default"/>
        </w:rPr>
        <w:t>1</w:t>
      </w:r>
      <w:r>
        <w:rPr/>
        <w:t>）与该固定资产有关的经济利益很可能流入企业；</w:t>
      </w:r>
    </w:p>
    <w:p>
      <w:pPr>
        <w:pStyle w:val="Heading5"/>
        <w:spacing w:line="240" w:lineRule="auto" w:before="124"/>
        <w:ind w:left="574" w:right="817"/>
        <w:jc w:val="left"/>
      </w:pPr>
      <w:r>
        <w:rPr/>
        <w:t>（</w:t>
      </w:r>
      <w:r>
        <w:rPr>
          <w:rFonts w:ascii="宋体" w:hAnsi="宋体" w:cs="宋体" w:eastAsia="宋体" w:hint="default"/>
        </w:rPr>
        <w:t>2</w:t>
      </w:r>
      <w:r>
        <w:rPr/>
        <w:t>）该固定资产的成本能够可靠地计量。</w:t>
      </w:r>
    </w:p>
    <w:p>
      <w:pPr>
        <w:spacing w:line="240" w:lineRule="auto" w:before="10"/>
        <w:rPr>
          <w:rFonts w:ascii="宋体" w:hAnsi="宋体" w:cs="宋体" w:eastAsia="宋体" w:hint="default"/>
          <w:sz w:val="25"/>
          <w:szCs w:val="25"/>
        </w:rPr>
      </w:pPr>
    </w:p>
    <w:p>
      <w:pPr>
        <w:pStyle w:val="Heading4"/>
        <w:spacing w:line="240" w:lineRule="auto"/>
        <w:ind w:right="817"/>
        <w:jc w:val="left"/>
        <w:rPr>
          <w:b w:val="0"/>
          <w:bCs w:val="0"/>
        </w:rPr>
      </w:pPr>
      <w:bookmarkStart w:name="（2）折旧方法" w:id="218"/>
      <w:bookmarkEnd w:id="21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Heading5"/>
        <w:spacing w:line="350" w:lineRule="auto" w:before="75"/>
        <w:ind w:right="1131" w:firstLine="420"/>
        <w:jc w:val="both"/>
      </w:pPr>
      <w:r>
        <w:rPr>
          <w:spacing w:val="-1"/>
        </w:rPr>
        <w:t>固定资产折旧采用年限平均法分类计提，根据固定资产类别、预计使用寿命和预计净残值率确定折旧</w:t>
      </w:r>
      <w:r>
        <w:rPr/>
        <w:t> </w:t>
      </w:r>
      <w:r>
        <w:rPr>
          <w:spacing w:val="-1"/>
        </w:rPr>
        <w:t>率。如固定资产各组成部分的使用寿命不同或者以不同方式为企业提供经济利益，则选择不同折旧率或折</w:t>
      </w:r>
      <w:r>
        <w:rPr>
          <w:spacing w:val="-81"/>
        </w:rPr>
        <w:t> </w:t>
      </w:r>
      <w:r>
        <w:rPr>
          <w:spacing w:val="-81"/>
        </w:rPr>
      </w:r>
      <w:r>
        <w:rPr>
          <w:spacing w:val="-1"/>
        </w:rPr>
        <w:t>旧方法，分别计提折旧。融资租赁方式租入的固定资产，能合理确定租赁期届满时将会取得租赁资产所有</w:t>
      </w:r>
      <w:r>
        <w:rPr>
          <w:spacing w:val="-83"/>
        </w:rPr>
        <w:t> </w:t>
      </w:r>
      <w:r>
        <w:rPr>
          <w:spacing w:val="-83"/>
        </w:rPr>
      </w:r>
      <w:r>
        <w:rPr>
          <w:spacing w:val="-1"/>
        </w:rPr>
        <w:t>权的，在租赁资产尚可使用年限内计提折旧；无法合理确定租赁期届满时能够取得租赁资产所有权的，在</w:t>
      </w:r>
      <w:r>
        <w:rPr>
          <w:spacing w:val="-83"/>
        </w:rPr>
        <w:t> </w:t>
      </w:r>
      <w:r>
        <w:rPr>
          <w:spacing w:val="-83"/>
        </w:rPr>
      </w:r>
      <w:r>
        <w:rPr/>
        <w:t>租赁期与租赁资产尚可使用年限两者中较短的期间内计提折旧。</w:t>
      </w:r>
    </w:p>
    <w:p>
      <w:pPr>
        <w:spacing w:after="0" w:line="35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817"/>
        <w:jc w:val="left"/>
        <w:rPr>
          <w:b w:val="0"/>
          <w:bCs w:val="0"/>
        </w:rPr>
      </w:pPr>
      <w:bookmarkStart w:name="（3）融资租入固定资产的认定依据、计价和折旧方法" w:id="219"/>
      <w:bookmarkEnd w:id="21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1"/>
          <w:szCs w:val="31"/>
        </w:rPr>
      </w:pPr>
    </w:p>
    <w:p>
      <w:pPr>
        <w:pStyle w:val="Heading5"/>
        <w:spacing w:line="240" w:lineRule="auto" w:before="0"/>
        <w:ind w:left="574" w:right="817"/>
        <w:jc w:val="left"/>
      </w:pPr>
      <w:r>
        <w:rPr/>
        <w:t>公司与租赁方所签订的租赁协议条款中规定了下列条件之一的，确认为融资租入资产：</w:t>
      </w:r>
    </w:p>
    <w:p>
      <w:pPr>
        <w:pStyle w:val="Heading5"/>
        <w:spacing w:line="240" w:lineRule="auto" w:before="124"/>
        <w:ind w:left="574" w:right="817"/>
        <w:jc w:val="left"/>
      </w:pPr>
      <w:r>
        <w:rPr/>
        <w:t>（</w:t>
      </w:r>
      <w:r>
        <w:rPr>
          <w:rFonts w:ascii="宋体" w:hAnsi="宋体" w:cs="宋体" w:eastAsia="宋体" w:hint="default"/>
        </w:rPr>
        <w:t>1</w:t>
      </w:r>
      <w:r>
        <w:rPr/>
        <w:t>）租赁期满后租赁资产的所有权归属于本公司；</w:t>
      </w:r>
    </w:p>
    <w:p>
      <w:pPr>
        <w:pStyle w:val="Heading5"/>
        <w:spacing w:line="240" w:lineRule="auto" w:before="126"/>
        <w:ind w:left="574" w:right="817"/>
        <w:jc w:val="left"/>
      </w:pPr>
      <w:r>
        <w:rPr/>
        <w:t>（</w:t>
      </w:r>
      <w:r>
        <w:rPr>
          <w:rFonts w:ascii="宋体" w:hAnsi="宋体" w:cs="宋体" w:eastAsia="宋体" w:hint="default"/>
        </w:rPr>
        <w:t>2</w:t>
      </w:r>
      <w:r>
        <w:rPr/>
        <w:t>）公司具有购买资产的选择权，购买价款远低于行使选择权时该资产的公允价值；</w:t>
      </w:r>
    </w:p>
    <w:p>
      <w:pPr>
        <w:pStyle w:val="Heading5"/>
        <w:spacing w:line="240" w:lineRule="auto" w:before="124"/>
        <w:ind w:left="574" w:right="817"/>
        <w:jc w:val="left"/>
      </w:pPr>
      <w:r>
        <w:rPr/>
        <w:t>（</w:t>
      </w:r>
      <w:r>
        <w:rPr>
          <w:rFonts w:ascii="宋体" w:hAnsi="宋体" w:cs="宋体" w:eastAsia="宋体" w:hint="default"/>
        </w:rPr>
        <w:t>3</w:t>
      </w:r>
      <w:r>
        <w:rPr/>
        <w:t>）租赁期占所租赁资产使用寿命的大部分；</w:t>
      </w:r>
    </w:p>
    <w:p>
      <w:pPr>
        <w:pStyle w:val="Heading5"/>
        <w:spacing w:line="350" w:lineRule="auto" w:before="124"/>
        <w:ind w:right="817" w:firstLine="420"/>
        <w:jc w:val="left"/>
      </w:pPr>
      <w:r>
        <w:rPr/>
        <w:t>（</w:t>
      </w:r>
      <w:r>
        <w:rPr>
          <w:rFonts w:ascii="宋体" w:hAnsi="宋体" w:cs="宋体" w:eastAsia="宋体" w:hint="default"/>
        </w:rPr>
        <w:t>4</w:t>
      </w:r>
      <w:r>
        <w:rPr/>
        <w:t>）租赁开始日的最低租赁付款额现值，与该资产的公允价值不存在较大的差异。公司在承租开始 </w:t>
      </w:r>
      <w:r>
        <w:rPr>
          <w:spacing w:val="-1"/>
        </w:rPr>
        <w:t>日，将租赁资产公允价值与最低租赁付款额现值两者中较低者作为租入资产的入账价值，将最低租赁付款</w:t>
      </w:r>
      <w:r>
        <w:rPr>
          <w:spacing w:val="-81"/>
        </w:rPr>
        <w:t> </w:t>
      </w:r>
      <w:r>
        <w:rPr>
          <w:spacing w:val="-81"/>
        </w:rPr>
      </w:r>
      <w:r>
        <w:rPr/>
        <w:t>额作为长期应付款的入账价值，其差额作为未确认的融资费。</w:t>
      </w:r>
    </w:p>
    <w:p>
      <w:pPr>
        <w:spacing w:line="240" w:lineRule="auto" w:before="4"/>
        <w:rPr>
          <w:rFonts w:ascii="宋体" w:hAnsi="宋体" w:cs="宋体" w:eastAsia="宋体" w:hint="default"/>
          <w:sz w:val="18"/>
          <w:szCs w:val="18"/>
        </w:rPr>
      </w:pPr>
    </w:p>
    <w:p>
      <w:pPr>
        <w:pStyle w:val="Heading4"/>
        <w:spacing w:line="240" w:lineRule="auto"/>
        <w:ind w:right="817"/>
        <w:jc w:val="left"/>
        <w:rPr>
          <w:b w:val="0"/>
          <w:bCs w:val="0"/>
        </w:rPr>
      </w:pPr>
      <w:bookmarkStart w:name="17、在建工程" w:id="220"/>
      <w:bookmarkEnd w:id="22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5"/>
        <w:spacing w:line="350" w:lineRule="auto" w:before="89"/>
        <w:ind w:right="1023"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4"/>
        <w:rPr>
          <w:rFonts w:ascii="宋体" w:hAnsi="宋体" w:cs="宋体" w:eastAsia="宋体" w:hint="default"/>
          <w:sz w:val="18"/>
          <w:szCs w:val="18"/>
        </w:rPr>
      </w:pPr>
    </w:p>
    <w:p>
      <w:pPr>
        <w:pStyle w:val="Heading4"/>
        <w:spacing w:line="240" w:lineRule="auto"/>
        <w:ind w:right="817"/>
        <w:jc w:val="left"/>
        <w:rPr>
          <w:b w:val="0"/>
          <w:bCs w:val="0"/>
        </w:rPr>
      </w:pPr>
      <w:bookmarkStart w:name="18、借款费用" w:id="221"/>
      <w:bookmarkEnd w:id="22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1"/>
          <w:szCs w:val="31"/>
        </w:rPr>
      </w:pPr>
    </w:p>
    <w:p>
      <w:pPr>
        <w:pStyle w:val="Heading5"/>
        <w:spacing w:line="348" w:lineRule="auto" w:before="0"/>
        <w:ind w:left="574" w:right="817"/>
        <w:jc w:val="left"/>
      </w:pPr>
      <w:r>
        <w:rPr>
          <w:rFonts w:ascii="宋体" w:hAnsi="宋体" w:cs="宋体" w:eastAsia="宋体" w:hint="default"/>
        </w:rPr>
        <w:t>1.</w:t>
      </w:r>
      <w:r>
        <w:rPr/>
        <w:t>借款费用资本化的确认原则 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Heading5"/>
        <w:spacing w:line="348" w:lineRule="auto" w:before="31"/>
        <w:ind w:left="574" w:right="817"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Heading5"/>
        <w:spacing w:line="240" w:lineRule="auto" w:before="30"/>
        <w:ind w:right="817"/>
        <w:jc w:val="left"/>
      </w:pPr>
      <w:r>
        <w:rPr/>
        <w:t>售状态的固定资产、投资性房地产和存货等资产。借款费用同时满足下列条件时开始资本化：</w:t>
      </w:r>
    </w:p>
    <w:p>
      <w:pPr>
        <w:pStyle w:val="Heading5"/>
        <w:spacing w:line="348" w:lineRule="auto" w:before="126"/>
        <w:ind w:right="817" w:firstLine="420"/>
        <w:jc w:val="left"/>
      </w:pPr>
      <w:r>
        <w:rPr/>
        <w:t>（</w:t>
      </w:r>
      <w:r>
        <w:rPr>
          <w:rFonts w:ascii="宋体" w:hAnsi="宋体" w:cs="宋体" w:eastAsia="宋体" w:hint="default"/>
        </w:rPr>
        <w:t>1</w:t>
      </w:r>
      <w:r>
        <w:rPr/>
        <w:t>）资产支出已经发生，资产支出包括为购建或者生产符合资本化条件的资产而以支付现金、转移 非现金资产或者承担带息债务形式发生的支出；</w:t>
      </w:r>
    </w:p>
    <w:p>
      <w:pPr>
        <w:pStyle w:val="Heading5"/>
        <w:spacing w:line="240" w:lineRule="auto" w:before="30"/>
        <w:ind w:left="574" w:right="817"/>
        <w:jc w:val="left"/>
      </w:pPr>
      <w:r>
        <w:rPr/>
        <w:t>（</w:t>
      </w:r>
      <w:r>
        <w:rPr>
          <w:rFonts w:ascii="宋体" w:hAnsi="宋体" w:cs="宋体" w:eastAsia="宋体" w:hint="default"/>
        </w:rPr>
        <w:t>2</w:t>
      </w:r>
      <w:r>
        <w:rPr/>
        <w:t>）借款费用已经发生；</w:t>
      </w:r>
    </w:p>
    <w:p>
      <w:pPr>
        <w:pStyle w:val="Heading5"/>
        <w:spacing w:line="348" w:lineRule="auto" w:before="126"/>
        <w:ind w:left="574" w:right="817"/>
        <w:jc w:val="left"/>
      </w:pPr>
      <w:r>
        <w:rPr/>
        <w:t>（</w:t>
      </w:r>
      <w:r>
        <w:rPr>
          <w:rFonts w:ascii="宋体" w:hAnsi="宋体" w:cs="宋体" w:eastAsia="宋体" w:hint="default"/>
        </w:rPr>
        <w:t>3</w:t>
      </w:r>
      <w:r>
        <w:rPr/>
        <w:t>）为使资产达到预定可使用或者可销售状态所必要的购建或者生产活动已经开始。 </w:t>
      </w:r>
      <w:r>
        <w:rPr>
          <w:rFonts w:ascii="宋体" w:hAnsi="宋体" w:cs="宋体" w:eastAsia="宋体" w:hint="default"/>
        </w:rPr>
        <w:t>2</w:t>
      </w:r>
      <w:r>
        <w:rPr/>
        <w:t>、借款费用资本化期间 </w:t>
      </w:r>
      <w:r>
        <w:rPr>
          <w:spacing w:val="-1"/>
        </w:rPr>
        <w:t>资本化期间，指从借款费用开始资本化时点到停止资本化时点的期间，借款费用暂停资本化的期间不</w:t>
      </w:r>
    </w:p>
    <w:p>
      <w:pPr>
        <w:pStyle w:val="Heading5"/>
        <w:spacing w:line="240" w:lineRule="auto" w:before="32"/>
        <w:ind w:right="817"/>
        <w:jc w:val="left"/>
      </w:pPr>
      <w:r>
        <w:rPr/>
        <w:t>包括在内。</w:t>
      </w:r>
    </w:p>
    <w:p>
      <w:pPr>
        <w:pStyle w:val="Heading5"/>
        <w:spacing w:line="348" w:lineRule="auto" w:before="124"/>
        <w:ind w:left="574" w:right="817"/>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Heading5"/>
        <w:spacing w:line="240" w:lineRule="auto" w:before="31"/>
        <w:ind w:right="817"/>
        <w:jc w:val="left"/>
      </w:pPr>
      <w:r>
        <w:rPr/>
        <w:t>止资本化。</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left="254" w:right="1032" w:firstLine="420"/>
        <w:jc w:val="left"/>
      </w:pPr>
      <w:r>
        <w:rPr>
          <w:spacing w:val="-1"/>
        </w:rPr>
        <w:t>购建或者生产的资产的各部分分别完工，但必须等到整体完工后才可使用或可对外销售的，在该资产</w:t>
      </w:r>
      <w:r>
        <w:rPr/>
        <w:t> 整体完工时停止借款费用资本化。</w:t>
      </w:r>
    </w:p>
    <w:p>
      <w:pPr>
        <w:pStyle w:val="Heading5"/>
        <w:spacing w:line="350" w:lineRule="auto" w:before="31"/>
        <w:ind w:left="674" w:right="1032"/>
        <w:jc w:val="left"/>
      </w:pPr>
      <w:r>
        <w:rPr>
          <w:rFonts w:ascii="宋体" w:hAnsi="宋体" w:cs="宋体" w:eastAsia="宋体" w:hint="default"/>
        </w:rPr>
        <w:t>3</w:t>
      </w:r>
      <w:r>
        <w:rPr/>
        <w:t>、暂停资本化期间 符合资本化条件的资产在购建或生产过程中发生的非正常中断、且中断时间连续超过</w:t>
      </w:r>
      <w:r>
        <w:rPr>
          <w:rFonts w:ascii="宋体" w:hAnsi="宋体" w:cs="宋体" w:eastAsia="宋体" w:hint="default"/>
        </w:rPr>
        <w:t>3</w:t>
      </w:r>
      <w:r>
        <w:rPr/>
        <w:t>个月的，则借</w:t>
      </w:r>
    </w:p>
    <w:p>
      <w:pPr>
        <w:pStyle w:val="Heading5"/>
        <w:spacing w:line="350" w:lineRule="auto"/>
        <w:ind w:left="254"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pStyle w:val="Heading5"/>
        <w:spacing w:line="350" w:lineRule="auto"/>
        <w:ind w:left="674" w:right="1032"/>
        <w:jc w:val="left"/>
      </w:pPr>
      <w:r>
        <w:rPr>
          <w:rFonts w:ascii="宋体" w:hAnsi="宋体" w:cs="宋体" w:eastAsia="宋体" w:hint="default"/>
        </w:rPr>
        <w:t>4</w:t>
      </w:r>
      <w:r>
        <w:rPr/>
        <w:t>、借款费用资本化率、资本化金额的计算方法 </w:t>
      </w:r>
      <w:r>
        <w:rPr>
          <w:spacing w:val="3"/>
        </w:rPr>
        <w:t>对于为购建或者生产符合资本化条件的资产而借入的专门借款，以专门借款当期实际发生的借款费</w:t>
      </w:r>
    </w:p>
    <w:p>
      <w:pPr>
        <w:pStyle w:val="Heading5"/>
        <w:spacing w:line="350" w:lineRule="auto"/>
        <w:ind w:left="254" w:right="1130"/>
        <w:jc w:val="both"/>
      </w:pPr>
      <w:r>
        <w:rPr>
          <w:spacing w:val="-1"/>
        </w:rPr>
        <w:t>用，减去尚未动用的借款资金存入银行取得的利息收入或进行暂时性投资取得的投资收益后的金额，来确</w:t>
      </w:r>
      <w:r>
        <w:rPr>
          <w:spacing w:val="-80"/>
        </w:rPr>
        <w:t> </w:t>
      </w:r>
      <w:r>
        <w:rPr>
          <w:spacing w:val="-80"/>
        </w:rPr>
      </w:r>
      <w:r>
        <w:rPr>
          <w:spacing w:val="-1"/>
        </w:rPr>
        <w:t>定借款费用的资本化金额。对于为购建或者生产符合资本化条件的资产而占用的一般借款，根据累计资产</w:t>
      </w:r>
      <w:r>
        <w:rPr>
          <w:spacing w:val="-81"/>
        </w:rPr>
        <w:t> </w:t>
      </w:r>
      <w:r>
        <w:rPr>
          <w:spacing w:val="-81"/>
        </w:rPr>
      </w:r>
      <w:r>
        <w:rPr>
          <w:spacing w:val="-1"/>
        </w:rPr>
        <w:t>支出超过专门借款部分的资产支出加权平均数乘以所占用一般借款的资本化率，计算确定一般借款应予资</w:t>
      </w:r>
      <w:r>
        <w:rPr>
          <w:spacing w:val="-81"/>
        </w:rPr>
        <w:t> </w:t>
      </w:r>
      <w:r>
        <w:rPr>
          <w:spacing w:val="-81"/>
        </w:rPr>
      </w:r>
      <w:r>
        <w:rPr/>
        <w:t>本化的借款费用金额。资本化率根据一般借款加权平均利率计算确定。</w:t>
      </w:r>
    </w:p>
    <w:p>
      <w:pPr>
        <w:spacing w:line="240" w:lineRule="auto" w:before="4"/>
        <w:rPr>
          <w:rFonts w:ascii="宋体" w:hAnsi="宋体" w:cs="宋体" w:eastAsia="宋体" w:hint="default"/>
          <w:sz w:val="18"/>
          <w:szCs w:val="18"/>
        </w:rPr>
      </w:pPr>
    </w:p>
    <w:p>
      <w:pPr>
        <w:pStyle w:val="Heading4"/>
        <w:spacing w:line="240" w:lineRule="auto"/>
        <w:ind w:left="254" w:right="0"/>
        <w:jc w:val="both"/>
        <w:rPr>
          <w:b w:val="0"/>
          <w:bCs w:val="0"/>
        </w:rPr>
      </w:pPr>
      <w:bookmarkStart w:name="19、无形资产" w:id="222"/>
      <w:bookmarkEnd w:id="222"/>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6"/>
        <w:rPr>
          <w:rFonts w:ascii="宋体" w:hAnsi="宋体" w:cs="宋体" w:eastAsia="宋体" w:hint="default"/>
          <w:b/>
          <w:bCs/>
          <w:sz w:val="31"/>
          <w:szCs w:val="31"/>
        </w:rPr>
      </w:pPr>
    </w:p>
    <w:p>
      <w:pPr>
        <w:pStyle w:val="Heading5"/>
        <w:spacing w:line="350" w:lineRule="auto" w:before="0"/>
        <w:ind w:left="674" w:right="1032"/>
        <w:jc w:val="left"/>
      </w:pPr>
      <w:r>
        <w:rPr/>
        <w:t>（</w:t>
      </w:r>
      <w:r>
        <w:rPr>
          <w:rFonts w:ascii="宋体" w:hAnsi="宋体" w:cs="宋体" w:eastAsia="宋体"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Heading5"/>
        <w:spacing w:line="350" w:lineRule="auto"/>
        <w:ind w:left="0" w:right="1110"/>
        <w:jc w:val="right"/>
      </w:pPr>
      <w:r>
        <w:rPr>
          <w:spacing w:val="-1"/>
        </w:rPr>
        <w:t>他支出。购买无形资产的价款超过正常信用条件延期支付，实质上具有融资性质的，无形资产的成本以购</w:t>
      </w:r>
      <w:r>
        <w:rPr/>
        <w:t> </w:t>
      </w:r>
      <w:r>
        <w:rPr>
          <w:spacing w:val="-1"/>
        </w:rPr>
        <w:t>买价款的现值为基础确定。债务重组取得债务人用以抵债的无形资产，以该无形资产的公允价值为基础确</w:t>
      </w:r>
      <w:r>
        <w:rPr/>
        <w:t> 定其入账价值，并将重组债务的账面价值与该用以抵债的无形资产公允价值之间的差额，计入当期损益。 </w:t>
      </w: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t> </w:t>
      </w:r>
      <w:r>
        <w:rPr>
          <w:spacing w:val="-1"/>
        </w:rPr>
        <w:t>的公允价值更加可靠；不满足上述前提的非货币性资产交换，以换出资产的账面价值和应支付的相关税费</w:t>
      </w:r>
    </w:p>
    <w:p>
      <w:pPr>
        <w:pStyle w:val="Heading5"/>
        <w:spacing w:line="240" w:lineRule="auto"/>
        <w:ind w:left="254" w:right="0"/>
        <w:jc w:val="both"/>
      </w:pPr>
      <w:r>
        <w:rPr/>
        <w:t>作为换入无形资产的成本，不确认损益。</w:t>
      </w:r>
    </w:p>
    <w:p>
      <w:pPr>
        <w:pStyle w:val="Heading5"/>
        <w:spacing w:line="350" w:lineRule="auto" w:before="124"/>
        <w:ind w:left="674" w:right="6552"/>
        <w:jc w:val="left"/>
      </w:pPr>
      <w:r>
        <w:rPr/>
        <w:t>（</w:t>
      </w:r>
      <w:r>
        <w:rPr>
          <w:rFonts w:ascii="宋体" w:hAnsi="宋体" w:cs="宋体" w:eastAsia="宋体" w:hint="default"/>
        </w:rPr>
        <w:t>2</w:t>
      </w:r>
      <w:r>
        <w:rPr/>
        <w:t>）后续计量 在取得无形资产时分析判断其使用寿命。</w:t>
      </w:r>
    </w:p>
    <w:p>
      <w:pPr>
        <w:pStyle w:val="Heading5"/>
        <w:spacing w:line="348" w:lineRule="auto"/>
        <w:ind w:left="254" w:right="1032" w:firstLine="420"/>
        <w:jc w:val="left"/>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Heading5"/>
        <w:spacing w:line="240" w:lineRule="auto" w:before="31"/>
        <w:ind w:left="674" w:right="1032"/>
        <w:jc w:val="left"/>
      </w:pPr>
      <w:r>
        <w:rPr>
          <w:rFonts w:ascii="宋体" w:hAnsi="宋体" w:cs="宋体" w:eastAsia="宋体" w:hint="default"/>
        </w:rPr>
        <w:t>2</w:t>
      </w:r>
      <w:r>
        <w:rPr/>
        <w:t>、使用寿命有限的无形资产的使用寿命估计情况：</w:t>
      </w: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298"/>
        <w:gridCol w:w="2927"/>
        <w:gridCol w:w="3645"/>
      </w:tblGrid>
      <w:tr>
        <w:trPr>
          <w:trHeight w:val="419" w:hRule="exact"/>
        </w:trPr>
        <w:tc>
          <w:tcPr>
            <w:tcW w:w="32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5"/>
              <w:ind w:left="19" w:right="0"/>
              <w:jc w:val="center"/>
              <w:rPr>
                <w:rFonts w:ascii="宋体" w:hAnsi="宋体" w:cs="宋体" w:eastAsia="宋体" w:hint="default"/>
                <w:sz w:val="21"/>
                <w:szCs w:val="21"/>
              </w:rPr>
            </w:pPr>
            <w:r>
              <w:rPr>
                <w:rFonts w:ascii="宋体" w:hAnsi="宋体" w:cs="宋体" w:eastAsia="宋体" w:hint="default"/>
                <w:sz w:val="21"/>
                <w:szCs w:val="21"/>
              </w:rPr>
              <w:t>资产类别</w:t>
            </w:r>
          </w:p>
        </w:tc>
        <w:tc>
          <w:tcPr>
            <w:tcW w:w="29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6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5"/>
              <w:ind w:right="3"/>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10"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sz w:val="21"/>
              </w:rPr>
              <w:t>50</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土地使用权证规定使用年限</w:t>
            </w:r>
          </w:p>
        </w:tc>
      </w:tr>
      <w:tr>
        <w:trPr>
          <w:trHeight w:val="411"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5-10</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合同约定使用年限</w:t>
            </w:r>
          </w:p>
        </w:tc>
      </w:tr>
      <w:tr>
        <w:trPr>
          <w:trHeight w:val="409" w:hRule="exact"/>
        </w:trPr>
        <w:tc>
          <w:tcPr>
            <w:tcW w:w="3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游艇泊位</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21"/>
                <w:szCs w:val="21"/>
              </w:rPr>
            </w:pPr>
            <w:r>
              <w:rPr>
                <w:rFonts w:ascii="宋体"/>
                <w:sz w:val="21"/>
              </w:rPr>
              <w:t>45</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泊位合约书和协议约定使用年限</w:t>
            </w:r>
          </w:p>
        </w:tc>
      </w:tr>
      <w:tr>
        <w:trPr>
          <w:trHeight w:val="421" w:hRule="exact"/>
        </w:trPr>
        <w:tc>
          <w:tcPr>
            <w:tcW w:w="32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其他特许权</w:t>
            </w:r>
          </w:p>
        </w:tc>
        <w:tc>
          <w:tcPr>
            <w:tcW w:w="29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3-10</w:t>
            </w:r>
          </w:p>
        </w:tc>
        <w:tc>
          <w:tcPr>
            <w:tcW w:w="3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合同约定使用年限</w:t>
            </w:r>
          </w:p>
        </w:tc>
      </w:tr>
    </w:tbl>
    <w:p>
      <w:pPr>
        <w:spacing w:after="0" w:line="240" w:lineRule="auto"/>
        <w:jc w:val="left"/>
        <w:rPr>
          <w:rFonts w:ascii="宋体" w:hAnsi="宋体" w:cs="宋体" w:eastAsia="宋体" w:hint="default"/>
          <w:sz w:val="21"/>
          <w:szCs w:val="21"/>
        </w:rPr>
        <w:sectPr>
          <w:pgSz w:w="11910" w:h="16840"/>
          <w:pgMar w:header="877" w:footer="979" w:top="1100" w:bottom="1160" w:left="880" w:right="0"/>
        </w:sectPr>
      </w:pPr>
    </w:p>
    <w:p>
      <w:pPr>
        <w:spacing w:line="240" w:lineRule="auto" w:before="7"/>
        <w:rPr>
          <w:rFonts w:ascii="宋体" w:hAnsi="宋体" w:cs="宋体" w:eastAsia="宋体" w:hint="default"/>
          <w:sz w:val="27"/>
          <w:szCs w:val="27"/>
        </w:rPr>
      </w:pPr>
    </w:p>
    <w:p>
      <w:pPr>
        <w:pStyle w:val="Heading5"/>
        <w:spacing w:line="350" w:lineRule="auto" w:before="35"/>
        <w:ind w:left="574" w:right="3297"/>
        <w:jc w:val="left"/>
      </w:pPr>
      <w:r>
        <w:rPr/>
        <w:t>每年度终了，对使用寿命有限的无形资产的使用寿命及摊销方法进行复核。 经复核，本年期末无形资产的使用寿命及摊销方法与以前估计未有不同。 </w:t>
      </w:r>
      <w:r>
        <w:rPr>
          <w:rFonts w:ascii="宋体" w:hAnsi="宋体" w:cs="宋体" w:eastAsia="宋体" w:hint="default"/>
        </w:rPr>
        <w:t>3</w:t>
      </w:r>
      <w:r>
        <w:rPr/>
        <w:t>、使用寿命不确定的无形资产的判断依据以及对其使用寿命进行复核的程序 对于使用寿命不确定的无形资产，每期末进行减值测试。 </w:t>
      </w:r>
      <w:r>
        <w:rPr>
          <w:rFonts w:ascii="宋体" w:hAnsi="宋体" w:cs="宋体" w:eastAsia="宋体" w:hint="default"/>
        </w:rPr>
        <w:t>4</w:t>
      </w:r>
      <w:r>
        <w:rPr/>
        <w:t>、划分研究阶段和开发阶段的具体标准 公司内部研究开发项目的支出分为研究阶段支出和开发阶段支出。</w:t>
      </w:r>
    </w:p>
    <w:p>
      <w:pPr>
        <w:pStyle w:val="Heading5"/>
        <w:spacing w:line="348" w:lineRule="auto"/>
        <w:ind w:left="574" w:right="817"/>
        <w:jc w:val="left"/>
      </w:pPr>
      <w:r>
        <w:rPr/>
        <w:t>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Heading5"/>
        <w:spacing w:line="348" w:lineRule="auto" w:before="31"/>
        <w:ind w:left="574" w:right="3402" w:hanging="420"/>
        <w:jc w:val="left"/>
      </w:pPr>
      <w:r>
        <w:rPr/>
        <w:t>的或具有实质性改进的材料、装置、产品等活动的阶段。 </w:t>
      </w:r>
      <w:r>
        <w:rPr>
          <w:rFonts w:ascii="宋体" w:hAnsi="宋体" w:cs="宋体" w:eastAsia="宋体" w:hint="default"/>
        </w:rPr>
        <w:t>5</w:t>
      </w:r>
      <w:r>
        <w:rPr/>
        <w:t>、开发阶段支出资本化的具体条件 内部研究开发项目开发阶段的支出，同时满足下列条件时确认为无形资产：</w:t>
      </w:r>
    </w:p>
    <w:p>
      <w:pPr>
        <w:pStyle w:val="Heading5"/>
        <w:spacing w:line="240" w:lineRule="auto" w:before="31"/>
        <w:ind w:left="574" w:right="817"/>
        <w:jc w:val="left"/>
      </w:pPr>
      <w:r>
        <w:rPr/>
        <w:t>（</w:t>
      </w:r>
      <w:r>
        <w:rPr>
          <w:rFonts w:ascii="宋体" w:hAnsi="宋体" w:cs="宋体" w:eastAsia="宋体" w:hint="default"/>
        </w:rPr>
        <w:t>1</w:t>
      </w:r>
      <w:r>
        <w:rPr/>
        <w:t>）完成该无形资产以使其能够使用或出售在技术上具有可行性；</w:t>
      </w:r>
    </w:p>
    <w:p>
      <w:pPr>
        <w:pStyle w:val="Heading5"/>
        <w:spacing w:line="240" w:lineRule="auto" w:before="124"/>
        <w:ind w:left="574" w:right="817"/>
        <w:jc w:val="left"/>
      </w:pPr>
      <w:r>
        <w:rPr/>
        <w:t>（</w:t>
      </w:r>
      <w:r>
        <w:rPr>
          <w:rFonts w:ascii="宋体" w:hAnsi="宋体" w:cs="宋体" w:eastAsia="宋体" w:hint="default"/>
        </w:rPr>
        <w:t>2</w:t>
      </w:r>
      <w:r>
        <w:rPr/>
        <w:t>）具有完成该无形资产并使用或出售的意图；</w:t>
      </w:r>
    </w:p>
    <w:p>
      <w:pPr>
        <w:pStyle w:val="Heading5"/>
        <w:spacing w:line="350" w:lineRule="auto" w:before="124"/>
        <w:ind w:right="1197" w:firstLine="420"/>
        <w:jc w:val="left"/>
      </w:pPr>
      <w:r>
        <w:rPr/>
        <w:t>（</w:t>
      </w:r>
      <w:r>
        <w:rPr>
          <w:rFonts w:ascii="宋体" w:hAnsi="宋体" w:cs="宋体" w:eastAsia="宋体" w:hint="default"/>
        </w:rPr>
        <w:t>3</w:t>
      </w:r>
      <w:r>
        <w:rPr/>
        <w:t>）无形资产产生经济利益的方式，包括能够证明运用该无形资产生产的产品存在市场或无形资产 自身存在市场，无形资产将在内部使用的，能够证明其有用性；</w:t>
      </w:r>
    </w:p>
    <w:p>
      <w:pPr>
        <w:pStyle w:val="Heading5"/>
        <w:spacing w:line="348" w:lineRule="auto"/>
        <w:ind w:right="1197" w:firstLine="420"/>
        <w:jc w:val="left"/>
      </w:pPr>
      <w:r>
        <w:rPr/>
        <w:t>（</w:t>
      </w:r>
      <w:r>
        <w:rPr>
          <w:rFonts w:ascii="宋体" w:hAnsi="宋体" w:cs="宋体" w:eastAsia="宋体" w:hint="default"/>
        </w:rPr>
        <w:t>4</w:t>
      </w:r>
      <w:r>
        <w:rPr/>
        <w:t>）有足够的技术、财务资源和其他资源支持，以完成该无形资产的开发，并有能力使用或出售该 无形资产；</w:t>
      </w:r>
    </w:p>
    <w:p>
      <w:pPr>
        <w:pStyle w:val="Heading5"/>
        <w:spacing w:line="348" w:lineRule="auto" w:before="32"/>
        <w:ind w:left="574" w:right="817"/>
        <w:jc w:val="left"/>
      </w:pPr>
      <w:r>
        <w:rPr/>
        <w:t>（</w:t>
      </w:r>
      <w:r>
        <w:rPr>
          <w:rFonts w:ascii="宋体" w:hAnsi="宋体" w:cs="宋体" w:eastAsia="宋体" w:hint="default"/>
        </w:rPr>
        <w:t>5</w:t>
      </w:r>
      <w:r>
        <w:rPr/>
        <w:t>）归属于该无形资产开发阶段的支出能够可靠地计量。 </w:t>
      </w:r>
      <w:r>
        <w:rPr>
          <w:spacing w:val="-1"/>
        </w:rPr>
        <w:t>开发阶段的支出，若不满足上列条件的，在发生时计入当期损益。研究阶段的支出，在发生时计入当</w:t>
      </w:r>
    </w:p>
    <w:p>
      <w:pPr>
        <w:pStyle w:val="Heading5"/>
        <w:spacing w:line="240" w:lineRule="auto" w:before="30"/>
        <w:ind w:right="0"/>
        <w:jc w:val="both"/>
      </w:pPr>
      <w:r>
        <w:rPr/>
        <w:t>期损益。</w:t>
      </w:r>
    </w:p>
    <w:p>
      <w:pPr>
        <w:pStyle w:val="Heading5"/>
        <w:spacing w:line="702" w:lineRule="exact" w:before="21"/>
        <w:ind w:left="574" w:right="817" w:hanging="420"/>
        <w:jc w:val="left"/>
      </w:pPr>
      <w:bookmarkStart w:name="20、长期资产减值" w:id="223"/>
      <w:bookmarkEnd w:id="223"/>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长期股权投资、采用成本模式计量的投资性房地产、固定资产、在建工程、使用寿命有限的无形资产</w:t>
      </w:r>
    </w:p>
    <w:p>
      <w:pPr>
        <w:pStyle w:val="Heading5"/>
        <w:spacing w:line="350" w:lineRule="auto" w:before="14"/>
        <w:ind w:right="1131"/>
        <w:jc w:val="both"/>
      </w:pPr>
      <w:r>
        <w:rPr>
          <w:spacing w:val="-1"/>
        </w:rPr>
        <w:t>等长期资产，于资产负债表日存在减值迹象的，进行减值测试。减值测试结果表明资产的可收回金额低于</w:t>
      </w:r>
      <w:r>
        <w:rPr>
          <w:spacing w:val="-83"/>
        </w:rPr>
        <w:t> </w:t>
      </w:r>
      <w:r>
        <w:rPr>
          <w:spacing w:val="-83"/>
        </w:rPr>
      </w:r>
      <w:r>
        <w:rPr>
          <w:spacing w:val="-1"/>
        </w:rPr>
        <w:t>其账面价值的，按其差额计提减值准备并计入减值损失。可收回金额为资产的公允价值减去处置费用后的</w:t>
      </w:r>
      <w:r>
        <w:rPr>
          <w:spacing w:val="-81"/>
        </w:rPr>
        <w:t> </w:t>
      </w:r>
      <w:r>
        <w:rPr>
          <w:spacing w:val="-81"/>
        </w:rPr>
      </w:r>
      <w:r>
        <w:rPr>
          <w:spacing w:val="-1"/>
        </w:rPr>
        <w:t>净额与资产预计未来现金流量的现值两者之间的较高者。资产减值准备按单项资产为基础计算并确认，如</w:t>
      </w:r>
      <w:r>
        <w:rPr>
          <w:spacing w:val="-81"/>
        </w:rPr>
        <w:t> </w:t>
      </w:r>
      <w:r>
        <w:rPr>
          <w:spacing w:val="-81"/>
        </w:rPr>
      </w:r>
      <w:r>
        <w:rPr>
          <w:spacing w:val="-1"/>
        </w:rPr>
        <w:t>果难以对单项资产的可收回金额进行估计的，以该资产所属的资产组确定资产组的可收回金额。资产组是</w:t>
      </w:r>
      <w:r>
        <w:rPr>
          <w:spacing w:val="-81"/>
        </w:rPr>
        <w:t> </w:t>
      </w:r>
      <w:r>
        <w:rPr>
          <w:spacing w:val="-81"/>
        </w:rPr>
      </w:r>
      <w:r>
        <w:rPr/>
        <w:t>能够独立产生现金流入的最小资产组合。</w:t>
      </w:r>
    </w:p>
    <w:p>
      <w:pPr>
        <w:pStyle w:val="Heading5"/>
        <w:spacing w:line="348" w:lineRule="auto" w:before="29"/>
        <w:ind w:left="574" w:right="817"/>
        <w:jc w:val="left"/>
      </w:pPr>
      <w:r>
        <w:rPr/>
        <w:t>商誉至少在每年年度终了进行减值测试。 </w:t>
      </w:r>
      <w:r>
        <w:rPr>
          <w:spacing w:val="-1"/>
        </w:rPr>
        <w:t>本公司进行商誉减值测试，对于因企业合并形成的商誉的账面价值，自购买日起按照合理的方法分摊</w:t>
      </w:r>
    </w:p>
    <w:p>
      <w:pPr>
        <w:pStyle w:val="Heading5"/>
        <w:spacing w:line="350" w:lineRule="auto" w:before="30"/>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spacing w:after="0" w:line="350"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50" w:lineRule="auto" w:before="35"/>
        <w:ind w:right="1131"/>
        <w:jc w:val="both"/>
      </w:pP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spacing w:val="-1"/>
        </w:rPr>
        <w:t>者资产组组合的可收回金额低于其账面价值的，确认商誉的减值损失。上述资产减值损失一经确认，在以</w:t>
      </w:r>
      <w:r>
        <w:rPr>
          <w:spacing w:val="-83"/>
        </w:rPr>
        <w:t> </w:t>
      </w:r>
      <w:r>
        <w:rPr>
          <w:spacing w:val="-83"/>
        </w:rPr>
      </w:r>
      <w:r>
        <w:rPr/>
        <w:t>后会计期间不予转回。</w:t>
      </w:r>
    </w:p>
    <w:p>
      <w:pPr>
        <w:spacing w:line="240" w:lineRule="auto" w:before="4"/>
        <w:rPr>
          <w:rFonts w:ascii="宋体" w:hAnsi="宋体" w:cs="宋体" w:eastAsia="宋体" w:hint="default"/>
          <w:sz w:val="18"/>
          <w:szCs w:val="18"/>
        </w:rPr>
      </w:pPr>
    </w:p>
    <w:p>
      <w:pPr>
        <w:pStyle w:val="Heading4"/>
        <w:spacing w:line="240" w:lineRule="auto"/>
        <w:ind w:right="817"/>
        <w:jc w:val="left"/>
        <w:rPr>
          <w:b w:val="0"/>
          <w:bCs w:val="0"/>
        </w:rPr>
      </w:pPr>
      <w:bookmarkStart w:name="21、长期待摊费用" w:id="224"/>
      <w:bookmarkEnd w:id="224"/>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6"/>
        <w:rPr>
          <w:rFonts w:ascii="宋体" w:hAnsi="宋体" w:cs="宋体" w:eastAsia="宋体" w:hint="default"/>
          <w:b/>
          <w:bCs/>
          <w:sz w:val="31"/>
          <w:szCs w:val="31"/>
        </w:rPr>
      </w:pPr>
    </w:p>
    <w:p>
      <w:pPr>
        <w:pStyle w:val="Heading5"/>
        <w:spacing w:line="348" w:lineRule="auto" w:before="0"/>
        <w:ind w:left="574" w:right="2142"/>
        <w:jc w:val="left"/>
      </w:pPr>
      <w:r>
        <w:rPr/>
        <w:t>长期待摊费用为已经发生但应由本期和以后各期负担的分摊期限在一年以上的各项费用。 </w:t>
      </w:r>
      <w:r>
        <w:rPr>
          <w:rFonts w:ascii="宋体" w:hAnsi="宋体" w:cs="宋体" w:eastAsia="宋体" w:hint="default"/>
        </w:rPr>
        <w:t>1</w:t>
      </w:r>
      <w:r>
        <w:rPr/>
        <w:t>、摊销方法</w:t>
      </w:r>
    </w:p>
    <w:p>
      <w:pPr>
        <w:pStyle w:val="Heading5"/>
        <w:spacing w:line="348" w:lineRule="auto" w:before="31"/>
        <w:ind w:left="574" w:right="7182"/>
        <w:jc w:val="left"/>
      </w:pPr>
      <w:r>
        <w:rPr/>
        <w:t>长期待摊费用在受益期内平均摊销 </w:t>
      </w:r>
      <w:r>
        <w:rPr>
          <w:rFonts w:ascii="宋体" w:hAnsi="宋体" w:cs="宋体" w:eastAsia="宋体" w:hint="default"/>
        </w:rPr>
        <w:t>2</w:t>
      </w:r>
      <w:r>
        <w:rPr/>
        <w:t>、摊销年限</w:t>
      </w:r>
    </w:p>
    <w:p>
      <w:pPr>
        <w:pStyle w:val="Heading5"/>
        <w:spacing w:line="350" w:lineRule="auto" w:before="30"/>
        <w:ind w:right="1110" w:firstLine="420"/>
        <w:jc w:val="both"/>
      </w:pPr>
      <w:r>
        <w:rPr>
          <w:spacing w:val="-1"/>
        </w:rPr>
        <w:t>长期待摊费用在取得时按照实际成本计价，开办费在发生时计入当期损益；经营性租赁固定资产的装</w:t>
      </w:r>
      <w:r>
        <w:rPr/>
        <w:t> 修费用在可使用年限和租赁期两者较低年限进行平均摊销，其他长期待摊费用按项目的受益期平均摊销。 </w:t>
      </w:r>
      <w:r>
        <w:rPr>
          <w:spacing w:val="-1"/>
        </w:rPr>
        <w:t>对于在以后会计期间已无法带来预期经济利益的长期待摊费用，本公司对其尚未摊销的摊余价值全部转入</w:t>
      </w:r>
      <w:r>
        <w:rPr>
          <w:spacing w:val="-81"/>
        </w:rPr>
        <w:t> </w:t>
      </w:r>
      <w:r>
        <w:rPr>
          <w:spacing w:val="-81"/>
        </w:rPr>
      </w:r>
      <w:r>
        <w:rPr/>
        <w:t>当期损益。</w:t>
      </w:r>
    </w:p>
    <w:p>
      <w:pPr>
        <w:spacing w:line="240" w:lineRule="auto" w:before="5"/>
        <w:rPr>
          <w:rFonts w:ascii="宋体" w:hAnsi="宋体" w:cs="宋体" w:eastAsia="宋体" w:hint="default"/>
          <w:sz w:val="18"/>
          <w:szCs w:val="18"/>
        </w:rPr>
      </w:pPr>
    </w:p>
    <w:p>
      <w:pPr>
        <w:pStyle w:val="Heading4"/>
        <w:spacing w:line="240" w:lineRule="auto"/>
        <w:ind w:right="817"/>
        <w:jc w:val="left"/>
        <w:rPr>
          <w:b w:val="0"/>
          <w:bCs w:val="0"/>
        </w:rPr>
      </w:pPr>
      <w:bookmarkStart w:name="22、职工薪酬" w:id="225"/>
      <w:bookmarkEnd w:id="225"/>
      <w:r>
        <w:rPr>
          <w:b w:val="0"/>
          <w:bCs w:val="0"/>
        </w:rPr>
      </w:r>
      <w:r>
        <w:rPr>
          <w:rFonts w:ascii="Times New Roman" w:hAnsi="Times New Roman" w:cs="Times New Roman" w:eastAsia="Times New Roman" w:hint="default"/>
        </w:rPr>
        <w:t>22</w:t>
      </w:r>
      <w:r>
        <w:rPr/>
        <w:t>、职工薪酬</w:t>
      </w:r>
      <w:r>
        <w:rPr>
          <w:b w:val="0"/>
          <w:bCs w:val="0"/>
        </w:rPr>
      </w:r>
    </w:p>
    <w:p>
      <w:pPr>
        <w:spacing w:line="702" w:lineRule="exact" w:before="6"/>
        <w:ind w:left="574" w:right="817" w:hanging="420"/>
        <w:jc w:val="left"/>
        <w:rPr>
          <w:rFonts w:ascii="宋体" w:hAnsi="宋体" w:cs="宋体" w:eastAsia="宋体" w:hint="default"/>
          <w:sz w:val="21"/>
          <w:szCs w:val="21"/>
        </w:rPr>
      </w:pPr>
      <w:bookmarkStart w:name="（1）短期薪酬的会计处理方法"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Heading5"/>
        <w:spacing w:line="350" w:lineRule="auto" w:before="14"/>
        <w:ind w:left="574" w:right="817" w:hanging="420"/>
        <w:jc w:val="left"/>
      </w:pPr>
      <w:r>
        <w:rPr/>
        <w:t>相关资产成本。 </w:t>
      </w:r>
      <w:r>
        <w:rPr>
          <w:spacing w:val="-1"/>
        </w:rPr>
        <w:t>本公司为职工缴纳的社会保险费和住房公积金，以及按规定提取的工会经费和职工教育经费，在职工</w:t>
      </w:r>
    </w:p>
    <w:p>
      <w:pPr>
        <w:pStyle w:val="Heading5"/>
        <w:spacing w:line="348" w:lineRule="auto"/>
        <w:ind w:left="574" w:right="1932" w:hanging="420"/>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18"/>
          <w:szCs w:val="18"/>
        </w:rPr>
      </w:pPr>
    </w:p>
    <w:p>
      <w:pPr>
        <w:pStyle w:val="Heading4"/>
        <w:spacing w:line="240" w:lineRule="auto"/>
        <w:ind w:right="817"/>
        <w:jc w:val="left"/>
        <w:rPr>
          <w:b w:val="0"/>
          <w:bCs w:val="0"/>
        </w:rPr>
      </w:pPr>
      <w:bookmarkStart w:name="（2）离职后福利的会计处理方法" w:id="227"/>
      <w:bookmarkEnd w:id="22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1"/>
          <w:szCs w:val="31"/>
        </w:rPr>
      </w:pPr>
    </w:p>
    <w:p>
      <w:pPr>
        <w:pStyle w:val="Heading5"/>
        <w:spacing w:line="348" w:lineRule="auto" w:before="0"/>
        <w:ind w:left="574" w:right="817"/>
        <w:jc w:val="left"/>
      </w:pPr>
      <w:r>
        <w:rPr/>
        <w:t>（</w:t>
      </w:r>
      <w:r>
        <w:rPr>
          <w:rFonts w:ascii="宋体" w:hAnsi="宋体" w:cs="宋体" w:eastAsia="宋体" w:hint="default"/>
        </w:rPr>
        <w:t>1</w:t>
      </w:r>
      <w:r>
        <w:rPr/>
        <w:t>）设定提存计划 </w:t>
      </w:r>
      <w:r>
        <w:rPr>
          <w:spacing w:val="-1"/>
        </w:rPr>
        <w:t>本公司按当地政府的相关规定为职工缴纳基本养老保险和失业保险，在职工为本公司提供服务的会计</w:t>
      </w:r>
    </w:p>
    <w:p>
      <w:pPr>
        <w:pStyle w:val="Heading5"/>
        <w:spacing w:line="350" w:lineRule="auto" w:before="30"/>
        <w:ind w:left="0" w:right="1109"/>
        <w:jc w:val="right"/>
      </w:pPr>
      <w:r>
        <w:rPr/>
        <w:t>期间，按以当地规定的缴纳基数和比例计算应缴纳金额，确认为负债，并计入当期损益或相关资产成本。 </w:t>
      </w:r>
      <w:r>
        <w:rPr>
          <w:spacing w:val="-1"/>
        </w:rPr>
        <w:t>除基本养老保险外，本公司还依据国家企业年金制度的相关政策建立了企业年金缴费制度（补充养老</w:t>
      </w:r>
      <w:r>
        <w:rPr/>
        <w:t> </w:t>
      </w:r>
      <w:r>
        <w:rPr>
          <w:spacing w:val="-1"/>
        </w:rPr>
        <w:t>保险）</w:t>
      </w:r>
      <w:r>
        <w:rPr>
          <w:rFonts w:ascii="宋体" w:hAnsi="宋体" w:cs="宋体" w:eastAsia="宋体" w:hint="default"/>
          <w:spacing w:val="-1"/>
        </w:rPr>
        <w:t>/</w:t>
      </w:r>
      <w:r>
        <w:rPr>
          <w:spacing w:val="-1"/>
        </w:rPr>
        <w:t>企业年金计划。本公司按职工工资总额的一定比例向当地社会保险机构缴费</w:t>
      </w:r>
      <w:r>
        <w:rPr>
          <w:rFonts w:ascii="宋体" w:hAnsi="宋体" w:cs="宋体" w:eastAsia="宋体" w:hint="default"/>
          <w:spacing w:val="-1"/>
        </w:rPr>
        <w:t>/</w:t>
      </w:r>
      <w:r>
        <w:rPr>
          <w:spacing w:val="-1"/>
        </w:rPr>
        <w:t>年金计划缴费，相应</w:t>
      </w:r>
    </w:p>
    <w:p>
      <w:pPr>
        <w:pStyle w:val="Heading5"/>
        <w:spacing w:line="240" w:lineRule="auto"/>
        <w:ind w:right="817"/>
        <w:jc w:val="left"/>
      </w:pPr>
      <w:r>
        <w:rPr/>
        <w:t>支出计入当期损益或相关资产成本。</w:t>
      </w:r>
    </w:p>
    <w:p>
      <w:pPr>
        <w:pStyle w:val="Heading5"/>
        <w:spacing w:line="240" w:lineRule="auto" w:before="126"/>
        <w:ind w:left="574" w:right="817"/>
        <w:jc w:val="left"/>
      </w:pPr>
      <w:r>
        <w:rPr/>
        <w:t>（</w:t>
      </w:r>
      <w:r>
        <w:rPr>
          <w:rFonts w:ascii="宋体" w:hAnsi="宋体" w:cs="宋体" w:eastAsia="宋体" w:hint="default"/>
        </w:rPr>
        <w:t>2</w:t>
      </w:r>
      <w:r>
        <w:rPr/>
        <w:t>）设定受益计划</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right="1137" w:firstLine="420"/>
        <w:jc w:val="both"/>
      </w:pPr>
      <w:r>
        <w:rPr>
          <w:spacing w:val="3"/>
        </w:rPr>
        <w:t>本公司根据预期累计福利单位法确定的公式将设定受益计划产生的福利义务归属于职工提供服务的</w:t>
      </w:r>
      <w:r>
        <w:rPr/>
        <w:t> 期间，并计入当期损益或相关资产成本。</w:t>
      </w:r>
    </w:p>
    <w:p>
      <w:pPr>
        <w:pStyle w:val="Heading5"/>
        <w:spacing w:line="348" w:lineRule="auto" w:before="31"/>
        <w:ind w:right="1131" w:firstLine="420"/>
        <w:jc w:val="both"/>
      </w:pPr>
      <w:r>
        <w:rPr>
          <w:spacing w:val="3"/>
        </w:rPr>
        <w:t>设定受益计划义务现值减去设定受益计划资产公允价值所形成的赤字或盈余确认为一项设定受益计</w:t>
      </w:r>
      <w:r>
        <w:rPr/>
        <w:t> </w:t>
      </w: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Heading5"/>
        <w:spacing w:line="348" w:lineRule="auto" w:before="31"/>
        <w:ind w:right="1110" w:firstLine="420"/>
        <w:jc w:val="both"/>
      </w:pPr>
      <w:r>
        <w:rPr/>
        <w:t>所有设定受益计划义务，包括预期在职工提供服务的年度报告期间结束后的十二个月内支付的义务， </w:t>
      </w:r>
      <w:r>
        <w:rPr>
          <w:spacing w:val="3"/>
        </w:rPr>
        <w:t>根据资产负债表日与设定受益计划义务期限和币种相匹配的国债或活跃市场上的高质量公司债券的市场</w:t>
      </w:r>
      <w:r>
        <w:rPr>
          <w:spacing w:val="-82"/>
        </w:rPr>
        <w:t> </w:t>
      </w:r>
      <w:r>
        <w:rPr>
          <w:spacing w:val="-82"/>
        </w:rPr>
      </w:r>
      <w:r>
        <w:rPr/>
        <w:t>收益率予以折现。</w:t>
      </w:r>
    </w:p>
    <w:p>
      <w:pPr>
        <w:pStyle w:val="Heading5"/>
        <w:spacing w:line="350" w:lineRule="auto" w:before="31"/>
        <w:ind w:right="1109" w:firstLine="420"/>
        <w:jc w:val="both"/>
      </w:pPr>
      <w:r>
        <w:rPr>
          <w:spacing w:val="3"/>
        </w:rPr>
        <w:t>设定受益计划产生的服务成本和设定受益计划净负债或净资产的利息净额计入当期损益或相关资产</w:t>
      </w:r>
      <w:r>
        <w:rPr/>
        <w:t> </w:t>
      </w:r>
      <w:r>
        <w:rPr>
          <w:spacing w:val="-1"/>
        </w:rPr>
        <w:t>成本；重新计量设定受益计划净负债或净资产所产生的变动计入其他综合收益，并且在后续会计期间不转</w:t>
      </w:r>
      <w:r>
        <w:rPr>
          <w:spacing w:val="-81"/>
        </w:rPr>
        <w:t> </w:t>
      </w:r>
      <w:r>
        <w:rPr>
          <w:spacing w:val="-81"/>
        </w:rPr>
      </w:r>
      <w:r>
        <w:rPr/>
        <w:t>回至损益，在原设定受益计划终止时在权益范围内将原计入其他综合收益的部分全部结转至未分配利润。 </w:t>
      </w:r>
      <w:r>
        <w:rPr>
          <w:spacing w:val="-1"/>
        </w:rPr>
        <w:t>在设定受益计划结算时，按在结算日确定的设定受益计划义务现值和结算价格两者的差额，确认结算利得</w:t>
      </w:r>
      <w:r>
        <w:rPr>
          <w:spacing w:val="-81"/>
        </w:rPr>
        <w:t> </w:t>
      </w:r>
      <w:r>
        <w:rPr>
          <w:spacing w:val="-81"/>
        </w:rPr>
      </w:r>
      <w:r>
        <w:rPr/>
        <w:t>或损失。</w:t>
      </w:r>
    </w:p>
    <w:p>
      <w:pPr>
        <w:pStyle w:val="Heading5"/>
        <w:spacing w:line="240" w:lineRule="auto"/>
        <w:ind w:left="574" w:right="817"/>
        <w:jc w:val="left"/>
      </w:pPr>
      <w:r>
        <w:rPr/>
        <w:t>详见本附注“五、</w:t>
      </w:r>
      <w:r>
        <w:rPr>
          <w:rFonts w:ascii="宋体" w:hAnsi="宋体" w:cs="宋体" w:eastAsia="宋体" w:hint="default"/>
        </w:rPr>
        <w:t>(</w:t>
      </w:r>
      <w:r>
        <w:rPr/>
        <w:t>二十一</w:t>
      </w:r>
      <w:r>
        <w:rPr>
          <w:rFonts w:ascii="宋体" w:hAnsi="宋体" w:cs="宋体" w:eastAsia="宋体" w:hint="default"/>
        </w:rPr>
        <w:t>)</w:t>
      </w:r>
      <w:r>
        <w:rPr>
          <w:rFonts w:ascii="宋体" w:hAnsi="宋体" w:cs="宋体" w:eastAsia="宋体" w:hint="default"/>
          <w:spacing w:val="-3"/>
        </w:rPr>
        <w:t> </w:t>
      </w:r>
      <w:r>
        <w:rPr/>
        <w:t>应付职工薪酬”。</w:t>
      </w:r>
    </w:p>
    <w:p>
      <w:pPr>
        <w:spacing w:line="702" w:lineRule="exact" w:before="21"/>
        <w:ind w:left="574" w:right="817" w:hanging="420"/>
        <w:jc w:val="left"/>
        <w:rPr>
          <w:rFonts w:ascii="宋体" w:hAnsi="宋体" w:cs="宋体" w:eastAsia="宋体" w:hint="default"/>
          <w:sz w:val="21"/>
          <w:szCs w:val="21"/>
        </w:rPr>
      </w:pPr>
      <w:bookmarkStart w:name="（3）辞退福利的会计处理方法"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Heading5"/>
        <w:spacing w:line="240" w:lineRule="auto" w:before="14"/>
        <w:ind w:right="817"/>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4"/>
        <w:spacing w:line="240" w:lineRule="auto"/>
        <w:ind w:right="817"/>
        <w:jc w:val="left"/>
        <w:rPr>
          <w:b w:val="0"/>
          <w:bCs w:val="0"/>
        </w:rPr>
      </w:pPr>
      <w:bookmarkStart w:name="（4）其他长期职工福利的会计处理方法" w:id="229"/>
      <w:bookmarkEnd w:id="22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23、预计负债" w:id="230"/>
      <w:bookmarkEnd w:id="230"/>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31"/>
          <w:szCs w:val="31"/>
        </w:rPr>
      </w:pPr>
    </w:p>
    <w:p>
      <w:pPr>
        <w:pStyle w:val="Heading5"/>
        <w:spacing w:line="348" w:lineRule="auto" w:before="0"/>
        <w:ind w:left="574" w:right="817"/>
        <w:jc w:val="left"/>
      </w:pPr>
      <w:r>
        <w:rPr>
          <w:rFonts w:ascii="宋体" w:hAnsi="宋体" w:cs="宋体" w:eastAsia="宋体" w:hint="default"/>
        </w:rPr>
        <w:t>1</w:t>
      </w:r>
      <w:r>
        <w:rPr/>
        <w:t>、预计负债的确认标准 </w:t>
      </w:r>
      <w:r>
        <w:rPr>
          <w:spacing w:val="-1"/>
        </w:rPr>
        <w:t>与诉讼、债务担保、亏损合同、重组事项等或有事项相关的义务同时满足下列条件时，本公司确认为</w:t>
      </w:r>
    </w:p>
    <w:p>
      <w:pPr>
        <w:pStyle w:val="Heading5"/>
        <w:spacing w:line="240" w:lineRule="auto" w:before="30"/>
        <w:ind w:right="817"/>
        <w:jc w:val="left"/>
      </w:pPr>
      <w:r>
        <w:rPr/>
        <w:t>预计负债：</w:t>
      </w:r>
    </w:p>
    <w:p>
      <w:pPr>
        <w:pStyle w:val="Heading5"/>
        <w:spacing w:line="240" w:lineRule="auto" w:before="126"/>
        <w:ind w:left="574" w:right="817"/>
        <w:jc w:val="left"/>
      </w:pPr>
      <w:r>
        <w:rPr/>
        <w:t>（</w:t>
      </w:r>
      <w:r>
        <w:rPr>
          <w:rFonts w:ascii="宋体" w:hAnsi="宋体" w:cs="宋体" w:eastAsia="宋体" w:hint="default"/>
        </w:rPr>
        <w:t>1</w:t>
      </w:r>
      <w:r>
        <w:rPr/>
        <w:t>）该义务是本公司承担的现时义务；</w:t>
      </w:r>
    </w:p>
    <w:p>
      <w:pPr>
        <w:pStyle w:val="Heading5"/>
        <w:spacing w:line="240" w:lineRule="auto" w:before="124"/>
        <w:ind w:left="574" w:right="817"/>
        <w:jc w:val="left"/>
      </w:pPr>
      <w:r>
        <w:rPr/>
        <w:t>（</w:t>
      </w:r>
      <w:r>
        <w:rPr>
          <w:rFonts w:ascii="宋体" w:hAnsi="宋体" w:cs="宋体" w:eastAsia="宋体" w:hint="default"/>
        </w:rPr>
        <w:t>2</w:t>
      </w:r>
      <w:r>
        <w:rPr/>
        <w:t>）履行该义务很可能导致经济利益流出本公司；</w:t>
      </w:r>
    </w:p>
    <w:p>
      <w:pPr>
        <w:pStyle w:val="Heading5"/>
        <w:spacing w:line="350" w:lineRule="auto" w:before="124"/>
        <w:ind w:left="574" w:right="6867"/>
        <w:jc w:val="left"/>
      </w:pPr>
      <w:r>
        <w:rPr/>
        <w:t>（</w:t>
      </w:r>
      <w:r>
        <w:rPr>
          <w:rFonts w:ascii="宋体" w:hAnsi="宋体" w:cs="宋体" w:eastAsia="宋体" w:hint="default"/>
        </w:rPr>
        <w:t>3</w:t>
      </w:r>
      <w:r>
        <w:rPr/>
        <w:t>）该义务的金额能够可靠地计量。 </w:t>
      </w:r>
      <w:r>
        <w:rPr>
          <w:rFonts w:ascii="宋体" w:hAnsi="宋体" w:cs="宋体" w:eastAsia="宋体" w:hint="default"/>
        </w:rPr>
        <w:t>2</w:t>
      </w:r>
      <w:r>
        <w:rPr/>
        <w:t>、各类预计负债的计量方法</w:t>
      </w:r>
    </w:p>
    <w:p>
      <w:pPr>
        <w:pStyle w:val="Heading5"/>
        <w:spacing w:line="350" w:lineRule="auto"/>
        <w:ind w:right="1023" w:firstLine="420"/>
        <w:jc w:val="left"/>
      </w:pPr>
      <w:r>
        <w:rPr/>
        <w:t>本公司预计负债按履行相关现时义务所需的支出的最佳估计数进行初始计量。本公司在确定最佳估计 </w:t>
      </w:r>
      <w:r>
        <w:rPr>
          <w:spacing w:val="-3"/>
        </w:rPr>
        <w:t>数时，综合考虑与或有事项有关的风险、不确定性和货币时间价值等因素。对于货币时间价值影响重大的，</w:t>
      </w:r>
      <w:r>
        <w:rPr>
          <w:spacing w:val="-90"/>
        </w:rPr>
        <w:t> </w:t>
      </w:r>
      <w:r>
        <w:rPr>
          <w:spacing w:val="-90"/>
        </w:rPr>
      </w:r>
      <w:r>
        <w:rPr/>
        <w:t>通过对相关未来现金流出进行折现后确定最佳估计数。</w:t>
      </w:r>
    </w:p>
    <w:p>
      <w:pPr>
        <w:pStyle w:val="Heading5"/>
        <w:spacing w:line="348" w:lineRule="auto"/>
        <w:ind w:left="574" w:right="817"/>
        <w:jc w:val="left"/>
      </w:pPr>
      <w:r>
        <w:rPr/>
        <w:t>最佳估计数分别以下情况处理： </w:t>
      </w:r>
      <w:r>
        <w:rPr>
          <w:spacing w:val="-1"/>
        </w:rPr>
        <w:t>所需支出存在一个连续范围（或区间），且该范围内各种结果发生的可能性相同的，则最佳估计数按</w:t>
      </w:r>
    </w:p>
    <w:p>
      <w:pPr>
        <w:spacing w:after="0" w:line="34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left="574" w:right="817"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Heading5"/>
        <w:spacing w:line="350" w:lineRule="auto" w:before="31"/>
        <w:ind w:right="817"/>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Heading5"/>
        <w:spacing w:line="350" w:lineRule="auto"/>
        <w:ind w:right="817" w:firstLine="420"/>
        <w:jc w:val="left"/>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4"/>
        <w:rPr>
          <w:rFonts w:ascii="宋体" w:hAnsi="宋体" w:cs="宋体" w:eastAsia="宋体" w:hint="default"/>
          <w:sz w:val="18"/>
          <w:szCs w:val="18"/>
        </w:rPr>
      </w:pPr>
    </w:p>
    <w:p>
      <w:pPr>
        <w:pStyle w:val="Heading4"/>
        <w:spacing w:line="240" w:lineRule="auto"/>
        <w:ind w:right="817"/>
        <w:jc w:val="left"/>
        <w:rPr>
          <w:b w:val="0"/>
          <w:bCs w:val="0"/>
        </w:rPr>
      </w:pPr>
      <w:bookmarkStart w:name="24、股份支付" w:id="231"/>
      <w:bookmarkEnd w:id="231"/>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6"/>
        <w:rPr>
          <w:rFonts w:ascii="宋体" w:hAnsi="宋体" w:cs="宋体" w:eastAsia="宋体" w:hint="default"/>
          <w:b/>
          <w:bCs/>
          <w:sz w:val="31"/>
          <w:szCs w:val="31"/>
        </w:rPr>
      </w:pPr>
    </w:p>
    <w:p>
      <w:pPr>
        <w:pStyle w:val="Heading5"/>
        <w:spacing w:line="348" w:lineRule="auto" w:before="0"/>
        <w:ind w:right="817" w:firstLine="420"/>
        <w:jc w:val="left"/>
      </w:pPr>
      <w:r>
        <w:rPr>
          <w:spacing w:val="3"/>
        </w:rPr>
        <w:t>本公司的股份支付是为了获取职工</w:t>
      </w:r>
      <w:r>
        <w:rPr>
          <w:rFonts w:ascii="宋体" w:hAnsi="宋体" w:cs="宋体" w:eastAsia="宋体" w:hint="default"/>
          <w:spacing w:val="3"/>
        </w:rPr>
        <w:t>[</w:t>
      </w:r>
      <w:r>
        <w:rPr>
          <w:spacing w:val="3"/>
        </w:rPr>
        <w:t>或其他方</w:t>
      </w:r>
      <w:r>
        <w:rPr>
          <w:rFonts w:ascii="宋体" w:hAnsi="宋体" w:cs="宋体" w:eastAsia="宋体" w:hint="default"/>
          <w:spacing w:val="3"/>
        </w:rPr>
        <w:t>]</w:t>
      </w:r>
      <w:r>
        <w:rPr>
          <w:spacing w:val="3"/>
        </w:rPr>
        <w:t>提供服务而授予权益工具或者承担以权益工具为基础</w:t>
      </w:r>
      <w:r>
        <w:rPr/>
        <w:t> 确定的负债的交易。本公司的股份支付分为以权益结算的股份支付和以现金结算的股份支付。</w:t>
      </w:r>
    </w:p>
    <w:p>
      <w:pPr>
        <w:pStyle w:val="Heading5"/>
        <w:spacing w:line="348" w:lineRule="auto" w:before="31"/>
        <w:ind w:left="574" w:right="817"/>
        <w:jc w:val="left"/>
      </w:pPr>
      <w:r>
        <w:rPr>
          <w:rFonts w:ascii="宋体" w:hAnsi="宋体" w:cs="宋体" w:eastAsia="宋体" w:hint="default"/>
        </w:rPr>
        <w:t>1</w:t>
      </w:r>
      <w:r>
        <w:rPr/>
        <w:t>、以权益结算的股份支付及权益工具 </w:t>
      </w:r>
      <w:r>
        <w:rPr>
          <w:spacing w:val="-1"/>
        </w:rPr>
        <w:t>以权益结算的股份支付换取职工提供服务的，以授予职工权益工具的公允价值计量。本公司以限制性</w:t>
      </w:r>
    </w:p>
    <w:p>
      <w:pPr>
        <w:pStyle w:val="Heading5"/>
        <w:spacing w:line="350" w:lineRule="auto" w:before="30"/>
        <w:ind w:right="1008"/>
        <w:jc w:val="left"/>
      </w:pPr>
      <w:r>
        <w:rPr/>
        <w:t>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w:t>
      </w:r>
      <w:r>
        <w:rPr>
          <w:rFonts w:ascii="宋体" w:hAnsi="宋体" w:cs="宋体" w:eastAsia="宋体" w:hint="default"/>
        </w:rPr>
        <w:t>[</w:t>
      </w:r>
      <w:r>
        <w:rPr/>
        <w:t>可行权职工人数变动</w:t>
      </w:r>
      <w:r>
        <w:rPr>
          <w:rFonts w:ascii="宋体" w:hAnsi="宋体" w:cs="宋体" w:eastAsia="宋体" w:hint="default"/>
        </w:rPr>
        <w:t>]</w:t>
      </w:r>
      <w:r>
        <w:rPr>
          <w:rFonts w:ascii="宋体" w:hAnsi="宋体" w:cs="宋体" w:eastAsia="宋体" w:hint="default"/>
          <w:spacing w:val="-21"/>
        </w:rPr>
        <w:t> </w:t>
      </w:r>
      <w:r>
        <w:rPr/>
        <w:t>、 </w:t>
      </w:r>
      <w:r>
        <w:rPr>
          <w:rFonts w:ascii="宋体" w:hAnsi="宋体" w:cs="宋体" w:eastAsia="宋体" w:hint="default"/>
        </w:rPr>
        <w:t>[</w:t>
      </w:r>
      <w:r>
        <w:rPr/>
        <w:t>是否达到规定业绩条件</w:t>
      </w:r>
      <w:r>
        <w:rPr>
          <w:rFonts w:ascii="宋体" w:hAnsi="宋体" w:cs="宋体" w:eastAsia="宋体" w:hint="default"/>
        </w:rPr>
        <w:t>]</w:t>
      </w:r>
      <w:r>
        <w:rPr/>
        <w:t>等后续信息对可行权权益工具数量作出最佳估计，以此为基础，按照授予日的公 允价值，将当期取得的服务计入相关成本或费用，相应增加资本公积。在可行权日之后不再对已确认的相 关成本或费用和所有者权益总额进行调整。但授予后立即可行权的，在授予日按照公允价值计入相关成本 或费用，相应增加资本公积。</w:t>
      </w:r>
    </w:p>
    <w:p>
      <w:pPr>
        <w:pStyle w:val="Heading5"/>
        <w:spacing w:line="348" w:lineRule="auto"/>
        <w:ind w:right="817" w:firstLine="420"/>
        <w:jc w:val="left"/>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pStyle w:val="Heading5"/>
        <w:spacing w:line="348" w:lineRule="auto" w:before="31"/>
        <w:ind w:right="817" w:firstLine="420"/>
        <w:jc w:val="left"/>
      </w:pPr>
      <w:r>
        <w:rPr>
          <w:spacing w:val="-1"/>
        </w:rPr>
        <w:t>如果修改了以权益结算的股份支付的条款，至少按照未修改条款的情况确认取得的服务。此外，任何</w:t>
      </w:r>
      <w:r>
        <w:rPr/>
        <w:t> 增加所授予权益工具公允价值的修改，或在修改日对职工有利的变更，均确认取得服务的增加。</w:t>
      </w:r>
    </w:p>
    <w:p>
      <w:pPr>
        <w:pStyle w:val="Heading5"/>
        <w:spacing w:line="350" w:lineRule="auto" w:before="30"/>
        <w:ind w:right="1023" w:firstLine="420"/>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r>
        <w:rPr>
          <w:spacing w:val="-92"/>
        </w:rPr>
        <w:t> </w:t>
      </w:r>
      <w:r>
        <w:rPr>
          <w:spacing w:val="-92"/>
        </w:rPr>
      </w:r>
      <w:r>
        <w:rPr>
          <w:spacing w:val="3"/>
        </w:rPr>
        <w:t>如果授予新的权益工具，并在新权益工具授予日认定所授予的新权益工具是用于替代被取消的权益工具</w:t>
      </w:r>
      <w:r>
        <w:rPr>
          <w:spacing w:val="-77"/>
        </w:rPr>
        <w:t> </w:t>
      </w:r>
      <w:r>
        <w:rPr>
          <w:spacing w:val="-77"/>
        </w:rPr>
      </w:r>
      <w:r>
        <w:rPr/>
        <w:t>的，则以与处理原权益工具条款和条件修改相同的方式，对所授予的替代权益工具进行处理。</w:t>
      </w:r>
    </w:p>
    <w:p>
      <w:pPr>
        <w:pStyle w:val="Heading5"/>
        <w:spacing w:line="348" w:lineRule="auto" w:before="29"/>
        <w:ind w:left="574" w:right="817"/>
        <w:jc w:val="left"/>
      </w:pPr>
      <w:r>
        <w:rPr>
          <w:rFonts w:ascii="宋体" w:hAnsi="宋体" w:cs="宋体" w:eastAsia="宋体" w:hint="default"/>
        </w:rPr>
        <w:t>2</w:t>
      </w:r>
      <w:r>
        <w:rPr/>
        <w:t>、以现金结算的股份支付及权益工具 </w:t>
      </w:r>
      <w:r>
        <w:rPr>
          <w:spacing w:val="-1"/>
        </w:rPr>
        <w:t>以现金结算的股份支付，按照本公司承担的以股份或其他权益工具为基础计算确定的负债的公允价值</w:t>
      </w:r>
    </w:p>
    <w:p>
      <w:pPr>
        <w:pStyle w:val="Heading5"/>
        <w:spacing w:line="350" w:lineRule="auto" w:before="30"/>
        <w:ind w:right="1130"/>
        <w:jc w:val="both"/>
      </w:pPr>
      <w:r>
        <w:rPr>
          <w:spacing w:val="-1"/>
        </w:rPr>
        <w:t>计量。授予后立即可行权的，在授予日以承担负债的公允价值计入成本或费用，相应增加负债；完成等待</w:t>
      </w:r>
      <w:r>
        <w:rPr>
          <w:spacing w:val="-86"/>
        </w:rPr>
        <w:t> </w:t>
      </w:r>
      <w:r>
        <w:rPr>
          <w:spacing w:val="-86"/>
        </w:rPr>
      </w:r>
      <w:r>
        <w:rPr>
          <w:spacing w:val="-1"/>
        </w:rPr>
        <w:t>期内的服务或达到规定业绩条件才可行权的，在等待期内以对可行权情况的最佳估计为基础，按照承担负</w:t>
      </w:r>
      <w:r>
        <w:rPr>
          <w:spacing w:val="-81"/>
        </w:rPr>
        <w:t> </w:t>
      </w:r>
      <w:r>
        <w:rPr>
          <w:spacing w:val="-81"/>
        </w:rPr>
      </w:r>
      <w:r>
        <w:rPr>
          <w:spacing w:val="-1"/>
        </w:rPr>
        <w:t>债的公允价值，将当期取得的服务计入相关成本或费用，增加相应负债。在相关负债结算前的每个资产负</w:t>
      </w:r>
      <w:r>
        <w:rPr>
          <w:spacing w:val="-82"/>
        </w:rPr>
        <w:t> </w:t>
      </w:r>
      <w:r>
        <w:rPr>
          <w:spacing w:val="-82"/>
        </w:rPr>
      </w:r>
      <w:r>
        <w:rPr/>
        <w:t>债表日以及结算日，对负债的公允价值重新计量，其变动计入当期损益。</w:t>
      </w:r>
    </w:p>
    <w:p>
      <w:pPr>
        <w:spacing w:after="0" w:line="35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bookmarkStart w:name="25、收入" w:id="232"/>
      <w:bookmarkEnd w:id="232"/>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Heading5"/>
        <w:spacing w:line="348" w:lineRule="auto" w:before="93"/>
        <w:ind w:left="574" w:right="817"/>
        <w:jc w:val="left"/>
      </w:pPr>
      <w:r>
        <w:rPr>
          <w:rFonts w:ascii="宋体" w:hAnsi="宋体" w:cs="宋体" w:eastAsia="宋体" w:hint="default"/>
        </w:rPr>
        <w:t>1</w:t>
      </w:r>
      <w:r>
        <w:rPr/>
        <w:t>、销售商品收入确认时间的具体判断标准 </w:t>
      </w:r>
      <w:r>
        <w:rPr>
          <w:spacing w:val="-1"/>
        </w:rPr>
        <w:t>销售商品收入确认和计量的总体原则公司已将商品所有权上的主要风险和报酬转移给购买方；公司既</w:t>
      </w:r>
    </w:p>
    <w:p>
      <w:pPr>
        <w:pStyle w:val="Heading5"/>
        <w:spacing w:line="350" w:lineRule="auto" w:before="30"/>
        <w:ind w:right="1131"/>
        <w:jc w:val="both"/>
      </w:pPr>
      <w:r>
        <w:rPr>
          <w:spacing w:val="-1"/>
        </w:rPr>
        <w:t>没有保留与所有权相联系的继续管理权，也没有对已售出的商品实施有效控制；收入的金额能够可靠地计</w:t>
      </w:r>
      <w:r>
        <w:rPr>
          <w:spacing w:val="-81"/>
        </w:rPr>
        <w:t> </w:t>
      </w:r>
      <w:r>
        <w:rPr>
          <w:spacing w:val="-81"/>
        </w:rPr>
      </w:r>
      <w:r>
        <w:rPr>
          <w:spacing w:val="-1"/>
        </w:rPr>
        <w:t>量；相关的经济利益很可能流入企业；相关的已发生或将发生的成本能够可靠地计量时，确认商品销售收</w:t>
      </w:r>
      <w:r>
        <w:rPr>
          <w:spacing w:val="-83"/>
        </w:rPr>
        <w:t> </w:t>
      </w:r>
      <w:r>
        <w:rPr>
          <w:spacing w:val="-83"/>
        </w:rPr>
      </w:r>
      <w:r>
        <w:rPr/>
        <w:t>入实现。</w:t>
      </w:r>
    </w:p>
    <w:p>
      <w:pPr>
        <w:pStyle w:val="Heading5"/>
        <w:spacing w:line="350" w:lineRule="auto"/>
        <w:ind w:left="574" w:right="817"/>
        <w:jc w:val="left"/>
      </w:pPr>
      <w:r>
        <w:rPr>
          <w:rFonts w:ascii="宋体" w:hAnsi="宋体" w:cs="宋体" w:eastAsia="宋体" w:hint="default"/>
        </w:rPr>
        <w:t>2</w:t>
      </w:r>
      <w:r>
        <w:rPr/>
        <w:t>、确认让渡资产使用权收入的依据 </w:t>
      </w:r>
      <w:r>
        <w:rPr>
          <w:spacing w:val="-1"/>
        </w:rPr>
        <w:t>与交易相关的经济利益很可能流入企业，收入的金额能够可靠地计量时。分别下列情况确定让渡资产</w:t>
      </w:r>
    </w:p>
    <w:p>
      <w:pPr>
        <w:pStyle w:val="Heading5"/>
        <w:spacing w:line="240" w:lineRule="auto"/>
        <w:ind w:right="0"/>
        <w:jc w:val="both"/>
      </w:pPr>
      <w:r>
        <w:rPr/>
        <w:t>使用权收入金额：</w:t>
      </w:r>
    </w:p>
    <w:p>
      <w:pPr>
        <w:pStyle w:val="Heading5"/>
        <w:spacing w:line="240" w:lineRule="auto" w:before="124"/>
        <w:ind w:left="574" w:right="817"/>
        <w:jc w:val="left"/>
      </w:pPr>
      <w:r>
        <w:rPr/>
        <w:t>（</w:t>
      </w:r>
      <w:r>
        <w:rPr>
          <w:rFonts w:ascii="宋体" w:hAnsi="宋体" w:cs="宋体" w:eastAsia="宋体" w:hint="default"/>
        </w:rPr>
        <w:t>1</w:t>
      </w:r>
      <w:r>
        <w:rPr/>
        <w:t>）利息收入金额，按照他人使用本企业货币资金的时间和实际利率计算确定。</w:t>
      </w:r>
    </w:p>
    <w:p>
      <w:pPr>
        <w:pStyle w:val="Heading5"/>
        <w:spacing w:line="348" w:lineRule="auto" w:before="126"/>
        <w:ind w:left="574" w:right="817"/>
        <w:jc w:val="left"/>
      </w:pPr>
      <w:r>
        <w:rPr/>
        <w:t>（</w:t>
      </w:r>
      <w:r>
        <w:rPr>
          <w:rFonts w:ascii="宋体" w:hAnsi="宋体" w:cs="宋体" w:eastAsia="宋体" w:hint="default"/>
        </w:rPr>
        <w:t>2</w:t>
      </w:r>
      <w:r>
        <w:rPr/>
        <w:t>）使用费收入金额，按照有关合同或协议约定的收费时间和方法计算确定。 </w:t>
      </w:r>
      <w:r>
        <w:rPr>
          <w:rFonts w:ascii="宋体" w:hAnsi="宋体" w:cs="宋体" w:eastAsia="宋体" w:hint="default"/>
        </w:rPr>
        <w:t>3</w:t>
      </w:r>
      <w:r>
        <w:rPr/>
        <w:t>、按完工百分比法确认提供劳务的收入和建造合同收入时，确定合同完工进度的依据和方法 </w:t>
      </w:r>
      <w:r>
        <w:rPr>
          <w:spacing w:val="-1"/>
        </w:rPr>
        <w:t>在资产负债表日提供劳务交易的结果能够可靠估计的，采用完工百分比法确认提供劳务收入。提供劳</w:t>
      </w:r>
    </w:p>
    <w:p>
      <w:pPr>
        <w:pStyle w:val="Heading5"/>
        <w:spacing w:line="348" w:lineRule="auto" w:before="31"/>
        <w:ind w:left="574" w:right="817" w:hanging="420"/>
        <w:jc w:val="left"/>
      </w:pPr>
      <w:r>
        <w:rPr/>
        <w:t>务交易的完工进度，依据已完工作的测量确定。 </w:t>
      </w:r>
      <w:r>
        <w:rPr>
          <w:spacing w:val="-1"/>
        </w:rPr>
        <w:t>按照已收或应收的合同或协议价款确定提供劳务收入总额，但已收或应收的合同或协议价款不公允的</w:t>
      </w:r>
    </w:p>
    <w:p>
      <w:pPr>
        <w:pStyle w:val="Heading5"/>
        <w:spacing w:line="350" w:lineRule="auto" w:before="30"/>
        <w:ind w:right="113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Heading5"/>
        <w:spacing w:line="240" w:lineRule="auto"/>
        <w:ind w:left="574" w:right="817"/>
        <w:jc w:val="left"/>
      </w:pPr>
      <w:r>
        <w:rPr/>
        <w:t>在资产负债表日提供劳务交易结果不能够可靠估计的，分别下列情况处理：</w:t>
      </w:r>
    </w:p>
    <w:p>
      <w:pPr>
        <w:pStyle w:val="Heading5"/>
        <w:spacing w:line="348" w:lineRule="auto" w:before="126"/>
        <w:ind w:right="1197" w:firstLine="420"/>
        <w:jc w:val="left"/>
      </w:pPr>
      <w:r>
        <w:rPr/>
        <w:t>（</w:t>
      </w:r>
      <w:r>
        <w:rPr>
          <w:rFonts w:ascii="宋体" w:hAnsi="宋体" w:cs="宋体" w:eastAsia="宋体" w:hint="default"/>
        </w:rPr>
        <w:t>1</w:t>
      </w:r>
      <w:r>
        <w:rPr/>
        <w:t>）已经发生的劳务成本预计能够得到补偿的，按照已经发生的劳务成本金额确认提供劳务收入， 并按相同金额结转劳务成本。</w:t>
      </w:r>
    </w:p>
    <w:p>
      <w:pPr>
        <w:pStyle w:val="Heading5"/>
        <w:spacing w:line="350" w:lineRule="auto" w:before="30"/>
        <w:ind w:right="1197" w:firstLine="420"/>
        <w:jc w:val="left"/>
      </w:pPr>
      <w:r>
        <w:rPr/>
        <w:t>（</w:t>
      </w:r>
      <w:r>
        <w:rPr>
          <w:rFonts w:ascii="宋体" w:hAnsi="宋体" w:cs="宋体" w:eastAsia="宋体" w:hint="default"/>
        </w:rPr>
        <w:t>2</w:t>
      </w:r>
      <w:r>
        <w:rPr/>
        <w:t>）已经发生的劳务成本预计不能够得到补偿的，将已经发生的劳务成本计入当期损益，不确认提 供劳务收入。</w:t>
      </w:r>
    </w:p>
    <w:p>
      <w:pPr>
        <w:pStyle w:val="Heading5"/>
        <w:spacing w:line="350" w:lineRule="auto"/>
        <w:ind w:left="574" w:right="4032"/>
        <w:jc w:val="left"/>
      </w:pPr>
      <w:r>
        <w:rPr>
          <w:rFonts w:ascii="宋体" w:hAnsi="宋体" w:cs="宋体" w:eastAsia="宋体" w:hint="default"/>
        </w:rPr>
        <w:t>4</w:t>
      </w:r>
      <w:r>
        <w:rPr/>
        <w:t>、本公司收入确认的具体方法 版权技术业务：根据版权技术服务阶段性成果确认收入； 版权保护业务：完成版权认证服务后确认收入； 版权交易业务：根据交易平台数据核对后确认收入； 版权增值业务：完成版权增值服务后确认收入。 商务信息用纸：购货方收到货物并签收后确认收入。 影视剧投资业务：根据联合摄制主导方的实际结算单金额确认收入。</w:t>
      </w:r>
    </w:p>
    <w:p>
      <w:pPr>
        <w:spacing w:after="0" w:line="35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817"/>
        <w:jc w:val="left"/>
        <w:rPr>
          <w:b w:val="0"/>
          <w:bCs w:val="0"/>
        </w:rPr>
      </w:pPr>
      <w:bookmarkStart w:name="26、政府补助" w:id="233"/>
      <w:bookmarkEnd w:id="233"/>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6"/>
        <w:rPr>
          <w:rFonts w:ascii="宋体" w:hAnsi="宋体" w:cs="宋体" w:eastAsia="宋体" w:hint="default"/>
          <w:b/>
          <w:bCs/>
          <w:sz w:val="31"/>
          <w:szCs w:val="31"/>
        </w:rPr>
      </w:pPr>
    </w:p>
    <w:p>
      <w:pPr>
        <w:pStyle w:val="Heading5"/>
        <w:spacing w:line="348" w:lineRule="auto" w:before="0"/>
        <w:ind w:left="574" w:right="817"/>
        <w:jc w:val="left"/>
      </w:pPr>
      <w:r>
        <w:rPr>
          <w:rFonts w:ascii="宋体" w:hAnsi="宋体" w:cs="宋体" w:eastAsia="宋体" w:hint="default"/>
        </w:rPr>
        <w:t>1.</w:t>
      </w:r>
      <w:r>
        <w:rPr/>
        <w:t>类型 </w:t>
      </w:r>
      <w:r>
        <w:rPr>
          <w:spacing w:val="-1"/>
        </w:rPr>
        <w:t>政府补助，是本公司从政府无偿取得的货币性资产与非货币性资产。分为与资产相关的政府补助和与</w:t>
      </w:r>
    </w:p>
    <w:p>
      <w:pPr>
        <w:pStyle w:val="Heading5"/>
        <w:spacing w:line="348" w:lineRule="auto" w:before="32"/>
        <w:ind w:left="574" w:right="817" w:hanging="420"/>
        <w:jc w:val="left"/>
      </w:pPr>
      <w:r>
        <w:rPr/>
        <w:t>收益相关的政府补助。 </w:t>
      </w:r>
      <w:r>
        <w:rPr>
          <w:spacing w:val="-1"/>
        </w:rPr>
        <w:t>与资产相关的政府补助，是指本公司取得的、用于购建或以其他方式形成长期资产的政府补助。与收</w:t>
      </w:r>
    </w:p>
    <w:p>
      <w:pPr>
        <w:pStyle w:val="Heading5"/>
        <w:spacing w:line="350" w:lineRule="auto" w:before="30"/>
        <w:ind w:left="574" w:right="4452" w:hanging="420"/>
        <w:jc w:val="left"/>
      </w:pPr>
      <w:r>
        <w:rPr/>
        <w:t>益相关的政府补助，是指除与资产相关的政府补助之外的政府补助。 </w:t>
      </w:r>
      <w:r>
        <w:rPr>
          <w:rFonts w:ascii="宋体" w:hAnsi="宋体" w:cs="宋体" w:eastAsia="宋体" w:hint="default"/>
        </w:rPr>
        <w:t>2.</w:t>
      </w:r>
      <w:r>
        <w:rPr/>
        <w:t>政府补助确认时点</w:t>
      </w:r>
    </w:p>
    <w:p>
      <w:pPr>
        <w:pStyle w:val="Heading5"/>
        <w:spacing w:line="348" w:lineRule="auto"/>
        <w:ind w:left="574" w:right="6762"/>
        <w:jc w:val="left"/>
      </w:pPr>
      <w:r>
        <w:rPr/>
        <w:t>按实际收到政府补助款项为确认时点。 </w:t>
      </w:r>
      <w:r>
        <w:rPr>
          <w:rFonts w:ascii="宋体" w:hAnsi="宋体" w:cs="宋体" w:eastAsia="宋体" w:hint="default"/>
        </w:rPr>
        <w:t>3</w:t>
      </w:r>
      <w:r>
        <w:rPr/>
        <w:t>、会计处理</w:t>
      </w:r>
    </w:p>
    <w:p>
      <w:pPr>
        <w:pStyle w:val="Heading5"/>
        <w:spacing w:line="348" w:lineRule="auto" w:before="31"/>
        <w:ind w:right="1131" w:firstLine="420"/>
        <w:jc w:val="both"/>
      </w:pPr>
      <w:r>
        <w:rPr>
          <w:spacing w:val="-1"/>
        </w:rPr>
        <w:t>与资产相关的政府补助，冲减相关资产账面价值或确认为递延收益。确认为递延收益的，在相关资产</w:t>
      </w:r>
      <w:r>
        <w:rPr/>
        <w:t> </w:t>
      </w:r>
      <w:r>
        <w:rPr>
          <w:spacing w:val="-1"/>
        </w:rPr>
        <w:t>使用寿命内按照合理、系统的方法分期计入当期损益（与本公司日常活动相关的，计入其他收益；与本公</w:t>
      </w:r>
      <w:r>
        <w:rPr>
          <w:spacing w:val="-86"/>
        </w:rPr>
        <w:t> </w:t>
      </w:r>
      <w:r>
        <w:rPr>
          <w:spacing w:val="-86"/>
        </w:rPr>
      </w:r>
      <w:r>
        <w:rPr/>
        <w:t>司日常活动无关的，计入营业外收入）；</w:t>
      </w:r>
    </w:p>
    <w:p>
      <w:pPr>
        <w:pStyle w:val="Heading5"/>
        <w:spacing w:line="350" w:lineRule="auto" w:before="31"/>
        <w:ind w:right="1131" w:firstLine="420"/>
        <w:jc w:val="both"/>
      </w:pPr>
      <w:r>
        <w:rPr>
          <w:spacing w:val="-1"/>
        </w:rPr>
        <w:t>与收益相关的政府补助，用于补偿本公司以后期间的相关成本费用或损失的，确认为递延收益，并在</w:t>
      </w:r>
      <w:r>
        <w:rPr/>
        <w:t> </w:t>
      </w:r>
      <w:r>
        <w:rPr>
          <w:spacing w:val="-1"/>
        </w:rPr>
        <w:t>确认相关成本费用或损失的期间，计入当期损益（与本公司日常活动相关的，计入其他收益；与本公司日</w:t>
      </w:r>
      <w:r>
        <w:rPr>
          <w:spacing w:val="-86"/>
        </w:rPr>
        <w:t> </w:t>
      </w:r>
      <w:r>
        <w:rPr>
          <w:spacing w:val="-86"/>
        </w:rPr>
      </w:r>
      <w:r>
        <w:rPr>
          <w:spacing w:val="-1"/>
        </w:rPr>
        <w:t>常活动无关的，计入营业外收入）或冲减相关成本费用或损失；用于补偿本公司已发生的相关成本费用或</w:t>
      </w:r>
      <w:r>
        <w:rPr>
          <w:spacing w:val="-83"/>
        </w:rPr>
        <w:t> </w:t>
      </w:r>
      <w:r>
        <w:rPr>
          <w:spacing w:val="-83"/>
        </w:rPr>
      </w:r>
      <w:r>
        <w:rPr>
          <w:spacing w:val="-1"/>
        </w:rPr>
        <w:t>损失的，直接计入当期损益（与本公司日常活动相关的，计入其他收益；与本公司日常活动无关的，计入</w:t>
      </w:r>
      <w:r>
        <w:rPr>
          <w:spacing w:val="-83"/>
        </w:rPr>
        <w:t> </w:t>
      </w:r>
      <w:r>
        <w:rPr>
          <w:spacing w:val="-83"/>
        </w:rPr>
      </w:r>
      <w:r>
        <w:rPr/>
        <w:t>营业外收入）或冲减相关成本费用或损失。</w:t>
      </w:r>
    </w:p>
    <w:p>
      <w:pPr>
        <w:pStyle w:val="Heading5"/>
        <w:spacing w:line="240" w:lineRule="auto"/>
        <w:ind w:left="574" w:right="817"/>
        <w:jc w:val="left"/>
      </w:pPr>
      <w:r>
        <w:rPr/>
        <w:t>本公司取得的政策性优惠贷款贴息，区分以下两种情况，分别进行会计处理：</w:t>
      </w:r>
    </w:p>
    <w:p>
      <w:pPr>
        <w:pStyle w:val="Heading5"/>
        <w:spacing w:line="348" w:lineRule="auto" w:before="126"/>
        <w:ind w:right="1141" w:firstLine="420"/>
        <w:jc w:val="both"/>
      </w:pPr>
      <w:r>
        <w:rPr/>
        <w:t>（</w:t>
      </w:r>
      <w:r>
        <w:rPr>
          <w:rFonts w:ascii="宋体" w:hAnsi="宋体" w:cs="宋体" w:eastAsia="宋体" w:hint="default"/>
        </w:rPr>
        <w:t>1</w:t>
      </w:r>
      <w:r>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Heading5"/>
        <w:spacing w:line="240" w:lineRule="auto" w:before="30"/>
        <w:ind w:left="574" w:right="817"/>
        <w:jc w:val="left"/>
      </w:pPr>
      <w:r>
        <w:rPr/>
        <w:t>（</w:t>
      </w:r>
      <w:r>
        <w:rPr>
          <w:rFonts w:ascii="宋体" w:hAnsi="宋体" w:cs="宋体" w:eastAsia="宋体" w:hint="default"/>
        </w:rPr>
        <w:t>2</w:t>
      </w:r>
      <w:r>
        <w:rPr/>
        <w:t>）财政将贴息资金直接拨付给本公司的，本公司将对应的贴息冲减相关借款费用。</w:t>
      </w:r>
    </w:p>
    <w:p>
      <w:pPr>
        <w:spacing w:line="702" w:lineRule="exact" w:before="21"/>
        <w:ind w:left="574" w:right="817" w:hanging="420"/>
        <w:jc w:val="left"/>
        <w:rPr>
          <w:rFonts w:ascii="宋体" w:hAnsi="宋体" w:cs="宋体" w:eastAsia="宋体" w:hint="default"/>
          <w:sz w:val="21"/>
          <w:szCs w:val="21"/>
        </w:rPr>
      </w:pPr>
      <w:bookmarkStart w:name="27、递延所得税资产/递延所得税负债" w:id="234"/>
      <w:bookmarkEnd w:id="234"/>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Heading5"/>
        <w:spacing w:line="348" w:lineRule="auto" w:before="14"/>
        <w:ind w:right="817"/>
        <w:jc w:val="left"/>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Heading5"/>
        <w:spacing w:line="348" w:lineRule="auto" w:before="31"/>
        <w:ind w:left="574" w:right="817"/>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Heading5"/>
        <w:spacing w:line="350" w:lineRule="auto" w:before="30"/>
        <w:ind w:left="574" w:right="817"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Heading5"/>
        <w:spacing w:line="350" w:lineRule="auto"/>
        <w:ind w:right="817"/>
        <w:jc w:val="left"/>
      </w:pPr>
      <w:r>
        <w:rPr/>
        <w:t>产及当期所得税负债以抵销后的净额列报。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p>
    <w:p>
      <w:pPr>
        <w:spacing w:after="0" w:line="35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240" w:lineRule="auto" w:before="35"/>
        <w:ind w:right="817"/>
        <w:jc w:val="left"/>
      </w:pPr>
      <w:r>
        <w:rPr/>
        <w:t>是同时取得资产、清偿负债时，递延所得税资产及递延所得税负债以抵销后的净额列报。</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28、租赁" w:id="235"/>
      <w:bookmarkEnd w:id="235"/>
      <w:r>
        <w:rPr>
          <w:b w:val="0"/>
          <w:bCs w:val="0"/>
        </w:rPr>
      </w:r>
      <w:r>
        <w:rPr>
          <w:rFonts w:ascii="Times New Roman" w:hAnsi="Times New Roman" w:cs="Times New Roman" w:eastAsia="Times New Roman" w:hint="default"/>
        </w:rPr>
        <w:t>28</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经营租赁的会计处理方法" w:id="236"/>
      <w:bookmarkEnd w:id="23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1"/>
          <w:szCs w:val="31"/>
        </w:rPr>
      </w:pPr>
    </w:p>
    <w:p>
      <w:pPr>
        <w:pStyle w:val="Heading5"/>
        <w:spacing w:line="350" w:lineRule="auto" w:before="0"/>
        <w:ind w:right="817" w:firstLine="420"/>
        <w:jc w:val="left"/>
      </w:pPr>
      <w:r>
        <w:rPr/>
        <w:t>（</w:t>
      </w:r>
      <w:r>
        <w:rPr>
          <w:rFonts w:ascii="宋体" w:hAnsi="宋体" w:cs="宋体" w:eastAsia="宋体" w:hint="default"/>
        </w:rPr>
        <w:t>1</w:t>
      </w:r>
      <w:r>
        <w:rPr/>
        <w:t>）公司租入资产所支付的租赁费，在不扣除免租期的整个租赁期内，按直线法进行分摊，计入当 期费用。公司支付的与租赁交易相关的初始直接费用，计入当期费用。</w:t>
      </w:r>
    </w:p>
    <w:p>
      <w:pPr>
        <w:pStyle w:val="Heading5"/>
        <w:spacing w:line="348" w:lineRule="auto"/>
        <w:ind w:right="817" w:firstLine="420"/>
        <w:jc w:val="left"/>
      </w:pPr>
      <w:r>
        <w:rPr>
          <w:spacing w:val="-1"/>
        </w:rPr>
        <w:t>资产出租方承担了应由公司承担的与租赁相关的费用时，公司将该部分费用从租金总额中扣除，按扣</w:t>
      </w:r>
      <w:r>
        <w:rPr/>
        <w:t> 除后的租金费用在租赁期内分摊，计入当期费用。</w:t>
      </w:r>
    </w:p>
    <w:p>
      <w:pPr>
        <w:pStyle w:val="Heading5"/>
        <w:spacing w:line="348" w:lineRule="auto" w:before="31"/>
        <w:ind w:right="1023" w:firstLine="315"/>
        <w:jc w:val="left"/>
      </w:pPr>
      <w:r>
        <w:rPr/>
        <w:t>（</w:t>
      </w:r>
      <w:r>
        <w:rPr>
          <w:rFonts w:ascii="宋体" w:hAnsi="宋体" w:cs="宋体" w:eastAsia="宋体" w:hint="default"/>
        </w:rPr>
        <w:t>2</w:t>
      </w:r>
      <w:r>
        <w:rPr/>
        <w:t>）公司出租资产所收取的租赁费，在不扣除免租期的整个租赁期内，按直线法进行分摊，确认为租 </w:t>
      </w:r>
      <w:r>
        <w:rPr>
          <w:spacing w:val="-3"/>
        </w:rPr>
        <w:t>赁相关收入。公司支付的与租赁交易相关的初始直接费用，计入当期费用；如金额较大的，则予以资本化，</w:t>
      </w:r>
      <w:r>
        <w:rPr>
          <w:spacing w:val="-95"/>
        </w:rPr>
        <w:t> </w:t>
      </w:r>
      <w:r>
        <w:rPr>
          <w:spacing w:val="-95"/>
        </w:rPr>
      </w:r>
      <w:r>
        <w:rPr/>
        <w:t>在整个租赁期间内按照与租赁相关收入确认相同的基础分期计入当期收益。</w:t>
      </w:r>
    </w:p>
    <w:p>
      <w:pPr>
        <w:pStyle w:val="Heading5"/>
        <w:spacing w:line="348" w:lineRule="auto" w:before="31"/>
        <w:ind w:right="817"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6"/>
        <w:rPr>
          <w:rFonts w:ascii="宋体" w:hAnsi="宋体" w:cs="宋体" w:eastAsia="宋体" w:hint="default"/>
          <w:sz w:val="18"/>
          <w:szCs w:val="18"/>
        </w:rPr>
      </w:pPr>
    </w:p>
    <w:p>
      <w:pPr>
        <w:pStyle w:val="Heading4"/>
        <w:spacing w:line="240" w:lineRule="auto"/>
        <w:ind w:right="817"/>
        <w:jc w:val="left"/>
        <w:rPr>
          <w:b w:val="0"/>
          <w:bCs w:val="0"/>
        </w:rPr>
      </w:pPr>
      <w:bookmarkStart w:name="（2）融资租赁的会计处理方法" w:id="237"/>
      <w:bookmarkEnd w:id="23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1"/>
          <w:szCs w:val="31"/>
        </w:rPr>
      </w:pPr>
    </w:p>
    <w:p>
      <w:pPr>
        <w:pStyle w:val="Heading5"/>
        <w:spacing w:line="350" w:lineRule="auto" w:before="0"/>
        <w:ind w:right="1023" w:firstLine="420"/>
        <w:jc w:val="left"/>
      </w:pPr>
      <w:r>
        <w:rPr/>
        <w:t>（</w:t>
      </w:r>
      <w:r>
        <w:rPr>
          <w:rFonts w:ascii="宋体" w:hAnsi="宋体" w:cs="宋体" w:eastAsia="宋体"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r>
        <w:rPr>
          <w:spacing w:val="-92"/>
        </w:rPr>
        <w:t> </w:t>
      </w:r>
      <w:r>
        <w:rPr>
          <w:spacing w:val="-92"/>
        </w:rPr>
      </w:r>
      <w:r>
        <w:rPr/>
        <w:t>公司采用实际利率法对未确认的融资费用，在资产租赁期间内摊销，计入财务费用。公司发生的初始直接</w:t>
      </w:r>
      <w:r>
        <w:rPr/>
        <w:t> 费用，计入租入资产价值。</w:t>
      </w:r>
    </w:p>
    <w:p>
      <w:pPr>
        <w:pStyle w:val="Heading5"/>
        <w:spacing w:line="350" w:lineRule="auto"/>
        <w:ind w:right="1131" w:firstLine="420"/>
        <w:jc w:val="both"/>
      </w:pPr>
      <w:r>
        <w:rPr/>
        <w:t>（</w:t>
      </w:r>
      <w:r>
        <w:rPr>
          <w:rFonts w:ascii="宋体" w:hAnsi="宋体" w:cs="宋体" w:eastAsia="宋体"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line="240" w:lineRule="auto" w:before="4"/>
        <w:rPr>
          <w:rFonts w:ascii="宋体" w:hAnsi="宋体" w:cs="宋体" w:eastAsia="宋体" w:hint="default"/>
          <w:sz w:val="18"/>
          <w:szCs w:val="18"/>
        </w:rPr>
      </w:pPr>
    </w:p>
    <w:p>
      <w:pPr>
        <w:pStyle w:val="Heading4"/>
        <w:spacing w:line="240" w:lineRule="auto"/>
        <w:ind w:right="817"/>
        <w:jc w:val="left"/>
        <w:rPr>
          <w:b w:val="0"/>
          <w:bCs w:val="0"/>
        </w:rPr>
      </w:pPr>
      <w:bookmarkStart w:name="29、终止经营" w:id="238"/>
      <w:bookmarkEnd w:id="238"/>
      <w:r>
        <w:rPr>
          <w:b w:val="0"/>
          <w:bCs w:val="0"/>
        </w:rPr>
      </w:r>
      <w:r>
        <w:rPr>
          <w:rFonts w:ascii="Times New Roman" w:hAnsi="Times New Roman" w:cs="Times New Roman" w:eastAsia="Times New Roman" w:hint="default"/>
        </w:rPr>
        <w:t>29</w:t>
      </w:r>
      <w:r>
        <w:rPr/>
        <w:t>、终止经营</w:t>
      </w:r>
      <w:r>
        <w:rPr>
          <w:b w:val="0"/>
          <w:bCs w:val="0"/>
        </w:rPr>
      </w:r>
    </w:p>
    <w:p>
      <w:pPr>
        <w:spacing w:line="240" w:lineRule="auto" w:before="0"/>
        <w:rPr>
          <w:rFonts w:ascii="宋体" w:hAnsi="宋体" w:cs="宋体" w:eastAsia="宋体" w:hint="default"/>
          <w:b/>
          <w:bCs/>
          <w:sz w:val="22"/>
          <w:szCs w:val="22"/>
        </w:rPr>
      </w:pPr>
    </w:p>
    <w:p>
      <w:pPr>
        <w:pStyle w:val="Heading5"/>
        <w:spacing w:line="393" w:lineRule="auto" w:before="192"/>
        <w:ind w:right="817" w:firstLine="420"/>
        <w:jc w:val="left"/>
      </w:pPr>
      <w:r>
        <w:rPr>
          <w:spacing w:val="-1"/>
        </w:rPr>
        <w:t>终止经营是满足下列条件之一的、能够单独区分的组成部分，且该组成部分已被本公司处置或被本公</w:t>
      </w:r>
      <w:r>
        <w:rPr/>
        <w:t> 司划归为持有待售类别：</w:t>
      </w:r>
    </w:p>
    <w:p>
      <w:pPr>
        <w:pStyle w:val="Heading5"/>
        <w:spacing w:line="240" w:lineRule="auto" w:before="40"/>
        <w:ind w:left="574" w:right="817"/>
        <w:jc w:val="left"/>
      </w:pPr>
      <w:r>
        <w:rPr/>
        <w:t>（</w:t>
      </w:r>
      <w:r>
        <w:rPr>
          <w:rFonts w:ascii="宋体" w:hAnsi="宋体" w:cs="宋体" w:eastAsia="宋体" w:hint="default"/>
        </w:rPr>
        <w:t>1</w:t>
      </w:r>
      <w:r>
        <w:rPr/>
        <w:t>）该组成部分代表一项独立的主要业务或一个单独的主要经营地区；</w:t>
      </w:r>
    </w:p>
    <w:p>
      <w:pPr>
        <w:pStyle w:val="Heading5"/>
        <w:spacing w:line="393" w:lineRule="auto" w:before="175"/>
        <w:ind w:right="817" w:firstLine="420"/>
        <w:jc w:val="left"/>
      </w:pPr>
      <w:r>
        <w:rPr/>
        <w:t>（</w:t>
      </w:r>
      <w:r>
        <w:rPr>
          <w:rFonts w:ascii="宋体" w:hAnsi="宋体" w:cs="宋体" w:eastAsia="宋体" w:hint="default"/>
        </w:rPr>
        <w:t>2</w:t>
      </w:r>
      <w:r>
        <w:rPr/>
        <w:t>）该组成部分是拟对一项独立的主要业务或一个单独的主要经营地区进行处置的一项相关联计划 的一部分；</w:t>
      </w:r>
    </w:p>
    <w:p>
      <w:pPr>
        <w:pStyle w:val="Heading5"/>
        <w:spacing w:line="240" w:lineRule="auto" w:before="41"/>
        <w:ind w:left="574" w:right="817"/>
        <w:jc w:val="left"/>
      </w:pPr>
      <w:r>
        <w:rPr/>
        <w:t>（</w:t>
      </w:r>
      <w:r>
        <w:rPr>
          <w:rFonts w:ascii="宋体" w:hAnsi="宋体" w:cs="宋体" w:eastAsia="宋体" w:hint="default"/>
        </w:rPr>
        <w:t>3</w:t>
      </w:r>
      <w:r>
        <w:rPr/>
        <w:t>）该组成部分是专为转售而取得的子公司。</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214" w:right="0"/>
        <w:jc w:val="left"/>
        <w:rPr>
          <w:b w:val="0"/>
          <w:bCs w:val="0"/>
        </w:rPr>
      </w:pPr>
      <w:bookmarkStart w:name="30、重要会计政策和会计估计变更" w:id="239"/>
      <w:bookmarkEnd w:id="239"/>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4" w:right="0"/>
        <w:jc w:val="left"/>
        <w:rPr>
          <w:b w:val="0"/>
          <w:bCs w:val="0"/>
        </w:rPr>
      </w:pPr>
      <w:bookmarkStart w:name="（1）重要会计政策变更" w:id="240"/>
      <w:bookmarkEnd w:id="24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7"/>
          <w:szCs w:val="17"/>
        </w:rPr>
      </w:pPr>
    </w:p>
    <w:p>
      <w:pPr>
        <w:pStyle w:val="Heading5"/>
        <w:spacing w:line="393" w:lineRule="auto" w:before="0"/>
        <w:ind w:left="214" w:right="1131" w:firstLine="420"/>
        <w:jc w:val="both"/>
      </w:pPr>
      <w:r>
        <w:rPr/>
        <w:t>财政部于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spacing w:val="-8"/>
        </w:rPr>
        <w:t>日发布了《财政部关于修订印发</w:t>
      </w:r>
      <w:r>
        <w:rPr>
          <w:spacing w:val="-55"/>
        </w:rPr>
        <w:t> </w:t>
      </w:r>
      <w:r>
        <w:rPr>
          <w:rFonts w:ascii="宋体" w:hAnsi="宋体" w:cs="宋体" w:eastAsia="宋体" w:hint="default"/>
        </w:rPr>
        <w:t>2018</w:t>
      </w:r>
      <w:r>
        <w:rPr>
          <w:rFonts w:ascii="宋体" w:hAnsi="宋体" w:cs="宋体" w:eastAsia="宋体" w:hint="default"/>
          <w:spacing w:val="-56"/>
        </w:rPr>
        <w:t> </w:t>
      </w:r>
      <w:r>
        <w:rPr>
          <w:spacing w:val="-12"/>
        </w:rPr>
        <w:t>年度一般企业财务报表格式的通知》（财</w:t>
      </w:r>
      <w:r>
        <w:rPr/>
        <w:t> </w:t>
      </w:r>
      <w:r>
        <w:rPr>
          <w:spacing w:val="-6"/>
        </w:rPr>
        <w:t>会〔</w:t>
      </w:r>
      <w:r>
        <w:rPr>
          <w:rFonts w:ascii="宋体" w:hAnsi="宋体" w:cs="宋体" w:eastAsia="宋体" w:hint="default"/>
          <w:spacing w:val="-6"/>
        </w:rPr>
        <w:t>2018</w:t>
      </w:r>
      <w:r>
        <w:rPr>
          <w:spacing w:val="-6"/>
        </w:rPr>
        <w:t>〕</w:t>
      </w:r>
      <w:r>
        <w:rPr>
          <w:rFonts w:ascii="宋体" w:hAnsi="宋体" w:cs="宋体" w:eastAsia="宋体" w:hint="default"/>
          <w:spacing w:val="-6"/>
        </w:rPr>
        <w:t>15</w:t>
      </w:r>
      <w:r>
        <w:rPr>
          <w:rFonts w:ascii="宋体" w:hAnsi="宋体" w:cs="宋体" w:eastAsia="宋体" w:hint="default"/>
          <w:spacing w:val="-44"/>
        </w:rPr>
        <w:t> </w:t>
      </w:r>
      <w:r>
        <w:rPr>
          <w:spacing w:val="-5"/>
        </w:rPr>
        <w:t>号），执行企业会计准则的企业应按照企业会计准则和该通知要求编制</w:t>
      </w:r>
      <w:r>
        <w:rPr>
          <w:spacing w:val="-44"/>
        </w:rPr>
        <w:t> </w:t>
      </w:r>
      <w:r>
        <w:rPr>
          <w:rFonts w:ascii="宋体" w:hAnsi="宋体" w:cs="宋体" w:eastAsia="宋体" w:hint="default"/>
        </w:rPr>
        <w:t>2018</w:t>
      </w:r>
      <w:r>
        <w:rPr>
          <w:rFonts w:ascii="宋体" w:hAnsi="宋体" w:cs="宋体" w:eastAsia="宋体" w:hint="default"/>
          <w:spacing w:val="-45"/>
        </w:rPr>
        <w:t> </w:t>
      </w:r>
      <w:r>
        <w:rPr>
          <w:spacing w:val="-1"/>
        </w:rPr>
        <w:t>年度及以后期间</w:t>
      </w:r>
      <w:r>
        <w:rPr>
          <w:spacing w:val="-103"/>
        </w:rPr>
        <w:t> </w:t>
      </w:r>
      <w:r>
        <w:rPr>
          <w:spacing w:val="-103"/>
        </w:rPr>
      </w:r>
      <w:r>
        <w:rPr/>
        <w:t>的财务报表。</w:t>
      </w:r>
    </w:p>
    <w:p>
      <w:pPr>
        <w:pStyle w:val="Heading5"/>
        <w:spacing w:line="240" w:lineRule="auto" w:before="40"/>
        <w:ind w:left="634" w:right="0"/>
        <w:jc w:val="left"/>
      </w:pPr>
      <w:r>
        <w:rPr/>
        <w:t>本公司执行财会〔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54"/>
        </w:rPr>
        <w:t> </w:t>
      </w:r>
      <w:r>
        <w:rPr/>
        <w:t>号的主要影响如下：</w:t>
      </w:r>
    </w:p>
    <w:p>
      <w:pPr>
        <w:spacing w:line="240" w:lineRule="auto" w:before="4"/>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021"/>
        <w:gridCol w:w="1441"/>
        <w:gridCol w:w="1764"/>
        <w:gridCol w:w="1816"/>
        <w:gridCol w:w="2756"/>
      </w:tblGrid>
      <w:tr>
        <w:trPr>
          <w:trHeight w:val="567" w:hRule="exact"/>
        </w:trPr>
        <w:tc>
          <w:tcPr>
            <w:tcW w:w="20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912" w:right="112" w:hanging="811"/>
              <w:jc w:val="left"/>
              <w:rPr>
                <w:rFonts w:ascii="宋体" w:hAnsi="宋体" w:cs="宋体" w:eastAsia="宋体" w:hint="default"/>
                <w:sz w:val="18"/>
                <w:szCs w:val="18"/>
              </w:rPr>
            </w:pPr>
            <w:r>
              <w:rPr>
                <w:rFonts w:ascii="宋体" w:hAnsi="宋体" w:cs="宋体" w:eastAsia="宋体" w:hint="default"/>
                <w:sz w:val="18"/>
                <w:szCs w:val="18"/>
              </w:rPr>
              <w:t>会计政策变更内容和原 因</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30" w:right="98"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93" w:right="81" w:hanging="541"/>
              <w:jc w:val="left"/>
              <w:rPr>
                <w:rFonts w:ascii="宋体" w:hAnsi="宋体" w:cs="宋体" w:eastAsia="宋体" w:hint="default"/>
                <w:sz w:val="18"/>
                <w:szCs w:val="18"/>
              </w:rPr>
            </w:pPr>
            <w:r>
              <w:rPr>
                <w:rFonts w:ascii="宋体" w:hAnsi="宋体" w:cs="宋体" w:eastAsia="宋体" w:hint="default"/>
                <w:sz w:val="18"/>
                <w:szCs w:val="18"/>
              </w:rPr>
              <w:t>本期受影响的报表项 目金额</w:t>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left="347"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27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8"/>
              <w:ind w:left="277" w:right="0"/>
              <w:jc w:val="left"/>
              <w:rPr>
                <w:rFonts w:ascii="宋体" w:hAnsi="宋体" w:cs="宋体" w:eastAsia="宋体" w:hint="default"/>
                <w:sz w:val="18"/>
                <w:szCs w:val="18"/>
              </w:rPr>
            </w:pPr>
            <w:r>
              <w:rPr>
                <w:rFonts w:ascii="宋体" w:hAnsi="宋体" w:cs="宋体" w:eastAsia="宋体" w:hint="default"/>
                <w:sz w:val="18"/>
                <w:szCs w:val="18"/>
              </w:rPr>
              <w:t>上期列报的报表项目及金额</w:t>
            </w:r>
          </w:p>
        </w:tc>
      </w:tr>
      <w:tr>
        <w:trPr>
          <w:trHeight w:val="598"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70" w:right="14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应收票据和应收账款 合并列示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0" w:right="98" w:hanging="450"/>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right"/>
              <w:rPr>
                <w:rFonts w:ascii="宋体" w:hAnsi="宋体" w:cs="宋体" w:eastAsia="宋体" w:hint="default"/>
                <w:sz w:val="18"/>
                <w:szCs w:val="18"/>
              </w:rPr>
            </w:pPr>
            <w:r>
              <w:rPr>
                <w:rFonts w:ascii="Arial Narrow" w:hAnsi="Arial Narrow" w:cs="Arial Narrow" w:eastAsia="Arial Narrow" w:hint="default"/>
                <w:sz w:val="18"/>
                <w:szCs w:val="18"/>
              </w:rPr>
              <w:t>329,469,119.21</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right"/>
              <w:rPr>
                <w:rFonts w:ascii="宋体" w:hAnsi="宋体" w:cs="宋体" w:eastAsia="宋体" w:hint="default"/>
                <w:sz w:val="18"/>
                <w:szCs w:val="18"/>
              </w:rPr>
            </w:pPr>
            <w:r>
              <w:rPr>
                <w:rFonts w:ascii="Arial Narrow" w:hAnsi="Arial Narrow" w:cs="Arial Narrow" w:eastAsia="Arial Narrow" w:hint="default"/>
                <w:sz w:val="18"/>
                <w:szCs w:val="18"/>
              </w:rPr>
              <w:t>117,936,014.44</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11"/>
              <w:ind w:left="51" w:right="547"/>
              <w:jc w:val="left"/>
              <w:rPr>
                <w:rFonts w:ascii="宋体" w:hAnsi="宋体" w:cs="宋体" w:eastAsia="宋体" w:hint="default"/>
                <w:sz w:val="18"/>
                <w:szCs w:val="18"/>
              </w:rPr>
            </w:pPr>
            <w:r>
              <w:rPr>
                <w:rFonts w:ascii="宋体" w:hAnsi="宋体" w:cs="宋体" w:eastAsia="宋体" w:hint="default"/>
                <w:sz w:val="18"/>
                <w:szCs w:val="18"/>
              </w:rPr>
              <w:t>应收票据：</w:t>
            </w:r>
            <w:r>
              <w:rPr>
                <w:rFonts w:ascii="Arial Narrow" w:hAnsi="Arial Narrow" w:cs="Arial Narrow" w:eastAsia="Arial Narrow" w:hint="default"/>
                <w:sz w:val="18"/>
                <w:szCs w:val="18"/>
              </w:rPr>
              <w:t>2,670,826.77</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应收账款：</w:t>
            </w:r>
            <w:r>
              <w:rPr>
                <w:rFonts w:ascii="Arial Narrow" w:hAnsi="Arial Narrow" w:cs="Arial Narrow" w:eastAsia="Arial Narrow" w:hint="default"/>
                <w:sz w:val="18"/>
                <w:szCs w:val="18"/>
              </w:rPr>
              <w:t>115,265,187.67</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r>
      <w:tr>
        <w:trPr>
          <w:trHeight w:val="870"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32" w:lineRule="exact"/>
              <w:ind w:left="70" w:right="14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应收利息、应收股利 并其他应收款项目列示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宋体" w:hAnsi="宋体" w:cs="宋体" w:eastAsia="宋体" w:hint="default"/>
                <w:sz w:val="18"/>
                <w:szCs w:val="18"/>
              </w:rPr>
            </w:pPr>
            <w:r>
              <w:rPr>
                <w:rFonts w:ascii="Arial Narrow" w:hAnsi="Arial Narrow" w:cs="Arial Narrow" w:eastAsia="Arial Narrow" w:hint="default"/>
                <w:sz w:val="18"/>
                <w:szCs w:val="18"/>
              </w:rPr>
              <w:t>30,601,166.01</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宋体" w:hAnsi="宋体" w:cs="宋体" w:eastAsia="宋体" w:hint="default"/>
                <w:sz w:val="18"/>
                <w:szCs w:val="18"/>
              </w:rPr>
            </w:pPr>
            <w:r>
              <w:rPr>
                <w:rFonts w:ascii="Arial Narrow" w:hAnsi="Arial Narrow" w:cs="Arial Narrow" w:eastAsia="Arial Narrow" w:hint="default"/>
                <w:sz w:val="18"/>
                <w:szCs w:val="18"/>
              </w:rPr>
              <w:t>12,443,416.72</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10"/>
              <w:ind w:left="51" w:right="449"/>
              <w:jc w:val="left"/>
              <w:rPr>
                <w:rFonts w:ascii="宋体" w:hAnsi="宋体" w:cs="宋体" w:eastAsia="宋体" w:hint="default"/>
                <w:sz w:val="18"/>
                <w:szCs w:val="18"/>
              </w:rPr>
            </w:pPr>
            <w:r>
              <w:rPr>
                <w:rFonts w:ascii="宋体" w:hAnsi="宋体" w:cs="宋体" w:eastAsia="宋体" w:hint="default"/>
                <w:sz w:val="18"/>
                <w:szCs w:val="18"/>
              </w:rPr>
              <w:t>应收利息：</w:t>
            </w:r>
            <w:r>
              <w:rPr>
                <w:rFonts w:ascii="Arial Narrow" w:hAnsi="Arial Narrow" w:cs="Arial Narrow" w:eastAsia="Arial Narrow" w:hint="default"/>
                <w:sz w:val="18"/>
                <w:szCs w:val="18"/>
              </w:rPr>
              <w:t>1,242,554.03</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应收股利：</w:t>
            </w:r>
            <w:r>
              <w:rPr>
                <w:rFonts w:ascii="Arial Narrow" w:hAnsi="Arial Narrow" w:cs="Arial Narrow" w:eastAsia="Arial Narrow" w:hint="default"/>
                <w:sz w:val="18"/>
                <w:szCs w:val="18"/>
              </w:rPr>
              <w:t>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其他应收款：</w:t>
            </w:r>
            <w:r>
              <w:rPr>
                <w:rFonts w:ascii="Arial Narrow" w:hAnsi="Arial Narrow" w:cs="Arial Narrow" w:eastAsia="Arial Narrow" w:hint="default"/>
                <w:sz w:val="18"/>
                <w:szCs w:val="18"/>
              </w:rPr>
              <w:t>11,200,862.69</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r>
      <w:tr>
        <w:trPr>
          <w:trHeight w:val="596"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70" w:right="14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固定资产清理并入固 定资产列示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9"/>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right"/>
              <w:rPr>
                <w:rFonts w:ascii="宋体" w:hAnsi="宋体" w:cs="宋体" w:eastAsia="宋体" w:hint="default"/>
                <w:sz w:val="18"/>
                <w:szCs w:val="18"/>
              </w:rPr>
            </w:pPr>
            <w:r>
              <w:rPr>
                <w:rFonts w:ascii="Arial Narrow" w:hAnsi="Arial Narrow" w:cs="Arial Narrow" w:eastAsia="Arial Narrow" w:hint="default"/>
                <w:sz w:val="18"/>
                <w:szCs w:val="18"/>
              </w:rPr>
              <w:t>171,859,131.22</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right"/>
              <w:rPr>
                <w:rFonts w:ascii="宋体" w:hAnsi="宋体" w:cs="宋体" w:eastAsia="宋体" w:hint="default"/>
                <w:sz w:val="18"/>
                <w:szCs w:val="18"/>
              </w:rPr>
            </w:pPr>
            <w:r>
              <w:rPr>
                <w:rFonts w:ascii="Arial Narrow" w:hAnsi="Arial Narrow" w:cs="Arial Narrow" w:eastAsia="Arial Narrow" w:hint="default"/>
                <w:sz w:val="18"/>
                <w:szCs w:val="18"/>
              </w:rPr>
              <w:t>177,123,947.42</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10"/>
              <w:ind w:left="51" w:right="547"/>
              <w:jc w:val="left"/>
              <w:rPr>
                <w:rFonts w:ascii="宋体" w:hAnsi="宋体" w:cs="宋体" w:eastAsia="宋体" w:hint="default"/>
                <w:sz w:val="18"/>
                <w:szCs w:val="18"/>
              </w:rPr>
            </w:pPr>
            <w:r>
              <w:rPr>
                <w:rFonts w:ascii="宋体" w:hAnsi="宋体" w:cs="宋体" w:eastAsia="宋体" w:hint="default"/>
                <w:sz w:val="18"/>
                <w:szCs w:val="18"/>
              </w:rPr>
              <w:t>固定资产：</w:t>
            </w:r>
            <w:r>
              <w:rPr>
                <w:rFonts w:ascii="Arial Narrow" w:hAnsi="Arial Narrow" w:cs="Arial Narrow" w:eastAsia="Arial Narrow" w:hint="default"/>
                <w:sz w:val="18"/>
                <w:szCs w:val="18"/>
              </w:rPr>
              <w:t>177,123,947.42</w:t>
            </w:r>
            <w:r>
              <w:rPr>
                <w:rFonts w:ascii="Arial Narrow" w:hAnsi="Arial Narrow" w:cs="Arial Narrow" w:eastAsia="Arial Narrow" w:hint="default"/>
                <w:spacing w:val="1"/>
                <w:sz w:val="18"/>
                <w:szCs w:val="18"/>
              </w:rPr>
              <w:t> </w:t>
            </w:r>
            <w:r>
              <w:rPr>
                <w:rFonts w:ascii="宋体" w:hAnsi="宋体" w:cs="宋体" w:eastAsia="宋体" w:hint="default"/>
                <w:sz w:val="18"/>
                <w:szCs w:val="18"/>
              </w:rPr>
              <w:t>元 固定资产清理：</w:t>
            </w:r>
            <w:r>
              <w:rPr>
                <w:rFonts w:ascii="Arial Narrow" w:hAnsi="Arial Narrow" w:cs="Arial Narrow" w:eastAsia="Arial Narrow" w:hint="default"/>
                <w:sz w:val="18"/>
                <w:szCs w:val="18"/>
              </w:rPr>
              <w:t>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r>
      <w:tr>
        <w:trPr>
          <w:trHeight w:val="598"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70" w:right="14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工程物资并入在建工 程列示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9"/>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9"/>
              <w:jc w:val="right"/>
              <w:rPr>
                <w:rFonts w:ascii="宋体" w:hAnsi="宋体" w:cs="宋体" w:eastAsia="宋体" w:hint="default"/>
                <w:sz w:val="18"/>
                <w:szCs w:val="18"/>
              </w:rPr>
            </w:pPr>
            <w:r>
              <w:rPr>
                <w:rFonts w:ascii="Arial Narrow" w:hAnsi="Arial Narrow" w:cs="Arial Narrow" w:eastAsia="Arial Narrow" w:hint="default"/>
                <w:sz w:val="18"/>
                <w:szCs w:val="18"/>
              </w:rPr>
              <w:t>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9"/>
              <w:jc w:val="right"/>
              <w:rPr>
                <w:rFonts w:ascii="宋体" w:hAnsi="宋体" w:cs="宋体" w:eastAsia="宋体" w:hint="default"/>
                <w:sz w:val="18"/>
                <w:szCs w:val="18"/>
              </w:rPr>
            </w:pPr>
            <w:r>
              <w:rPr>
                <w:rFonts w:ascii="Arial Narrow" w:hAnsi="Arial Narrow" w:cs="Arial Narrow" w:eastAsia="Arial Narrow" w:hint="default"/>
                <w:sz w:val="18"/>
                <w:szCs w:val="18"/>
              </w:rPr>
              <w:t>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11"/>
              <w:ind w:left="51" w:right="1285"/>
              <w:jc w:val="left"/>
              <w:rPr>
                <w:rFonts w:ascii="宋体" w:hAnsi="宋体" w:cs="宋体" w:eastAsia="宋体" w:hint="default"/>
                <w:sz w:val="18"/>
                <w:szCs w:val="18"/>
              </w:rPr>
            </w:pPr>
            <w:r>
              <w:rPr>
                <w:rFonts w:ascii="宋体" w:hAnsi="宋体" w:cs="宋体" w:eastAsia="宋体" w:hint="default"/>
                <w:sz w:val="18"/>
                <w:szCs w:val="18"/>
              </w:rPr>
              <w:t>在建工程：</w:t>
            </w:r>
            <w:r>
              <w:rPr>
                <w:rFonts w:ascii="Arial Narrow" w:hAnsi="Arial Narrow" w:cs="Arial Narrow" w:eastAsia="Arial Narrow" w:hint="default"/>
                <w:sz w:val="18"/>
                <w:szCs w:val="18"/>
              </w:rPr>
              <w:t>0.00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工程物资：</w:t>
            </w:r>
            <w:r>
              <w:rPr>
                <w:rFonts w:ascii="Arial Narrow" w:hAnsi="Arial Narrow" w:cs="Arial Narrow" w:eastAsia="Arial Narrow" w:hint="default"/>
                <w:sz w:val="18"/>
                <w:szCs w:val="18"/>
              </w:rPr>
              <w:t>0.00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r>
      <w:tr>
        <w:trPr>
          <w:trHeight w:val="597"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70" w:right="143"/>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应付票据和应付账款 合并列示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0" w:right="98" w:hanging="450"/>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right"/>
              <w:rPr>
                <w:rFonts w:ascii="宋体" w:hAnsi="宋体" w:cs="宋体" w:eastAsia="宋体" w:hint="default"/>
                <w:sz w:val="18"/>
                <w:szCs w:val="18"/>
              </w:rPr>
            </w:pPr>
            <w:r>
              <w:rPr>
                <w:rFonts w:ascii="Arial Narrow" w:hAnsi="Arial Narrow" w:cs="Arial Narrow" w:eastAsia="Arial Narrow" w:hint="default"/>
                <w:sz w:val="18"/>
                <w:szCs w:val="18"/>
              </w:rPr>
              <w:t>116,476,889.70</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right"/>
              <w:rPr>
                <w:rFonts w:ascii="宋体" w:hAnsi="宋体" w:cs="宋体" w:eastAsia="宋体" w:hint="default"/>
                <w:sz w:val="18"/>
                <w:szCs w:val="18"/>
              </w:rPr>
            </w:pPr>
            <w:r>
              <w:rPr>
                <w:rFonts w:ascii="Arial Narrow" w:hAnsi="Arial Narrow" w:cs="Arial Narrow" w:eastAsia="Arial Narrow" w:hint="default"/>
                <w:sz w:val="18"/>
                <w:szCs w:val="18"/>
              </w:rPr>
              <w:t>105,141,788.35</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11"/>
              <w:ind w:left="51" w:right="629"/>
              <w:jc w:val="left"/>
              <w:rPr>
                <w:rFonts w:ascii="宋体" w:hAnsi="宋体" w:cs="宋体" w:eastAsia="宋体" w:hint="default"/>
                <w:sz w:val="18"/>
                <w:szCs w:val="18"/>
              </w:rPr>
            </w:pPr>
            <w:r>
              <w:rPr>
                <w:rFonts w:ascii="宋体" w:hAnsi="宋体" w:cs="宋体" w:eastAsia="宋体" w:hint="default"/>
                <w:sz w:val="18"/>
                <w:szCs w:val="18"/>
              </w:rPr>
              <w:t>应付票据：</w:t>
            </w:r>
            <w:r>
              <w:rPr>
                <w:rFonts w:ascii="Arial Narrow" w:hAnsi="Arial Narrow" w:cs="Arial Narrow" w:eastAsia="Arial Narrow" w:hint="default"/>
                <w:sz w:val="18"/>
                <w:szCs w:val="18"/>
              </w:rPr>
              <w:t>34,916,807.73 </w:t>
            </w:r>
            <w:r>
              <w:rPr>
                <w:rFonts w:ascii="宋体" w:hAnsi="宋体" w:cs="宋体" w:eastAsia="宋体" w:hint="default"/>
                <w:sz w:val="18"/>
                <w:szCs w:val="18"/>
              </w:rPr>
              <w:t>元 应付账款：</w:t>
            </w:r>
            <w:r>
              <w:rPr>
                <w:rFonts w:ascii="Arial Narrow" w:hAnsi="Arial Narrow" w:cs="Arial Narrow" w:eastAsia="Arial Narrow" w:hint="default"/>
                <w:sz w:val="18"/>
                <w:szCs w:val="18"/>
              </w:rPr>
              <w:t>70,224,980.62 </w:t>
            </w:r>
            <w:r>
              <w:rPr>
                <w:rFonts w:ascii="宋体" w:hAnsi="宋体" w:cs="宋体" w:eastAsia="宋体" w:hint="default"/>
                <w:sz w:val="18"/>
                <w:szCs w:val="18"/>
              </w:rPr>
              <w:t>元</w:t>
            </w:r>
          </w:p>
        </w:tc>
      </w:tr>
      <w:tr>
        <w:trPr>
          <w:trHeight w:val="870"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52"/>
              <w:ind w:left="70" w:right="143"/>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应付利息、应付股利 计入其他应付款项目列 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宋体" w:hAnsi="宋体" w:cs="宋体" w:eastAsia="宋体" w:hint="default"/>
                <w:sz w:val="18"/>
                <w:szCs w:val="18"/>
              </w:rPr>
            </w:pPr>
            <w:r>
              <w:rPr>
                <w:rFonts w:ascii="Arial Narrow" w:hAnsi="Arial Narrow" w:cs="Arial Narrow" w:eastAsia="Arial Narrow" w:hint="default"/>
                <w:sz w:val="18"/>
                <w:szCs w:val="18"/>
              </w:rPr>
              <w:t>49,555,511.00</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宋体" w:hAnsi="宋体" w:cs="宋体" w:eastAsia="宋体" w:hint="default"/>
                <w:sz w:val="18"/>
                <w:szCs w:val="18"/>
              </w:rPr>
            </w:pPr>
            <w:r>
              <w:rPr>
                <w:rFonts w:ascii="Arial Narrow" w:hAnsi="Arial Narrow" w:cs="Arial Narrow" w:eastAsia="Arial Narrow" w:hint="default"/>
                <w:sz w:val="18"/>
                <w:szCs w:val="18"/>
              </w:rPr>
              <w:t>80,799,370.68</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10"/>
              <w:ind w:left="51" w:right="1490"/>
              <w:jc w:val="left"/>
              <w:rPr>
                <w:rFonts w:ascii="宋体" w:hAnsi="宋体" w:cs="宋体" w:eastAsia="宋体" w:hint="default"/>
                <w:sz w:val="18"/>
                <w:szCs w:val="18"/>
              </w:rPr>
            </w:pPr>
            <w:r>
              <w:rPr>
                <w:rFonts w:ascii="宋体" w:hAnsi="宋体" w:cs="宋体" w:eastAsia="宋体" w:hint="default"/>
                <w:sz w:val="18"/>
                <w:szCs w:val="18"/>
              </w:rPr>
              <w:t>应付利息：</w:t>
            </w:r>
            <w:r>
              <w:rPr>
                <w:rFonts w:ascii="Arial Narrow" w:hAnsi="Arial Narrow" w:cs="Arial Narrow" w:eastAsia="Arial Narrow" w:hint="default"/>
                <w:sz w:val="18"/>
                <w:szCs w:val="18"/>
              </w:rPr>
              <w:t>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应付股利：</w:t>
            </w:r>
            <w:r>
              <w:rPr>
                <w:rFonts w:ascii="Arial Narrow" w:hAnsi="Arial Narrow" w:cs="Arial Narrow" w:eastAsia="Arial Narrow" w:hint="default"/>
                <w:sz w:val="18"/>
                <w:szCs w:val="18"/>
              </w:rPr>
              <w:t>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p>
            <w:pPr>
              <w:pStyle w:val="TableParagraph"/>
              <w:spacing w:line="240" w:lineRule="auto" w:before="4"/>
              <w:ind w:left="51"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Arial Narrow" w:hAnsi="Arial Narrow" w:cs="Arial Narrow" w:eastAsia="Arial Narrow" w:hint="default"/>
                <w:sz w:val="18"/>
                <w:szCs w:val="18"/>
              </w:rPr>
              <w:t>80,799,370.68</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r>
      <w:tr>
        <w:trPr>
          <w:trHeight w:val="598"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70" w:right="143"/>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专项应付款计入长期 应付款列示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9"/>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9"/>
              <w:jc w:val="right"/>
              <w:rPr>
                <w:rFonts w:ascii="宋体" w:hAnsi="宋体" w:cs="宋体" w:eastAsia="宋体" w:hint="default"/>
                <w:sz w:val="18"/>
                <w:szCs w:val="18"/>
              </w:rPr>
            </w:pPr>
            <w:r>
              <w:rPr>
                <w:rFonts w:ascii="Arial Narrow" w:hAnsi="Arial Narrow" w:cs="Arial Narrow" w:eastAsia="Arial Narrow" w:hint="default"/>
                <w:sz w:val="18"/>
                <w:szCs w:val="18"/>
              </w:rPr>
              <w:t>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9"/>
              <w:jc w:val="right"/>
              <w:rPr>
                <w:rFonts w:ascii="宋体" w:hAnsi="宋体" w:cs="宋体" w:eastAsia="宋体" w:hint="default"/>
                <w:sz w:val="18"/>
                <w:szCs w:val="18"/>
              </w:rPr>
            </w:pPr>
            <w:r>
              <w:rPr>
                <w:rFonts w:ascii="Arial Narrow" w:hAnsi="Arial Narrow" w:cs="Arial Narrow" w:eastAsia="Arial Narrow" w:hint="default"/>
                <w:sz w:val="18"/>
                <w:szCs w:val="18"/>
              </w:rPr>
              <w:t>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11"/>
              <w:ind w:left="51" w:right="1309"/>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Arial Narrow" w:hAnsi="Arial Narrow" w:cs="Arial Narrow" w:eastAsia="Arial Narrow" w:hint="default"/>
                <w:sz w:val="18"/>
                <w:szCs w:val="18"/>
              </w:rPr>
              <w:t>0</w:t>
            </w:r>
            <w:r>
              <w:rPr>
                <w:rFonts w:ascii="Arial Narrow" w:hAnsi="Arial Narrow" w:cs="Arial Narrow" w:eastAsia="Arial Narrow" w:hint="default"/>
                <w:spacing w:val="4"/>
                <w:sz w:val="18"/>
                <w:szCs w:val="18"/>
              </w:rPr>
              <w:t> </w:t>
            </w:r>
            <w:r>
              <w:rPr>
                <w:rFonts w:ascii="宋体" w:hAnsi="宋体" w:cs="宋体" w:eastAsia="宋体" w:hint="default"/>
                <w:sz w:val="18"/>
                <w:szCs w:val="18"/>
              </w:rPr>
              <w:t>元 专项应付款：</w:t>
            </w:r>
            <w:r>
              <w:rPr>
                <w:rFonts w:ascii="Arial Narrow" w:hAnsi="Arial Narrow" w:cs="Arial Narrow" w:eastAsia="Arial Narrow" w:hint="default"/>
                <w:sz w:val="18"/>
                <w:szCs w:val="18"/>
              </w:rPr>
              <w:t>0</w:t>
            </w:r>
            <w:r>
              <w:rPr>
                <w:rFonts w:ascii="Arial Narrow" w:hAnsi="Arial Narrow" w:cs="Arial Narrow" w:eastAsia="Arial Narrow" w:hint="default"/>
                <w:spacing w:val="4"/>
                <w:sz w:val="18"/>
                <w:szCs w:val="18"/>
              </w:rPr>
              <w:t> </w:t>
            </w:r>
            <w:r>
              <w:rPr>
                <w:rFonts w:ascii="宋体" w:hAnsi="宋体" w:cs="宋体" w:eastAsia="宋体" w:hint="default"/>
                <w:sz w:val="18"/>
                <w:szCs w:val="18"/>
              </w:rPr>
              <w:t>元</w:t>
            </w:r>
          </w:p>
        </w:tc>
      </w:tr>
      <w:tr>
        <w:trPr>
          <w:trHeight w:val="349"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70"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管理费用列报调整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9"/>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79"/>
              <w:jc w:val="right"/>
              <w:rPr>
                <w:rFonts w:ascii="宋体" w:hAnsi="宋体" w:cs="宋体" w:eastAsia="宋体" w:hint="default"/>
                <w:sz w:val="18"/>
                <w:szCs w:val="18"/>
              </w:rPr>
            </w:pPr>
            <w:r>
              <w:rPr>
                <w:rFonts w:ascii="Arial Narrow" w:hAnsi="Arial Narrow" w:cs="Arial Narrow" w:eastAsia="Arial Narrow" w:hint="default"/>
                <w:sz w:val="18"/>
                <w:szCs w:val="18"/>
              </w:rPr>
              <w:t>66,425,567.13</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79"/>
              <w:jc w:val="right"/>
              <w:rPr>
                <w:rFonts w:ascii="宋体" w:hAnsi="宋体" w:cs="宋体" w:eastAsia="宋体" w:hint="default"/>
                <w:sz w:val="18"/>
                <w:szCs w:val="18"/>
              </w:rPr>
            </w:pPr>
            <w:r>
              <w:rPr>
                <w:rFonts w:ascii="Arial Narrow" w:hAnsi="Arial Narrow" w:cs="Arial Narrow" w:eastAsia="Arial Narrow" w:hint="default"/>
                <w:sz w:val="18"/>
                <w:szCs w:val="18"/>
              </w:rPr>
              <w:t>98,170,582.86</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51"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Arial Narrow" w:hAnsi="Arial Narrow" w:cs="Arial Narrow" w:eastAsia="Arial Narrow" w:hint="default"/>
                <w:sz w:val="18"/>
                <w:szCs w:val="18"/>
              </w:rPr>
              <w:t>98,170,582.86 </w:t>
            </w:r>
            <w:r>
              <w:rPr>
                <w:rFonts w:ascii="宋体" w:hAnsi="宋体" w:cs="宋体" w:eastAsia="宋体" w:hint="default"/>
                <w:sz w:val="18"/>
                <w:szCs w:val="18"/>
              </w:rPr>
              <w:t>元</w:t>
            </w:r>
          </w:p>
        </w:tc>
      </w:tr>
      <w:tr>
        <w:trPr>
          <w:trHeight w:val="361" w:hRule="exact"/>
        </w:trPr>
        <w:tc>
          <w:tcPr>
            <w:tcW w:w="20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70"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研发费用单独列示</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9"/>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79"/>
              <w:jc w:val="right"/>
              <w:rPr>
                <w:rFonts w:ascii="宋体" w:hAnsi="宋体" w:cs="宋体" w:eastAsia="宋体" w:hint="default"/>
                <w:sz w:val="18"/>
                <w:szCs w:val="18"/>
              </w:rPr>
            </w:pPr>
            <w:r>
              <w:rPr>
                <w:rFonts w:ascii="Arial Narrow" w:hAnsi="Arial Narrow" w:cs="Arial Narrow" w:eastAsia="Arial Narrow" w:hint="default"/>
                <w:sz w:val="18"/>
                <w:szCs w:val="18"/>
              </w:rPr>
              <w:t>27,030,291.64</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79"/>
              <w:jc w:val="right"/>
              <w:rPr>
                <w:rFonts w:ascii="宋体" w:hAnsi="宋体" w:cs="宋体" w:eastAsia="宋体" w:hint="default"/>
                <w:sz w:val="18"/>
                <w:szCs w:val="18"/>
              </w:rPr>
            </w:pPr>
            <w:r>
              <w:rPr>
                <w:rFonts w:ascii="Arial Narrow" w:hAnsi="Arial Narrow" w:cs="Arial Narrow" w:eastAsia="Arial Narrow" w:hint="default"/>
                <w:sz w:val="18"/>
                <w:szCs w:val="18"/>
              </w:rPr>
              <w:t>17,346,273.61</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51"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Arial Narrow" w:hAnsi="Arial Narrow" w:cs="Arial Narrow" w:eastAsia="Arial Narrow" w:hint="default"/>
                <w:sz w:val="18"/>
                <w:szCs w:val="18"/>
              </w:rPr>
              <w:t>17,346,273.61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214" w:right="0"/>
        <w:jc w:val="left"/>
        <w:rPr>
          <w:b w:val="0"/>
          <w:bCs w:val="0"/>
        </w:rPr>
      </w:pPr>
      <w:bookmarkStart w:name="（2）重要会计估计变更" w:id="241"/>
      <w:bookmarkEnd w:id="24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4" w:right="0"/>
        <w:jc w:val="left"/>
        <w:rPr>
          <w:b w:val="0"/>
          <w:bCs w:val="0"/>
        </w:rPr>
      </w:pPr>
      <w:bookmarkStart w:name="六、税项" w:id="242"/>
      <w:bookmarkEnd w:id="242"/>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14" w:right="0"/>
        <w:jc w:val="left"/>
        <w:rPr>
          <w:b w:val="0"/>
          <w:bCs w:val="0"/>
        </w:rPr>
      </w:pPr>
      <w:bookmarkStart w:name="1、主要税种及税率" w:id="243"/>
      <w:bookmarkEnd w:id="24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40"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3" w:space="0" w:color="D2D2D2"/>
              <w:right w:val="single" w:sz="4" w:space="0" w:color="000000"/>
            </w:tcBorders>
          </w:tcPr>
          <w:p>
            <w:pPr>
              <w:pStyle w:val="TableParagraph"/>
              <w:spacing w:line="316" w:lineRule="auto" w:before="51"/>
              <w:ind w:left="10" w:right="95"/>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17.00</w:t>
            </w:r>
            <w:r>
              <w:rPr>
                <w:rFonts w:ascii="宋体" w:hAnsi="宋体" w:cs="宋体" w:eastAsia="宋体" w:hint="default"/>
                <w:sz w:val="18"/>
                <w:szCs w:val="18"/>
              </w:rPr>
              <w:t>、</w:t>
            </w:r>
            <w:r>
              <w:rPr>
                <w:rFonts w:ascii="Times New Roman" w:hAnsi="Times New Roman" w:cs="Times New Roman" w:eastAsia="Times New Roman" w:hint="default"/>
                <w:sz w:val="18"/>
                <w:szCs w:val="18"/>
              </w:rPr>
              <w:t>16.00</w:t>
            </w:r>
            <w:r>
              <w:rPr>
                <w:rFonts w:ascii="宋体" w:hAnsi="宋体" w:cs="宋体" w:eastAsia="宋体" w:hint="default"/>
                <w:sz w:val="18"/>
                <w:szCs w:val="18"/>
              </w:rPr>
              <w:t>、</w:t>
            </w:r>
            <w:r>
              <w:rPr>
                <w:rFonts w:ascii="Times New Roman" w:hAnsi="Times New Roman" w:cs="Times New Roman" w:eastAsia="Times New Roman" w:hint="default"/>
                <w:sz w:val="18"/>
                <w:szCs w:val="18"/>
              </w:rPr>
              <w:t>6.00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3.00</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13"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42"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13"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允许抵扣的进项税额后，差额部分为应 交增值税</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25.00</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15.00</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w:t>
            </w:r>
          </w:p>
        </w:tc>
      </w:tr>
    </w:tbl>
    <w:p>
      <w:pPr>
        <w:spacing w:line="240" w:lineRule="auto" w:before="12"/>
        <w:rPr>
          <w:rFonts w:ascii="宋体" w:hAnsi="宋体" w:cs="宋体" w:eastAsia="宋体" w:hint="default"/>
          <w:b/>
          <w:bCs/>
          <w:sz w:val="20"/>
          <w:szCs w:val="20"/>
        </w:rPr>
      </w:pPr>
    </w:p>
    <w:p>
      <w:pPr>
        <w:pStyle w:val="Heading5"/>
        <w:spacing w:line="400" w:lineRule="auto" w:before="35"/>
        <w:ind w:left="574" w:right="817"/>
        <w:jc w:val="left"/>
      </w:pPr>
      <w:r>
        <w:rPr/>
        <w:t>各分公司、分厂异地独立缴纳企业所得税的说明： </w:t>
      </w:r>
      <w:r>
        <w:rPr>
          <w:spacing w:val="-1"/>
        </w:rPr>
        <w:t>本公司分支机构北京分公司、南京分公司、天津分公司、武汉分公司，与母公司采用“统一计算、分</w:t>
      </w:r>
    </w:p>
    <w:p>
      <w:pPr>
        <w:pStyle w:val="Heading5"/>
        <w:spacing w:line="400" w:lineRule="auto" w:before="45"/>
        <w:ind w:left="574" w:right="3612" w:hanging="420"/>
        <w:jc w:val="left"/>
      </w:pPr>
      <w:r>
        <w:rPr/>
        <w:t>级管理、就地预缴、汇总清算”的企业所得税征收管理办法计缴企业所得税。 存在不同企业所得税税率纳税主体的，披露情况说明如下：</w:t>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955"/>
        <w:gridCol w:w="3614"/>
      </w:tblGrid>
      <w:tr>
        <w:trPr>
          <w:trHeight w:val="401"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厦门安妮股份有限公司</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安妮企业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济南安妮纸业有限公司（</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济南安妮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厦门安妮商务信息用纸有限公司（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商务信息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上海安妮企业有限公司（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上海安妮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福州安妮全办公用品有限公司（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福州安妮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成都安妮全办公用品有限公司（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成都安妮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湖南安妮特种涂布纸有限公司（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湖南安妮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南京安妮纸业有限公司（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南京安妮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天津安妮纸业销售有限公司（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天津安妮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安妮（香港）有限公司（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香港安妮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上海超级标贴系统有限公司（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上海超级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上海鸿晟物业管理有限公司（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上海鸿晟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泉州安妮贸易有限公司（本期已处置）</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北京至美数码防伪印务有限公司（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北京至美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北京联移合通科技有限公司（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北京联移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深圳市微梦想网络技术有限公司（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微梦想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深圳市微推客网络技术有限公司（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微推客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深圳市微广盟网络技术有限公司（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微广盟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新疆安云网络科技有限公司（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新疆安云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955"/>
        <w:gridCol w:w="3614"/>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北京畅元国讯科技有限公司（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畅元国讯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华云在线（北京）数字版权技术有限公司（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华云在线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北京华迪希艾科技发展有限公司（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华迪希艾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新疆安讯网络科技有限公司（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新疆安迅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畅元国讯（天津）科技有限公司（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天津畅元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北京畅华科技有限公司（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北京畅华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成都博艾科技有限公司（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成都博艾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霍尔果斯畅元世纪文化传播有限公司（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世纪文化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厦门恒千物业管理有限公司（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恒千物业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厦门千实物业管理有限公司（</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厦门千实</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北京安妮全版权科技发展有限公司（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全版权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北京版全家科技发展有限公司（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版全家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厦门安妮知识产权服务有限公司（</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知识产权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厦门版全家科技有限公司（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厦门版全家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厦门安妮大数据科技有限公司（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安妮大数据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北京市淘智惠电子商务有限公司（</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淘智惠</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pStyle w:val="Heading4"/>
        <w:spacing w:line="240" w:lineRule="auto" w:before="35"/>
        <w:ind w:right="817"/>
        <w:jc w:val="left"/>
        <w:rPr>
          <w:b w:val="0"/>
          <w:bCs w:val="0"/>
        </w:rPr>
      </w:pPr>
      <w:bookmarkStart w:name="2、税收优惠" w:id="244"/>
      <w:bookmarkEnd w:id="24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1"/>
        <w:rPr>
          <w:rFonts w:ascii="宋体" w:hAnsi="宋体" w:cs="宋体" w:eastAsia="宋体" w:hint="default"/>
          <w:b/>
          <w:bCs/>
          <w:sz w:val="32"/>
          <w:szCs w:val="32"/>
        </w:rPr>
      </w:pPr>
    </w:p>
    <w:p>
      <w:pPr>
        <w:pStyle w:val="Heading5"/>
        <w:spacing w:line="350" w:lineRule="auto" w:before="0"/>
        <w:ind w:right="1130" w:firstLine="420"/>
        <w:jc w:val="both"/>
      </w:pPr>
      <w:r>
        <w:rPr/>
        <w:t>本报告期内产品出口实行免抵退核算，商业表格纸、</w:t>
      </w:r>
      <w:r>
        <w:rPr>
          <w:rFonts w:ascii="宋体" w:hAnsi="宋体" w:cs="宋体" w:eastAsia="宋体" w:hint="default"/>
        </w:rPr>
        <w:t>AMT</w:t>
      </w:r>
      <w:r>
        <w:rPr>
          <w:rFonts w:ascii="宋体" w:hAnsi="宋体" w:cs="宋体" w:eastAsia="宋体" w:hint="default"/>
          <w:spacing w:val="-77"/>
        </w:rPr>
        <w:t> </w:t>
      </w:r>
      <w:r>
        <w:rPr/>
        <w:t>热敏纸退税率</w:t>
      </w:r>
      <w:r>
        <w:rPr>
          <w:spacing w:val="-78"/>
        </w:rPr>
        <w:t> </w:t>
      </w:r>
      <w:r>
        <w:rPr>
          <w:rFonts w:ascii="宋体" w:hAnsi="宋体" w:cs="宋体" w:eastAsia="宋体" w:hint="default"/>
        </w:rPr>
        <w:t>13.00%</w:t>
      </w:r>
      <w:r>
        <w:rPr/>
        <w:t>，多联商业表格纸</w:t>
      </w:r>
      <w:r>
        <w:rPr>
          <w:spacing w:val="-78"/>
        </w:rPr>
        <w:t> </w:t>
      </w:r>
      <w:r>
        <w:rPr>
          <w:rFonts w:ascii="宋体" w:hAnsi="宋体" w:cs="宋体" w:eastAsia="宋体" w:hint="default"/>
        </w:rPr>
        <w:t>2009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日退税率由</w:t>
      </w:r>
      <w:r>
        <w:rPr>
          <w:spacing w:val="-54"/>
        </w:rPr>
        <w:t> </w:t>
      </w:r>
      <w:r>
        <w:rPr>
          <w:rFonts w:ascii="宋体" w:hAnsi="宋体" w:cs="宋体" w:eastAsia="宋体" w:hint="default"/>
        </w:rPr>
        <w:t>11.00%</w:t>
      </w:r>
      <w:r>
        <w:rPr/>
        <w:t>变更为</w:t>
      </w:r>
      <w:r>
        <w:rPr>
          <w:spacing w:val="-54"/>
        </w:rPr>
        <w:t> </w:t>
      </w:r>
      <w:r>
        <w:rPr>
          <w:rFonts w:ascii="宋体" w:hAnsi="宋体" w:cs="宋体" w:eastAsia="宋体" w:hint="default"/>
        </w:rPr>
        <w:t>13.00%</w:t>
      </w:r>
      <w:r>
        <w:rPr/>
        <w:t>，其他产品出口退税率为</w:t>
      </w:r>
      <w:r>
        <w:rPr>
          <w:spacing w:val="-54"/>
        </w:rPr>
        <w:t> </w:t>
      </w:r>
      <w:r>
        <w:rPr>
          <w:rFonts w:ascii="宋体" w:hAnsi="宋体" w:cs="宋体" w:eastAsia="宋体" w:hint="default"/>
        </w:rPr>
        <w:t>0.00%</w:t>
      </w:r>
      <w:r>
        <w:rPr/>
        <w:t>。</w:t>
      </w:r>
    </w:p>
    <w:p>
      <w:pPr>
        <w:pStyle w:val="Heading5"/>
        <w:spacing w:line="348" w:lineRule="auto"/>
        <w:ind w:right="1015" w:firstLine="420"/>
        <w:jc w:val="left"/>
      </w:pPr>
      <w:r>
        <w:rPr/>
        <w:t>微推客</w:t>
      </w:r>
      <w:r>
        <w:rPr>
          <w:spacing w:val="-49"/>
        </w:rPr>
        <w:t> </w:t>
      </w:r>
      <w:r>
        <w:rPr>
          <w:rFonts w:ascii="宋体" w:hAnsi="宋体" w:cs="宋体" w:eastAsia="宋体" w:hint="default"/>
        </w:rPr>
        <w:t>2016</w:t>
      </w:r>
      <w:r>
        <w:rPr>
          <w:rFonts w:ascii="宋体" w:hAnsi="宋体" w:cs="宋体" w:eastAsia="宋体" w:hint="default"/>
          <w:spacing w:val="-51"/>
        </w:rPr>
        <w:t> </w:t>
      </w:r>
      <w:r>
        <w:rPr>
          <w:spacing w:val="-6"/>
        </w:rPr>
        <w:t>年被认定为双软企业，自</w:t>
      </w:r>
      <w:r>
        <w:rPr>
          <w:spacing w:val="-49"/>
        </w:rPr>
        <w:t> </w:t>
      </w:r>
      <w:r>
        <w:rPr>
          <w:rFonts w:ascii="宋体" w:hAnsi="宋体" w:cs="宋体" w:eastAsia="宋体" w:hint="default"/>
        </w:rPr>
        <w:t>2016</w:t>
      </w:r>
      <w:r>
        <w:rPr>
          <w:rFonts w:ascii="宋体" w:hAnsi="宋体" w:cs="宋体" w:eastAsia="宋体" w:hint="default"/>
          <w:spacing w:val="-50"/>
        </w:rPr>
        <w:t> </w:t>
      </w:r>
      <w:r>
        <w:rPr>
          <w:spacing w:val="-3"/>
        </w:rPr>
        <w:t>年起适用两免三减半的企业所得税政策，由于政策的变化，</w:t>
      </w:r>
      <w:r>
        <w:rPr/>
        <w:t> 公司不适用相应的所得税优惠政策，</w:t>
      </w:r>
      <w:r>
        <w:rPr>
          <w:rFonts w:ascii="宋体" w:hAnsi="宋体" w:cs="宋体" w:eastAsia="宋体" w:hint="default"/>
        </w:rPr>
        <w:t>2018</w:t>
      </w:r>
      <w:r>
        <w:rPr>
          <w:rFonts w:ascii="宋体" w:hAnsi="宋体" w:cs="宋体" w:eastAsia="宋体" w:hint="default"/>
          <w:spacing w:val="-53"/>
        </w:rPr>
        <w:t> </w:t>
      </w:r>
      <w:r>
        <w:rPr/>
        <w:t>年执行</w:t>
      </w:r>
      <w:r>
        <w:rPr>
          <w:spacing w:val="-55"/>
        </w:rPr>
        <w:t> </w:t>
      </w:r>
      <w:r>
        <w:rPr>
          <w:rFonts w:ascii="宋体" w:hAnsi="宋体" w:cs="宋体" w:eastAsia="宋体" w:hint="default"/>
        </w:rPr>
        <w:t>25.00%</w:t>
      </w:r>
      <w:r>
        <w:rPr/>
        <w:t>的企业所得税税率。</w:t>
      </w:r>
    </w:p>
    <w:p>
      <w:pPr>
        <w:pStyle w:val="Heading5"/>
        <w:spacing w:line="348" w:lineRule="auto" w:before="31"/>
        <w:ind w:right="1131" w:firstLine="420"/>
        <w:jc w:val="both"/>
      </w:pPr>
      <w:r>
        <w:rPr/>
        <w:t>新疆安云在</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6"/>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日享受新疆喀什、霍尔果斯特殊经济开发区新办企业 </w:t>
      </w:r>
      <w:r>
        <w:rPr>
          <w:spacing w:val="-1"/>
        </w:rPr>
        <w:t>定期免征企业所得税的优惠政策，具体依据《财政部国家税务总局关于新疆喀什霍尔果斯两个特殊经济开</w:t>
      </w:r>
      <w:r>
        <w:rPr>
          <w:spacing w:val="-81"/>
        </w:rPr>
        <w:t> </w:t>
      </w:r>
      <w:r>
        <w:rPr>
          <w:spacing w:val="-81"/>
        </w:rPr>
      </w:r>
      <w:r>
        <w:rPr/>
        <w:t>发区企业所得税优惠政策的通知》财税</w:t>
      </w:r>
      <w:r>
        <w:rPr>
          <w:rFonts w:ascii="宋体" w:hAnsi="宋体" w:cs="宋体" w:eastAsia="宋体" w:hint="default"/>
        </w:rPr>
        <w:t>[2011]112</w:t>
      </w:r>
      <w:r>
        <w:rPr>
          <w:rFonts w:ascii="宋体" w:hAnsi="宋体" w:cs="宋体" w:eastAsia="宋体" w:hint="default"/>
          <w:spacing w:val="-54"/>
        </w:rPr>
        <w:t> </w:t>
      </w:r>
      <w:r>
        <w:rPr/>
        <w:t>号第一条，</w:t>
      </w:r>
      <w:r>
        <w:rPr>
          <w:rFonts w:ascii="宋体" w:hAnsi="宋体" w:cs="宋体" w:eastAsia="宋体" w:hint="default"/>
        </w:rPr>
        <w:t>2018</w:t>
      </w:r>
      <w:r>
        <w:rPr>
          <w:rFonts w:ascii="宋体" w:hAnsi="宋体" w:cs="宋体" w:eastAsia="宋体" w:hint="default"/>
          <w:spacing w:val="-53"/>
        </w:rPr>
        <w:t> </w:t>
      </w:r>
      <w:r>
        <w:rPr/>
        <w:t>年执行</w:t>
      </w:r>
      <w:r>
        <w:rPr>
          <w:spacing w:val="-55"/>
        </w:rPr>
        <w:t> </w:t>
      </w:r>
      <w:r>
        <w:rPr>
          <w:rFonts w:ascii="宋体" w:hAnsi="宋体" w:cs="宋体" w:eastAsia="宋体" w:hint="default"/>
        </w:rPr>
        <w:t>0.00%</w:t>
      </w:r>
      <w:r>
        <w:rPr/>
        <w:t>的企业所得税税率。</w:t>
      </w:r>
    </w:p>
    <w:p>
      <w:pPr>
        <w:pStyle w:val="Heading5"/>
        <w:spacing w:line="348" w:lineRule="auto" w:before="31"/>
        <w:ind w:right="1131" w:firstLine="420"/>
        <w:jc w:val="both"/>
      </w:pPr>
      <w:r>
        <w:rPr/>
        <w:t>新疆安讯在</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6"/>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日享受新疆喀什、霍尔果斯特殊经济开发区新办企业 </w:t>
      </w:r>
      <w:r>
        <w:rPr>
          <w:spacing w:val="-1"/>
        </w:rPr>
        <w:t>定期免征企业所得税的优惠政策，具体依据《财政部国家税务总局关于新疆喀什霍尔果斯两个特殊经济开</w:t>
      </w:r>
      <w:r>
        <w:rPr>
          <w:spacing w:val="-81"/>
        </w:rPr>
        <w:t> </w:t>
      </w:r>
      <w:r>
        <w:rPr>
          <w:spacing w:val="-81"/>
        </w:rPr>
      </w:r>
      <w:r>
        <w:rPr/>
        <w:t>发区企业所得税优惠政策的通知》财税</w:t>
      </w:r>
      <w:r>
        <w:rPr>
          <w:rFonts w:ascii="宋体" w:hAnsi="宋体" w:cs="宋体" w:eastAsia="宋体" w:hint="default"/>
        </w:rPr>
        <w:t>[2011]112</w:t>
      </w:r>
      <w:r>
        <w:rPr>
          <w:rFonts w:ascii="宋体" w:hAnsi="宋体" w:cs="宋体" w:eastAsia="宋体" w:hint="default"/>
          <w:spacing w:val="-54"/>
        </w:rPr>
        <w:t> </w:t>
      </w:r>
      <w:r>
        <w:rPr/>
        <w:t>号第一条，</w:t>
      </w:r>
      <w:r>
        <w:rPr>
          <w:rFonts w:ascii="宋体" w:hAnsi="宋体" w:cs="宋体" w:eastAsia="宋体" w:hint="default"/>
        </w:rPr>
        <w:t>2018</w:t>
      </w:r>
      <w:r>
        <w:rPr>
          <w:rFonts w:ascii="宋体" w:hAnsi="宋体" w:cs="宋体" w:eastAsia="宋体" w:hint="default"/>
          <w:spacing w:val="-53"/>
        </w:rPr>
        <w:t> </w:t>
      </w:r>
      <w:r>
        <w:rPr/>
        <w:t>年执行</w:t>
      </w:r>
      <w:r>
        <w:rPr>
          <w:spacing w:val="-55"/>
        </w:rPr>
        <w:t> </w:t>
      </w:r>
      <w:r>
        <w:rPr>
          <w:rFonts w:ascii="宋体" w:hAnsi="宋体" w:cs="宋体" w:eastAsia="宋体" w:hint="default"/>
        </w:rPr>
        <w:t>0.00%</w:t>
      </w:r>
      <w:r>
        <w:rPr/>
        <w:t>的企业所得税税率。</w:t>
      </w:r>
    </w:p>
    <w:p>
      <w:pPr>
        <w:pStyle w:val="Heading5"/>
        <w:spacing w:line="348" w:lineRule="auto" w:before="31"/>
        <w:ind w:right="1131" w:firstLine="420"/>
        <w:jc w:val="both"/>
      </w:pPr>
      <w:r>
        <w:rPr/>
        <w:t>世纪文化在</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2021</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日享受新疆喀什、霍尔果斯特殊经济开发区新办企业 </w:t>
      </w:r>
      <w:r>
        <w:rPr>
          <w:spacing w:val="-1"/>
        </w:rPr>
        <w:t>定期免征企业所得税的优惠政策，具体依据《财政部国家税务总局关于新疆喀什霍尔果斯两个特殊经济开</w:t>
      </w:r>
      <w:r>
        <w:rPr>
          <w:spacing w:val="-81"/>
        </w:rPr>
        <w:t> </w:t>
      </w:r>
      <w:r>
        <w:rPr>
          <w:spacing w:val="-81"/>
        </w:rPr>
      </w:r>
      <w:r>
        <w:rPr/>
        <w:t>发区企业所得税优惠政策的通知》财税</w:t>
      </w:r>
      <w:r>
        <w:rPr>
          <w:rFonts w:ascii="宋体" w:hAnsi="宋体" w:cs="宋体" w:eastAsia="宋体" w:hint="default"/>
        </w:rPr>
        <w:t>[2011]112</w:t>
      </w:r>
      <w:r>
        <w:rPr>
          <w:rFonts w:ascii="宋体" w:hAnsi="宋体" w:cs="宋体" w:eastAsia="宋体" w:hint="default"/>
          <w:spacing w:val="-54"/>
        </w:rPr>
        <w:t> </w:t>
      </w:r>
      <w:r>
        <w:rPr/>
        <w:t>号第一条，</w:t>
      </w:r>
      <w:r>
        <w:rPr>
          <w:rFonts w:ascii="宋体" w:hAnsi="宋体" w:cs="宋体" w:eastAsia="宋体" w:hint="default"/>
        </w:rPr>
        <w:t>2018</w:t>
      </w:r>
      <w:r>
        <w:rPr>
          <w:rFonts w:ascii="宋体" w:hAnsi="宋体" w:cs="宋体" w:eastAsia="宋体" w:hint="default"/>
          <w:spacing w:val="-53"/>
        </w:rPr>
        <w:t> </w:t>
      </w:r>
      <w:r>
        <w:rPr/>
        <w:t>年执行</w:t>
      </w:r>
      <w:r>
        <w:rPr>
          <w:spacing w:val="-55"/>
        </w:rPr>
        <w:t> </w:t>
      </w:r>
      <w:r>
        <w:rPr>
          <w:rFonts w:ascii="宋体" w:hAnsi="宋体" w:cs="宋体" w:eastAsia="宋体" w:hint="default"/>
        </w:rPr>
        <w:t>0.00%</w:t>
      </w:r>
      <w:r>
        <w:rPr/>
        <w:t>的企业所得税税率。</w:t>
      </w:r>
    </w:p>
    <w:p>
      <w:pPr>
        <w:pStyle w:val="Heading5"/>
        <w:spacing w:line="348" w:lineRule="auto" w:before="32"/>
        <w:ind w:right="1130" w:firstLine="420"/>
        <w:jc w:val="both"/>
      </w:pPr>
      <w:r>
        <w:rPr/>
        <w:t>畅元国讯</w:t>
      </w:r>
      <w:r>
        <w:rPr>
          <w:spacing w:val="-47"/>
        </w:rPr>
        <w:t> </w:t>
      </w:r>
      <w:r>
        <w:rPr>
          <w:rFonts w:ascii="宋体" w:hAnsi="宋体" w:cs="宋体" w:eastAsia="宋体" w:hint="default"/>
        </w:rPr>
        <w:t>2016</w:t>
      </w:r>
      <w:r>
        <w:rPr>
          <w:rFonts w:ascii="宋体" w:hAnsi="宋体" w:cs="宋体" w:eastAsia="宋体" w:hint="default"/>
          <w:spacing w:val="-48"/>
        </w:rPr>
        <w:t> </w:t>
      </w:r>
      <w:r>
        <w:rPr/>
        <w:t>年被认定为高新技术企业，有效期为三年，在</w:t>
      </w:r>
      <w:r>
        <w:rPr>
          <w:spacing w:val="-47"/>
        </w:rPr>
        <w:t> </w:t>
      </w:r>
      <w:r>
        <w:rPr>
          <w:rFonts w:ascii="宋体" w:hAnsi="宋体" w:cs="宋体" w:eastAsia="宋体" w:hint="default"/>
        </w:rPr>
        <w:t>2016-2018</w:t>
      </w:r>
      <w:r>
        <w:rPr>
          <w:rFonts w:ascii="宋体" w:hAnsi="宋体" w:cs="宋体" w:eastAsia="宋体" w:hint="default"/>
          <w:spacing w:val="-46"/>
        </w:rPr>
        <w:t> </w:t>
      </w:r>
      <w:r>
        <w:rPr/>
        <w:t>年度间执行</w:t>
      </w:r>
      <w:r>
        <w:rPr>
          <w:spacing w:val="-48"/>
        </w:rPr>
        <w:t> </w:t>
      </w:r>
      <w:r>
        <w:rPr>
          <w:rFonts w:ascii="宋体" w:hAnsi="宋体" w:cs="宋体" w:eastAsia="宋体" w:hint="default"/>
        </w:rPr>
        <w:t>15.00%</w:t>
      </w:r>
      <w:r>
        <w:rPr/>
        <w:t>的企业所 得税税率。</w:t>
      </w:r>
    </w:p>
    <w:p>
      <w:pPr>
        <w:pStyle w:val="Heading5"/>
        <w:spacing w:line="240" w:lineRule="auto" w:before="30"/>
        <w:ind w:left="574" w:right="817"/>
        <w:jc w:val="left"/>
      </w:pPr>
      <w:r>
        <w:rPr/>
        <w:t>成都安妮被认定为小微企业，</w:t>
      </w:r>
      <w:r>
        <w:rPr>
          <w:rFonts w:ascii="宋体" w:hAnsi="宋体" w:cs="宋体" w:eastAsia="宋体" w:hint="default"/>
        </w:rPr>
        <w:t>2018</w:t>
      </w:r>
      <w:r>
        <w:rPr>
          <w:rFonts w:ascii="宋体" w:hAnsi="宋体" w:cs="宋体" w:eastAsia="宋体" w:hint="default"/>
          <w:spacing w:val="-54"/>
        </w:rPr>
        <w:t> </w:t>
      </w:r>
      <w:r>
        <w:rPr/>
        <w:t>年执行</w:t>
      </w:r>
      <w:r>
        <w:rPr>
          <w:spacing w:val="-53"/>
        </w:rPr>
        <w:t> </w:t>
      </w:r>
      <w:r>
        <w:rPr>
          <w:rFonts w:ascii="宋体" w:hAnsi="宋体" w:cs="宋体" w:eastAsia="宋体" w:hint="default"/>
        </w:rPr>
        <w:t>10.00%</w:t>
      </w:r>
      <w:r>
        <w:rPr/>
        <w:t>的企业所得税率。</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spacing w:line="487" w:lineRule="auto" w:before="35"/>
        <w:ind w:left="254" w:right="7512" w:firstLine="0"/>
        <w:jc w:val="left"/>
        <w:rPr>
          <w:rFonts w:ascii="宋体" w:hAnsi="宋体" w:cs="宋体" w:eastAsia="宋体" w:hint="default"/>
          <w:sz w:val="21"/>
          <w:szCs w:val="21"/>
        </w:rPr>
      </w:pPr>
      <w:bookmarkStart w:name="3、其他" w:id="245"/>
      <w:bookmarkEnd w:id="2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46"/>
      <w:bookmarkEnd w:id="246"/>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47"/>
      <w:bookmarkEnd w:id="24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134,302.50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311,125.02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165,026,033.68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299,644,609.13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13,286,964.56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11,337,564.69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178,447,300.74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311,293,298.84</w:t>
            </w:r>
          </w:p>
        </w:tc>
      </w:tr>
    </w:tbl>
    <w:p>
      <w:pPr>
        <w:pStyle w:val="BodyText"/>
        <w:spacing w:line="240" w:lineRule="auto" w:before="51"/>
        <w:ind w:left="254" w:right="1032"/>
        <w:jc w:val="left"/>
      </w:pPr>
      <w:r>
        <w:rPr/>
        <w:t>其他说明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BodyText"/>
        <w:spacing w:line="240" w:lineRule="auto"/>
        <w:ind w:left="704" w:right="1032"/>
        <w:jc w:val="left"/>
        <w:rPr>
          <w:rFonts w:ascii="宋体" w:hAnsi="宋体" w:cs="宋体" w:eastAsia="宋体" w:hint="default"/>
        </w:rPr>
      </w:pPr>
      <w:r>
        <w:rPr/>
        <w:t>其中因抵押、质押或冻结等对使用有限制，以及放在境外且资金汇回受到限制的货币资金明细如下</w:t>
      </w:r>
      <w:r>
        <w:rPr>
          <w:rFonts w:ascii="宋体" w:hAnsi="宋体" w:cs="宋体" w:eastAsia="宋体" w:hint="default"/>
        </w:rPr>
        <w:t>:</w:t>
      </w:r>
    </w:p>
    <w:p>
      <w:pPr>
        <w:spacing w:line="240" w:lineRule="auto" w:before="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299"/>
        <w:gridCol w:w="3285"/>
        <w:gridCol w:w="3286"/>
      </w:tblGrid>
      <w:tr>
        <w:trPr>
          <w:trHeight w:val="359"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457"/>
              <w:jc w:val="right"/>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8,524,078.97</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Arial Narrow" w:hAnsi="Arial Narrow" w:cs="Arial Narrow" w:eastAsia="Arial Narrow" w:hint="default"/>
                <w:sz w:val="18"/>
                <w:szCs w:val="18"/>
              </w:rPr>
            </w:pPr>
            <w:r>
              <w:rPr>
                <w:rFonts w:ascii="Arial Narrow"/>
                <w:spacing w:val="-1"/>
                <w:sz w:val="18"/>
              </w:rPr>
              <w:t>11,247,520.72</w:t>
            </w:r>
          </w:p>
        </w:tc>
      </w:tr>
      <w:tr>
        <w:trPr>
          <w:trHeight w:val="34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108,994.08</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71,200.00</w:t>
            </w:r>
          </w:p>
        </w:tc>
      </w:tr>
      <w:tr>
        <w:trPr>
          <w:trHeight w:val="361"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1457"/>
              <w:jc w:val="righ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8,633,073.05</w:t>
            </w:r>
          </w:p>
        </w:tc>
        <w:tc>
          <w:tcPr>
            <w:tcW w:w="3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11,318,720.72</w:t>
            </w:r>
          </w:p>
        </w:tc>
      </w:tr>
    </w:tbl>
    <w:p>
      <w:pPr>
        <w:spacing w:line="240" w:lineRule="auto" w:before="3"/>
        <w:rPr>
          <w:rFonts w:ascii="宋体" w:hAnsi="宋体" w:cs="宋体" w:eastAsia="宋体" w:hint="default"/>
          <w:sz w:val="19"/>
          <w:szCs w:val="19"/>
        </w:rPr>
      </w:pPr>
    </w:p>
    <w:p>
      <w:pPr>
        <w:pStyle w:val="Heading4"/>
        <w:spacing w:line="240" w:lineRule="auto" w:before="35"/>
        <w:ind w:left="254" w:right="1032"/>
        <w:jc w:val="left"/>
        <w:rPr>
          <w:b w:val="0"/>
          <w:bCs w:val="0"/>
        </w:rPr>
      </w:pPr>
      <w:bookmarkStart w:name="2、以公允价值计量且其变动计入当期损益的金融资产" w:id="248"/>
      <w:bookmarkEnd w:id="24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440,704,055.56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420,580,690.16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440,704,055.56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420,580,690.16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440,704,055.56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420,580,690.16</w:t>
            </w:r>
          </w:p>
        </w:tc>
      </w:tr>
    </w:tbl>
    <w:p>
      <w:pPr>
        <w:pStyle w:val="BodyText"/>
        <w:spacing w:line="240" w:lineRule="auto" w:before="51"/>
        <w:ind w:left="254" w:right="103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254" w:right="1032"/>
        <w:jc w:val="left"/>
        <w:rPr>
          <w:b w:val="0"/>
          <w:bCs w:val="0"/>
        </w:rPr>
      </w:pPr>
      <w:bookmarkStart w:name="3、衍生金融资产" w:id="249"/>
      <w:bookmarkEnd w:id="24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254" w:right="1032"/>
        <w:jc w:val="left"/>
        <w:rPr>
          <w:b w:val="0"/>
          <w:bCs w:val="0"/>
        </w:rPr>
      </w:pPr>
      <w:bookmarkStart w:name="4、应收票据及应收账款" w:id="250"/>
      <w:bookmarkEnd w:id="250"/>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7,298,453.95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2,670,826.77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8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322,170,665.26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115,265,187.67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329,469,119.21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117,936,014.44</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1）应收票据" w:id="251"/>
      <w:bookmarkEnd w:id="25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7,298,453.95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2,670,826.77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7,298,453.95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2,670,826.77</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应收账款" w:id="252"/>
      <w:bookmarkEnd w:id="25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7,893,02</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3.10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7,893,02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8,290,4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44.50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8,290,444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42"/>
              <w:ind w:left="66" w:right="0"/>
              <w:jc w:val="left"/>
              <w:rPr>
                <w:rFonts w:ascii="Arial Narrow" w:hAnsi="Arial Narrow" w:cs="Arial Narrow" w:eastAsia="Arial Narrow" w:hint="default"/>
                <w:sz w:val="18"/>
                <w:szCs w:val="18"/>
              </w:rPr>
            </w:pPr>
            <w:r>
              <w:rPr>
                <w:rFonts w:ascii="Arial Narrow"/>
                <w:sz w:val="18"/>
              </w:rPr>
              <w:t>332,287,1</w:t>
            </w:r>
          </w:p>
          <w:p>
            <w:pPr>
              <w:pStyle w:val="TableParagraph"/>
              <w:spacing w:line="240" w:lineRule="auto" w:before="1"/>
              <w:ind w:left="353" w:right="0"/>
              <w:jc w:val="left"/>
              <w:rPr>
                <w:rFonts w:ascii="Arial Narrow" w:hAnsi="Arial Narrow" w:cs="Arial Narrow" w:eastAsia="Arial Narrow" w:hint="default"/>
                <w:sz w:val="18"/>
                <w:szCs w:val="18"/>
              </w:rPr>
            </w:pPr>
            <w:r>
              <w:rPr>
                <w:rFonts w:ascii="Arial Narrow"/>
                <w:sz w:val="18"/>
              </w:rPr>
              <w:t>45.56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0" w:right="0"/>
              <w:jc w:val="left"/>
              <w:rPr>
                <w:rFonts w:ascii="Arial Narrow" w:hAnsi="Arial Narrow" w:cs="Arial Narrow" w:eastAsia="Arial Narrow" w:hint="default"/>
                <w:sz w:val="18"/>
                <w:szCs w:val="18"/>
              </w:rPr>
            </w:pPr>
            <w:r>
              <w:rPr>
                <w:rFonts w:ascii="Arial Narrow"/>
                <w:sz w:val="18"/>
              </w:rPr>
              <w:t>97.32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42"/>
              <w:ind w:left="71" w:right="0"/>
              <w:jc w:val="left"/>
              <w:rPr>
                <w:rFonts w:ascii="Arial Narrow" w:hAnsi="Arial Narrow" w:cs="Arial Narrow" w:eastAsia="Arial Narrow" w:hint="default"/>
                <w:sz w:val="18"/>
                <w:szCs w:val="18"/>
              </w:rPr>
            </w:pPr>
            <w:r>
              <w:rPr>
                <w:rFonts w:ascii="Arial Narrow"/>
                <w:sz w:val="18"/>
              </w:rPr>
              <w:t>10,116,48</w:t>
            </w:r>
          </w:p>
          <w:p>
            <w:pPr>
              <w:pStyle w:val="TableParagraph"/>
              <w:spacing w:line="240" w:lineRule="auto" w:before="1"/>
              <w:ind w:left="441" w:right="0"/>
              <w:jc w:val="left"/>
              <w:rPr>
                <w:rFonts w:ascii="Arial Narrow" w:hAnsi="Arial Narrow" w:cs="Arial Narrow" w:eastAsia="Arial Narrow" w:hint="default"/>
                <w:sz w:val="18"/>
                <w:szCs w:val="18"/>
              </w:rPr>
            </w:pPr>
            <w:r>
              <w:rPr>
                <w:rFonts w:ascii="Arial Narrow"/>
                <w:sz w:val="18"/>
              </w:rPr>
              <w:t>0.30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322,170,6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65.26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42"/>
              <w:ind w:left="20" w:right="0"/>
              <w:jc w:val="center"/>
              <w:rPr>
                <w:rFonts w:ascii="Arial Narrow" w:hAnsi="Arial Narrow" w:cs="Arial Narrow" w:eastAsia="Arial Narrow" w:hint="default"/>
                <w:sz w:val="18"/>
                <w:szCs w:val="18"/>
              </w:rPr>
            </w:pPr>
            <w:r>
              <w:rPr>
                <w:rFonts w:ascii="Arial Narrow"/>
                <w:sz w:val="18"/>
              </w:rPr>
              <w:t>120,263,</w:t>
            </w:r>
          </w:p>
          <w:p>
            <w:pPr>
              <w:pStyle w:val="TableParagraph"/>
              <w:spacing w:line="240" w:lineRule="auto" w:before="1"/>
              <w:ind w:left="144" w:right="0"/>
              <w:jc w:val="center"/>
              <w:rPr>
                <w:rFonts w:ascii="Arial Narrow" w:hAnsi="Arial Narrow" w:cs="Arial Narrow" w:eastAsia="Arial Narrow" w:hint="default"/>
                <w:sz w:val="18"/>
                <w:szCs w:val="18"/>
              </w:rPr>
            </w:pPr>
            <w:r>
              <w:rPr>
                <w:rFonts w:ascii="Arial Narrow"/>
                <w:sz w:val="18"/>
              </w:rPr>
              <w:t>030.38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0" w:right="0"/>
              <w:jc w:val="left"/>
              <w:rPr>
                <w:rFonts w:ascii="Arial Narrow" w:hAnsi="Arial Narrow" w:cs="Arial Narrow" w:eastAsia="Arial Narrow" w:hint="default"/>
                <w:sz w:val="18"/>
                <w:szCs w:val="18"/>
              </w:rPr>
            </w:pPr>
            <w:r>
              <w:rPr>
                <w:rFonts w:ascii="Arial Narrow"/>
                <w:sz w:val="18"/>
              </w:rPr>
              <w:t>92.73</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42"/>
              <w:ind w:right="22"/>
              <w:jc w:val="right"/>
              <w:rPr>
                <w:rFonts w:ascii="Arial Narrow" w:hAnsi="Arial Narrow" w:cs="Arial Narrow" w:eastAsia="Arial Narrow" w:hint="default"/>
                <w:sz w:val="18"/>
                <w:szCs w:val="18"/>
              </w:rPr>
            </w:pPr>
            <w:r>
              <w:rPr>
                <w:rFonts w:ascii="Arial Narrow"/>
                <w:spacing w:val="-1"/>
                <w:sz w:val="18"/>
              </w:rPr>
              <w:t>4,997,842.</w:t>
            </w:r>
          </w:p>
          <w:p>
            <w:pPr>
              <w:pStyle w:val="TableParagraph"/>
              <w:spacing w:line="240" w:lineRule="auto" w:before="1"/>
              <w:ind w:right="23"/>
              <w:jc w:val="right"/>
              <w:rPr>
                <w:rFonts w:ascii="Arial Narrow" w:hAnsi="Arial Narrow" w:cs="Arial Narrow" w:eastAsia="Arial Narrow" w:hint="default"/>
                <w:sz w:val="18"/>
                <w:szCs w:val="18"/>
              </w:rPr>
            </w:pPr>
            <w:r>
              <w:rPr>
                <w:rFonts w:ascii="Arial Narrow"/>
                <w:spacing w:val="-1"/>
                <w:w w:val="95"/>
                <w:sz w:val="18"/>
              </w:rPr>
              <w:t>71</w:t>
            </w:r>
            <w:r>
              <w:rPr>
                <w:rFonts w:ascii="Arial Narrow"/>
                <w:w w:val="95"/>
                <w:sz w:val="18"/>
              </w:rPr>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4.16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115,265,18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7.67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332,287,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145.56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97.32%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10,116,4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80.30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322,170,6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65.26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120,263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,030.38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92.73%</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4,997,842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115,265,18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7.67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1,265,77</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1,265,77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1,141,0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14.54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1,141,014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341,445,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943.94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19,275,2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78.68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5.65%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322,170,6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65.26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129,694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,489.42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14,429,30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1.75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115,265,18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7.67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844"/>
        <w:gridCol w:w="1631"/>
        <w:gridCol w:w="1347"/>
        <w:gridCol w:w="2470"/>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2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center"/>
        <w:rPr>
          <w:rFonts w:ascii="宋体" w:hAnsi="宋体" w:cs="宋体" w:eastAsia="宋体"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4"/>
          <w:szCs w:val="24"/>
        </w:rPr>
      </w:pPr>
    </w:p>
    <w:tbl>
      <w:tblPr>
        <w:tblW w:w="0" w:type="auto"/>
        <w:jc w:val="left"/>
        <w:tblInd w:w="229" w:type="dxa"/>
        <w:tblLayout w:type="fixed"/>
        <w:tblCellMar>
          <w:top w:w="0" w:type="dxa"/>
          <w:left w:w="0" w:type="dxa"/>
          <w:bottom w:w="0" w:type="dxa"/>
          <w:right w:w="0" w:type="dxa"/>
        </w:tblCellMar>
        <w:tblLook w:val="01E0"/>
      </w:tblPr>
      <w:tblGrid>
        <w:gridCol w:w="2268"/>
        <w:gridCol w:w="1844"/>
        <w:gridCol w:w="1631"/>
        <w:gridCol w:w="1347"/>
        <w:gridCol w:w="2482"/>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湖南奥林特种纸有限公司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1,360,128.46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1,360,128.46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债务人停产难以偿还债务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湖南中冶美隆纸业有限公司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1,989,878.27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1,989,878.27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债务人停产难以偿还债务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广州市紫昊纸业有限公司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1,281,501.86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1,281,501.86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center"/>
              <w:rPr>
                <w:rFonts w:ascii="宋体" w:hAnsi="宋体" w:cs="宋体" w:eastAsia="宋体" w:hint="default"/>
                <w:sz w:val="18"/>
                <w:szCs w:val="18"/>
              </w:rPr>
            </w:pPr>
            <w:r>
              <w:rPr>
                <w:rFonts w:ascii="宋体" w:hAnsi="宋体" w:cs="宋体" w:eastAsia="宋体" w:hint="default"/>
                <w:sz w:val="18"/>
                <w:szCs w:val="18"/>
              </w:rPr>
              <w:t>根据诉讼进展预计难以收回</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刘正君（</w:t>
            </w:r>
            <w:r>
              <w:rPr>
                <w:rFonts w:ascii="Times New Roman" w:hAnsi="Times New Roman" w:cs="Times New Roman" w:eastAsia="Times New Roman" w:hint="default"/>
                <w:sz w:val="18"/>
                <w:szCs w:val="18"/>
              </w:rPr>
              <w:t>JCK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株式会社）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1,622,899.06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1,622,899.06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center"/>
              <w:rPr>
                <w:rFonts w:ascii="宋体" w:hAnsi="宋体" w:cs="宋体" w:eastAsia="宋体" w:hint="default"/>
                <w:sz w:val="18"/>
                <w:szCs w:val="18"/>
              </w:rPr>
            </w:pPr>
            <w:r>
              <w:rPr>
                <w:rFonts w:ascii="宋体" w:hAnsi="宋体" w:cs="宋体" w:eastAsia="宋体" w:hint="default"/>
                <w:sz w:val="18"/>
                <w:szCs w:val="18"/>
              </w:rPr>
              <w:t>根据诉讼进展预计难以收回</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北京旌旗源弘科贸有限公司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1,638,615.45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1,638,615.45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center"/>
              <w:rPr>
                <w:rFonts w:ascii="宋体" w:hAnsi="宋体" w:cs="宋体" w:eastAsia="宋体" w:hint="default"/>
                <w:sz w:val="18"/>
                <w:szCs w:val="18"/>
              </w:rPr>
            </w:pPr>
            <w:r>
              <w:rPr>
                <w:rFonts w:ascii="宋体" w:hAnsi="宋体" w:cs="宋体" w:eastAsia="宋体" w:hint="default"/>
                <w:sz w:val="18"/>
                <w:szCs w:val="18"/>
              </w:rPr>
              <w:t>根据诉讼进展预计难以收回</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7,893,023.10</w:t>
            </w:r>
          </w:p>
        </w:tc>
        <w:tc>
          <w:tcPr>
            <w:tcW w:w="16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7,893,023.10</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00" w:right="0"/>
        </w:sectPr>
      </w:pPr>
    </w:p>
    <w:p>
      <w:pPr>
        <w:pStyle w:val="BodyText"/>
        <w:spacing w:line="240" w:lineRule="auto" w:before="51"/>
        <w:ind w:left="234" w:right="-20"/>
        <w:jc w:val="left"/>
      </w:pPr>
      <w:r>
        <w:rPr/>
        <w:t>组合中，按账龄分析法计提坏账准备的应收账款：</w:t>
      </w:r>
    </w:p>
    <w:p>
      <w:pPr>
        <w:pStyle w:val="BodyText"/>
        <w:spacing w:line="240" w:lineRule="auto" w:before="117"/>
        <w:ind w:left="2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233" w:right="0"/>
        <w:jc w:val="left"/>
      </w:pPr>
      <w:r>
        <w:rPr/>
        <w:t>单位： 元</w:t>
      </w:r>
    </w:p>
    <w:p>
      <w:pPr>
        <w:spacing w:after="0" w:line="240" w:lineRule="auto"/>
        <w:jc w:val="left"/>
        <w:sectPr>
          <w:type w:val="continuous"/>
          <w:pgSz w:w="11910" w:h="16840"/>
          <w:pgMar w:top="1060" w:bottom="700" w:left="900" w:right="0"/>
          <w:cols w:num="2" w:equalWidth="0">
            <w:col w:w="4195" w:space="4635"/>
            <w:col w:w="2180"/>
          </w:cols>
        </w:sectPr>
      </w:pPr>
    </w:p>
    <w:p>
      <w:pPr>
        <w:spacing w:line="240" w:lineRule="auto" w:before="1"/>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282,317,317.70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5,646,346.36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41,148,766.36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2,057,438.32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323,466,084.06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7,703,784.68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7,010,645.53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701,064.56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141,121.31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42,336.40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1,669,294.66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sz w:val="18"/>
              </w:rPr>
              <w:t>1,669,294.66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332,287,145.56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10,116,480.30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234" w:right="6432"/>
        <w:jc w:val="left"/>
      </w:pPr>
      <w:r>
        <w:rPr/>
        <w:t>确定该组合依据的说明： 组合中，采用余额百分比法计提坏账准备的应收账款：</w:t>
      </w:r>
    </w:p>
    <w:p>
      <w:pPr>
        <w:pStyle w:val="BodyText"/>
        <w:spacing w:line="338" w:lineRule="auto" w:before="26"/>
        <w:ind w:left="23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Heading5"/>
        <w:spacing w:line="240" w:lineRule="auto" w:before="97"/>
        <w:ind w:left="654" w:right="0"/>
        <w:jc w:val="left"/>
      </w:pPr>
      <w:r>
        <w:rPr/>
        <w:t>（</w:t>
      </w:r>
      <w:r>
        <w:rPr>
          <w:rFonts w:ascii="Times New Roman" w:hAnsi="Times New Roman" w:cs="Times New Roman" w:eastAsia="Times New Roman" w:hint="default"/>
        </w:rPr>
        <w:t>3</w:t>
      </w:r>
      <w:r>
        <w:rPr/>
        <w:t>）期末单项金额不重大但单独计提坏账准备的应收账款</w:t>
      </w:r>
    </w:p>
    <w:p>
      <w:pPr>
        <w:spacing w:line="240" w:lineRule="auto" w:before="11"/>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997"/>
        <w:gridCol w:w="1283"/>
        <w:gridCol w:w="1122"/>
        <w:gridCol w:w="1122"/>
        <w:gridCol w:w="1122"/>
        <w:gridCol w:w="2178"/>
      </w:tblGrid>
      <w:tr>
        <w:trPr>
          <w:trHeight w:val="567" w:hRule="exact"/>
        </w:trPr>
        <w:tc>
          <w:tcPr>
            <w:tcW w:w="29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9"/>
              <w:ind w:left="18"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2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left="2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left="1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21" w:right="195"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21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99" w:right="0"/>
              <w:jc w:val="left"/>
              <w:rPr>
                <w:rFonts w:ascii="宋体" w:hAnsi="宋体" w:cs="宋体" w:eastAsia="宋体" w:hint="default"/>
                <w:sz w:val="18"/>
                <w:szCs w:val="18"/>
              </w:rPr>
            </w:pPr>
            <w:r>
              <w:rPr>
                <w:rFonts w:ascii="宋体" w:hAnsi="宋体" w:cs="宋体" w:eastAsia="宋体" w:hint="default"/>
                <w:sz w:val="18"/>
                <w:szCs w:val="18"/>
              </w:rPr>
              <w:t>艾迪芙文化用品</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830,462.61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830,462.61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sz w:val="18"/>
              </w:rPr>
              <w:t>100.00</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根据诉讼预计无法收回</w:t>
            </w:r>
          </w:p>
        </w:tc>
      </w:tr>
      <w:tr>
        <w:trPr>
          <w:trHeight w:val="402" w:hRule="exact"/>
        </w:trPr>
        <w:tc>
          <w:tcPr>
            <w:tcW w:w="2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天津科航纸品有限公司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151,760.74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151,760.74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sz w:val="18"/>
              </w:rPr>
              <w:t>100.00</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根据诉讼预计无法收回</w:t>
            </w:r>
          </w:p>
        </w:tc>
      </w:tr>
      <w:tr>
        <w:trPr>
          <w:trHeight w:val="402" w:hRule="exact"/>
        </w:trPr>
        <w:tc>
          <w:tcPr>
            <w:tcW w:w="2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北京市艺联兴商贸公司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207,173.36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207,173.36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sz w:val="18"/>
              </w:rPr>
              <w:t>100.00</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预计无法回收</w:t>
            </w:r>
          </w:p>
        </w:tc>
      </w:tr>
      <w:tr>
        <w:trPr>
          <w:trHeight w:val="402" w:hRule="exact"/>
        </w:trPr>
        <w:tc>
          <w:tcPr>
            <w:tcW w:w="29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北京龙文倡达商贸有限公司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76,378.57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76,378.57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sz w:val="18"/>
              </w:rPr>
              <w:t>100.00</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预计无法回收</w:t>
            </w:r>
          </w:p>
        </w:tc>
      </w:tr>
      <w:tr>
        <w:trPr>
          <w:trHeight w:val="412" w:hRule="exact"/>
        </w:trPr>
        <w:tc>
          <w:tcPr>
            <w:tcW w:w="29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79"/>
              <w:jc w:val="right"/>
              <w:rPr>
                <w:rFonts w:ascii="Arial Narrow" w:hAnsi="Arial Narrow" w:cs="Arial Narrow" w:eastAsia="Arial Narrow" w:hint="default"/>
                <w:sz w:val="18"/>
                <w:szCs w:val="18"/>
              </w:rPr>
            </w:pPr>
            <w:r>
              <w:rPr>
                <w:rFonts w:ascii="Arial Narrow"/>
                <w:spacing w:val="-1"/>
                <w:sz w:val="18"/>
              </w:rPr>
              <w:t>1,265,775.28</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78"/>
              <w:jc w:val="right"/>
              <w:rPr>
                <w:rFonts w:ascii="Arial Narrow" w:hAnsi="Arial Narrow" w:cs="Arial Narrow" w:eastAsia="Arial Narrow" w:hint="default"/>
                <w:sz w:val="18"/>
                <w:szCs w:val="18"/>
              </w:rPr>
            </w:pPr>
            <w:r>
              <w:rPr>
                <w:rFonts w:ascii="Arial Narrow"/>
                <w:spacing w:val="-1"/>
                <w:sz w:val="18"/>
              </w:rPr>
              <w:t>1,265,775.28</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center"/>
              <w:rPr>
                <w:rFonts w:ascii="Arial Narrow" w:hAnsi="Arial Narrow" w:cs="Arial Narrow" w:eastAsia="Arial Narrow" w:hint="default"/>
                <w:sz w:val="18"/>
                <w:szCs w:val="18"/>
              </w:rPr>
            </w:pPr>
            <w:r>
              <w:rPr>
                <w:rFonts w:ascii="Arial Narrow"/>
                <w:sz w:val="18"/>
              </w:rPr>
              <w:t>--</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center"/>
              <w:rPr>
                <w:rFonts w:ascii="Arial Narrow" w:hAnsi="Arial Narrow" w:cs="Arial Narrow" w:eastAsia="Arial Narrow" w:hint="default"/>
                <w:sz w:val="18"/>
                <w:szCs w:val="18"/>
              </w:rPr>
            </w:pPr>
            <w:r>
              <w:rPr>
                <w:rFonts w:ascii="Arial Narrow"/>
                <w:sz w:val="18"/>
              </w:rPr>
              <w:t>--</w:t>
            </w:r>
          </w:p>
        </w:tc>
        <w:tc>
          <w:tcPr>
            <w:tcW w:w="21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4"/>
              <w:jc w:val="center"/>
              <w:rPr>
                <w:rFonts w:ascii="Arial Narrow" w:hAnsi="Arial Narrow" w:cs="Arial Narrow" w:eastAsia="Arial Narrow" w:hint="default"/>
                <w:sz w:val="18"/>
                <w:szCs w:val="18"/>
              </w:rPr>
            </w:pPr>
            <w:r>
              <w:rPr>
                <w:rFonts w:ascii="Arial Narrow"/>
                <w:sz w:val="18"/>
              </w:rPr>
              <w:t>--</w:t>
            </w:r>
          </w:p>
        </w:tc>
      </w:tr>
    </w:tbl>
    <w:p>
      <w:pPr>
        <w:spacing w:line="240" w:lineRule="auto" w:before="12"/>
        <w:rPr>
          <w:rFonts w:ascii="宋体" w:hAnsi="宋体" w:cs="宋体" w:eastAsia="宋体" w:hint="default"/>
          <w:sz w:val="28"/>
          <w:szCs w:val="28"/>
        </w:rPr>
      </w:pPr>
    </w:p>
    <w:p>
      <w:pPr>
        <w:pStyle w:val="BodyText"/>
        <w:spacing w:line="240" w:lineRule="auto" w:before="44"/>
        <w:ind w:left="234" w:right="6432"/>
        <w:jc w:val="left"/>
      </w:pPr>
      <w:r>
        <w:rPr>
          <w:rFonts w:ascii="宋体" w:hAnsi="宋体" w:cs="宋体" w:eastAsia="宋体" w:hint="default"/>
        </w:rPr>
        <w:t>2)</w:t>
      </w:r>
      <w:r>
        <w:rPr/>
        <w:t>本期计提、收回或转回的坏账准备情况</w:t>
      </w:r>
    </w:p>
    <w:p>
      <w:pPr>
        <w:spacing w:line="240" w:lineRule="auto" w:before="7"/>
        <w:rPr>
          <w:rFonts w:ascii="宋体" w:hAnsi="宋体" w:cs="宋体" w:eastAsia="宋体" w:hint="default"/>
          <w:sz w:val="12"/>
          <w:szCs w:val="12"/>
        </w:rPr>
      </w:pPr>
    </w:p>
    <w:p>
      <w:pPr>
        <w:pStyle w:val="BodyText"/>
        <w:spacing w:line="408" w:lineRule="auto"/>
        <w:ind w:left="234" w:right="5490"/>
        <w:jc w:val="left"/>
      </w:pPr>
      <w:r>
        <w:rPr/>
        <w:t>本期计提坏账准备金额 </w:t>
      </w:r>
      <w:r>
        <w:rPr>
          <w:rFonts w:ascii="宋体" w:hAnsi="宋体" w:cs="宋体" w:eastAsia="宋体" w:hint="default"/>
        </w:rPr>
        <w:t>0</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w:t>
      </w:r>
      <w:r>
        <w:rPr>
          <w:rFonts w:ascii="宋体" w:hAnsi="宋体" w:cs="宋体" w:eastAsia="宋体" w:hint="default"/>
          <w:spacing w:val="-46"/>
        </w:rPr>
        <w:t> </w:t>
      </w:r>
      <w:r>
        <w:rPr/>
        <w:t>元。 应收账款核销说明：</w:t>
      </w:r>
    </w:p>
    <w:p>
      <w:pPr>
        <w:spacing w:after="0" w:line="408" w:lineRule="auto"/>
        <w:jc w:val="left"/>
        <w:sectPr>
          <w:type w:val="continuous"/>
          <w:pgSz w:w="11910" w:h="16840"/>
          <w:pgMar w:top="1060" w:bottom="700" w:left="900" w:right="0"/>
        </w:sectPr>
      </w:pPr>
    </w:p>
    <w:p>
      <w:pPr>
        <w:spacing w:line="240" w:lineRule="auto" w:before="7"/>
        <w:rPr>
          <w:rFonts w:ascii="宋体" w:hAnsi="宋体" w:cs="宋体" w:eastAsia="宋体" w:hint="default"/>
          <w:sz w:val="29"/>
          <w:szCs w:val="29"/>
        </w:rPr>
      </w:pPr>
    </w:p>
    <w:p>
      <w:pPr>
        <w:pStyle w:val="BodyText"/>
        <w:spacing w:line="240" w:lineRule="auto" w:before="44"/>
        <w:ind w:left="254" w:right="1032"/>
        <w:jc w:val="left"/>
      </w:pPr>
      <w:r>
        <w:rPr>
          <w:rFonts w:ascii="宋体" w:hAnsi="宋体" w:cs="宋体" w:eastAsia="宋体" w:hint="default"/>
        </w:rPr>
        <w:t>3)</w:t>
      </w:r>
      <w:r>
        <w:rPr/>
        <w:t>按欠款方归集的期末余额前五名的应收账款情况</w:t>
      </w:r>
    </w:p>
    <w:p>
      <w:pPr>
        <w:spacing w:line="240" w:lineRule="auto" w:before="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341"/>
        <w:gridCol w:w="2176"/>
        <w:gridCol w:w="2176"/>
        <w:gridCol w:w="2177"/>
      </w:tblGrid>
      <w:tr>
        <w:trPr>
          <w:trHeight w:val="567" w:hRule="exact"/>
        </w:trPr>
        <w:tc>
          <w:tcPr>
            <w:tcW w:w="33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947" w:right="183" w:hanging="766"/>
              <w:jc w:val="left"/>
              <w:rPr>
                <w:rFonts w:ascii="宋体" w:hAnsi="宋体" w:cs="宋体" w:eastAsia="宋体" w:hint="default"/>
                <w:sz w:val="18"/>
                <w:szCs w:val="18"/>
              </w:rPr>
            </w:pPr>
            <w:r>
              <w:rPr>
                <w:rFonts w:ascii="宋体" w:hAnsi="宋体" w:cs="宋体" w:eastAsia="宋体" w:hint="default"/>
                <w:sz w:val="18"/>
                <w:szCs w:val="18"/>
              </w:rPr>
              <w:t>占应收账款总额的比例 </w:t>
            </w:r>
            <w:r>
              <w:rPr>
                <w:rFonts w:ascii="宋体" w:hAnsi="宋体" w:cs="宋体" w:eastAsia="宋体" w:hint="default"/>
                <w:sz w:val="18"/>
                <w:szCs w:val="18"/>
              </w:rPr>
              <w:t>(%)</w:t>
            </w:r>
          </w:p>
        </w:tc>
        <w:tc>
          <w:tcPr>
            <w:tcW w:w="21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8"/>
              <w:ind w:left="542"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72,250,000.00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Arial Narrow" w:hAnsi="Arial Narrow" w:cs="Arial Narrow" w:eastAsia="Arial Narrow" w:hint="default"/>
                <w:sz w:val="18"/>
                <w:szCs w:val="18"/>
              </w:rPr>
            </w:pPr>
            <w:r>
              <w:rPr>
                <w:rFonts w:ascii="Arial Narrow"/>
                <w:sz w:val="18"/>
              </w:rPr>
              <w:t>21.16</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1,445,000.00</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63,376,000.00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Arial Narrow" w:hAnsi="Arial Narrow" w:cs="Arial Narrow" w:eastAsia="Arial Narrow" w:hint="default"/>
                <w:sz w:val="18"/>
                <w:szCs w:val="18"/>
              </w:rPr>
            </w:pPr>
            <w:r>
              <w:rPr>
                <w:rFonts w:ascii="Arial Narrow"/>
                <w:sz w:val="18"/>
              </w:rPr>
              <w:t>18.56</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1,267,520.00</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24,450,995.86</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Arial Narrow" w:hAnsi="Arial Narrow" w:cs="Arial Narrow" w:eastAsia="Arial Narrow" w:hint="default"/>
                <w:sz w:val="18"/>
                <w:szCs w:val="18"/>
              </w:rPr>
            </w:pPr>
            <w:r>
              <w:rPr>
                <w:rFonts w:ascii="Arial Narrow"/>
                <w:sz w:val="18"/>
              </w:rPr>
              <w:t>7.16</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Arial Narrow" w:hAnsi="Arial Narrow" w:cs="Arial Narrow" w:eastAsia="Arial Narrow" w:hint="default"/>
                <w:sz w:val="18"/>
                <w:szCs w:val="18"/>
              </w:rPr>
            </w:pPr>
            <w:r>
              <w:rPr>
                <w:rFonts w:ascii="Arial Narrow"/>
                <w:spacing w:val="-1"/>
                <w:sz w:val="18"/>
              </w:rPr>
              <w:t>888,753.53</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20,525,362.90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Arial Narrow" w:hAnsi="Arial Narrow" w:cs="Arial Narrow" w:eastAsia="Arial Narrow" w:hint="default"/>
                <w:sz w:val="18"/>
                <w:szCs w:val="18"/>
              </w:rPr>
            </w:pPr>
            <w:r>
              <w:rPr>
                <w:rFonts w:ascii="Arial Narrow"/>
                <w:sz w:val="18"/>
              </w:rPr>
              <w:t>6.01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Arial Narrow" w:hAnsi="Arial Narrow" w:cs="Arial Narrow" w:eastAsia="Arial Narrow" w:hint="default"/>
                <w:sz w:val="18"/>
                <w:szCs w:val="18"/>
              </w:rPr>
            </w:pPr>
            <w:r>
              <w:rPr>
                <w:rFonts w:ascii="Arial Narrow"/>
                <w:spacing w:val="-1"/>
                <w:sz w:val="18"/>
              </w:rPr>
              <w:t>410,507.26</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9,600,000.00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Arial Narrow" w:hAnsi="Arial Narrow" w:cs="Arial Narrow" w:eastAsia="Arial Narrow" w:hint="default"/>
                <w:sz w:val="18"/>
                <w:szCs w:val="18"/>
              </w:rPr>
            </w:pPr>
            <w:r>
              <w:rPr>
                <w:rFonts w:ascii="Arial Narrow"/>
                <w:sz w:val="18"/>
              </w:rPr>
              <w:t>2.81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Arial Narrow" w:hAnsi="Arial Narrow" w:cs="Arial Narrow" w:eastAsia="Arial Narrow" w:hint="default"/>
                <w:sz w:val="18"/>
                <w:szCs w:val="18"/>
              </w:rPr>
            </w:pPr>
            <w:r>
              <w:rPr>
                <w:rFonts w:ascii="Arial Narrow"/>
                <w:spacing w:val="-1"/>
                <w:sz w:val="18"/>
              </w:rPr>
              <w:t>192,000.00</w:t>
            </w:r>
          </w:p>
        </w:tc>
      </w:tr>
      <w:tr>
        <w:trPr>
          <w:trHeight w:val="412" w:hRule="exact"/>
        </w:trPr>
        <w:tc>
          <w:tcPr>
            <w:tcW w:w="33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190,202,358.76</w:t>
            </w:r>
          </w:p>
        </w:tc>
        <w:tc>
          <w:tcPr>
            <w:tcW w:w="2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897" w:right="0"/>
              <w:jc w:val="left"/>
              <w:rPr>
                <w:rFonts w:ascii="Arial Narrow" w:hAnsi="Arial Narrow" w:cs="Arial Narrow" w:eastAsia="Arial Narrow" w:hint="default"/>
                <w:sz w:val="18"/>
                <w:szCs w:val="18"/>
              </w:rPr>
            </w:pPr>
            <w:r>
              <w:rPr>
                <w:rFonts w:ascii="Arial Narrow"/>
                <w:sz w:val="18"/>
              </w:rPr>
              <w:t>55.70</w:t>
            </w:r>
          </w:p>
        </w:tc>
        <w:tc>
          <w:tcPr>
            <w:tcW w:w="21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4,203,780.79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254" w:right="1032"/>
        <w:jc w:val="left"/>
        <w:rPr>
          <w:b w:val="0"/>
          <w:bCs w:val="0"/>
        </w:rPr>
      </w:pPr>
      <w:bookmarkStart w:name="5、预付款项" w:id="253"/>
      <w:bookmarkEnd w:id="253"/>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1032"/>
        <w:jc w:val="left"/>
        <w:rPr>
          <w:b w:val="0"/>
          <w:bCs w:val="0"/>
        </w:rPr>
      </w:pPr>
      <w:bookmarkStart w:name="（1）预付款项按账龄列示" w:id="254"/>
      <w:bookmarkEnd w:id="25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9,541,934.48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18,148,032.57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197,166.59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6,325,180.86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1,915,098.01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455,133.92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347,536.80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12,001,735.88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24,931,347.35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54" w:right="103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left="254" w:right="1032"/>
        <w:jc w:val="left"/>
        <w:rPr>
          <w:b w:val="0"/>
          <w:bCs w:val="0"/>
        </w:rPr>
      </w:pPr>
      <w:bookmarkStart w:name="（2）按预付对象归集的期末余额前五名的预付款情况" w:id="255"/>
      <w:bookmarkEnd w:id="25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501"/>
        <w:gridCol w:w="3184"/>
        <w:gridCol w:w="3185"/>
      </w:tblGrid>
      <w:tr>
        <w:trPr>
          <w:trHeight w:val="361" w:hRule="exact"/>
        </w:trPr>
        <w:tc>
          <w:tcPr>
            <w:tcW w:w="35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402" w:hRule="exact"/>
        </w:trPr>
        <w:tc>
          <w:tcPr>
            <w:tcW w:w="3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4,000,000.00</w:t>
            </w:r>
          </w:p>
        </w:tc>
        <w:tc>
          <w:tcPr>
            <w:tcW w:w="3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Arial Narrow" w:hAnsi="Arial Narrow" w:cs="Arial Narrow" w:eastAsia="Arial Narrow" w:hint="default"/>
                <w:sz w:val="18"/>
                <w:szCs w:val="18"/>
              </w:rPr>
            </w:pPr>
            <w:r>
              <w:rPr>
                <w:rFonts w:ascii="Arial Narrow"/>
                <w:sz w:val="18"/>
              </w:rPr>
              <w:t>33.33</w:t>
            </w:r>
          </w:p>
        </w:tc>
      </w:tr>
      <w:tr>
        <w:trPr>
          <w:trHeight w:val="402" w:hRule="exact"/>
        </w:trPr>
        <w:tc>
          <w:tcPr>
            <w:tcW w:w="3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1,909,000.00</w:t>
            </w:r>
          </w:p>
        </w:tc>
        <w:tc>
          <w:tcPr>
            <w:tcW w:w="3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Arial Narrow" w:hAnsi="Arial Narrow" w:cs="Arial Narrow" w:eastAsia="Arial Narrow" w:hint="default"/>
                <w:sz w:val="18"/>
                <w:szCs w:val="18"/>
              </w:rPr>
            </w:pPr>
            <w:r>
              <w:rPr>
                <w:rFonts w:ascii="Arial Narrow"/>
                <w:sz w:val="18"/>
              </w:rPr>
              <w:t>15.91</w:t>
            </w:r>
          </w:p>
        </w:tc>
      </w:tr>
      <w:tr>
        <w:trPr>
          <w:trHeight w:val="402" w:hRule="exact"/>
        </w:trPr>
        <w:tc>
          <w:tcPr>
            <w:tcW w:w="3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Arial Narrow" w:hAnsi="Arial Narrow" w:cs="Arial Narrow" w:eastAsia="Arial Narrow" w:hint="default"/>
                <w:sz w:val="18"/>
                <w:szCs w:val="18"/>
              </w:rPr>
            </w:pPr>
            <w:r>
              <w:rPr>
                <w:rFonts w:ascii="Arial Narrow"/>
                <w:spacing w:val="-1"/>
                <w:sz w:val="18"/>
              </w:rPr>
              <w:t>914,689.32</w:t>
            </w:r>
          </w:p>
        </w:tc>
        <w:tc>
          <w:tcPr>
            <w:tcW w:w="3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Arial Narrow" w:hAnsi="Arial Narrow" w:cs="Arial Narrow" w:eastAsia="Arial Narrow" w:hint="default"/>
                <w:sz w:val="18"/>
                <w:szCs w:val="18"/>
              </w:rPr>
            </w:pPr>
            <w:r>
              <w:rPr>
                <w:rFonts w:ascii="Arial Narrow"/>
                <w:sz w:val="18"/>
              </w:rPr>
              <w:t>7.62</w:t>
            </w:r>
          </w:p>
        </w:tc>
      </w:tr>
      <w:tr>
        <w:trPr>
          <w:trHeight w:val="402" w:hRule="exact"/>
        </w:trPr>
        <w:tc>
          <w:tcPr>
            <w:tcW w:w="3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Arial Narrow" w:hAnsi="Arial Narrow" w:cs="Arial Narrow" w:eastAsia="Arial Narrow" w:hint="default"/>
                <w:sz w:val="18"/>
                <w:szCs w:val="18"/>
              </w:rPr>
            </w:pPr>
            <w:r>
              <w:rPr>
                <w:rFonts w:ascii="Arial Narrow"/>
                <w:spacing w:val="-1"/>
                <w:sz w:val="18"/>
              </w:rPr>
              <w:t>758,490.57</w:t>
            </w:r>
          </w:p>
        </w:tc>
        <w:tc>
          <w:tcPr>
            <w:tcW w:w="3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Arial Narrow" w:hAnsi="Arial Narrow" w:cs="Arial Narrow" w:eastAsia="Arial Narrow" w:hint="default"/>
                <w:sz w:val="18"/>
                <w:szCs w:val="18"/>
              </w:rPr>
            </w:pPr>
            <w:r>
              <w:rPr>
                <w:rFonts w:ascii="Arial Narrow"/>
                <w:sz w:val="18"/>
              </w:rPr>
              <w:t>6.32</w:t>
            </w:r>
          </w:p>
        </w:tc>
      </w:tr>
      <w:tr>
        <w:trPr>
          <w:trHeight w:val="402" w:hRule="exact"/>
        </w:trPr>
        <w:tc>
          <w:tcPr>
            <w:tcW w:w="3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Arial Narrow" w:hAnsi="Arial Narrow" w:cs="Arial Narrow" w:eastAsia="Arial Narrow" w:hint="default"/>
                <w:sz w:val="18"/>
                <w:szCs w:val="18"/>
              </w:rPr>
            </w:pPr>
            <w:r>
              <w:rPr>
                <w:rFonts w:ascii="Arial Narrow"/>
                <w:spacing w:val="-1"/>
                <w:sz w:val="18"/>
              </w:rPr>
              <w:t>670,012.00</w:t>
            </w:r>
          </w:p>
        </w:tc>
        <w:tc>
          <w:tcPr>
            <w:tcW w:w="3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Arial Narrow" w:hAnsi="Arial Narrow" w:cs="Arial Narrow" w:eastAsia="Arial Narrow" w:hint="default"/>
                <w:sz w:val="18"/>
                <w:szCs w:val="18"/>
              </w:rPr>
            </w:pPr>
            <w:r>
              <w:rPr>
                <w:rFonts w:ascii="Arial Narrow"/>
                <w:sz w:val="18"/>
              </w:rPr>
              <w:t>5.58</w:t>
            </w:r>
          </w:p>
        </w:tc>
      </w:tr>
      <w:tr>
        <w:trPr>
          <w:trHeight w:val="359" w:hRule="exact"/>
        </w:trPr>
        <w:tc>
          <w:tcPr>
            <w:tcW w:w="35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8,252,191.89</w:t>
            </w:r>
          </w:p>
        </w:tc>
        <w:tc>
          <w:tcPr>
            <w:tcW w:w="31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5"/>
              <w:jc w:val="center"/>
              <w:rPr>
                <w:rFonts w:ascii="Arial Narrow" w:hAnsi="Arial Narrow" w:cs="Arial Narrow" w:eastAsia="Arial Narrow" w:hint="default"/>
                <w:sz w:val="18"/>
                <w:szCs w:val="18"/>
              </w:rPr>
            </w:pPr>
            <w:r>
              <w:rPr>
                <w:rFonts w:ascii="Arial Narrow"/>
                <w:sz w:val="18"/>
              </w:rPr>
              <w:t>68.76</w:t>
            </w:r>
          </w:p>
        </w:tc>
      </w:tr>
    </w:tbl>
    <w:p>
      <w:pPr>
        <w:spacing w:line="240" w:lineRule="auto" w:before="5"/>
        <w:rPr>
          <w:rFonts w:ascii="宋体" w:hAnsi="宋体" w:cs="宋体" w:eastAsia="宋体" w:hint="default"/>
          <w:b/>
          <w:bCs/>
          <w:sz w:val="24"/>
          <w:szCs w:val="24"/>
        </w:rPr>
      </w:pPr>
    </w:p>
    <w:p>
      <w:pPr>
        <w:pStyle w:val="BodyText"/>
        <w:spacing w:line="240" w:lineRule="auto" w:before="44"/>
        <w:ind w:left="254" w:right="1032"/>
        <w:jc w:val="left"/>
      </w:pPr>
      <w:r>
        <w:rPr/>
        <w:t>其他说明：</w:t>
      </w:r>
    </w:p>
    <w:p>
      <w:pPr>
        <w:spacing w:after="0" w:line="240" w:lineRule="auto"/>
        <w:jc w:val="left"/>
        <w:sectPr>
          <w:pgSz w:w="11910" w:h="16840"/>
          <w:pgMar w:header="877" w:footer="979" w:top="1100" w:bottom="1160" w:left="880" w:right="0"/>
        </w:sectPr>
      </w:pPr>
    </w:p>
    <w:p>
      <w:pPr>
        <w:spacing w:line="240" w:lineRule="auto" w:before="9"/>
        <w:rPr>
          <w:rFonts w:ascii="宋体" w:hAnsi="宋体" w:cs="宋体" w:eastAsia="宋体" w:hint="default"/>
          <w:sz w:val="20"/>
          <w:szCs w:val="20"/>
        </w:rPr>
      </w:pPr>
    </w:p>
    <w:p>
      <w:pPr>
        <w:pStyle w:val="Heading4"/>
        <w:spacing w:line="240" w:lineRule="auto" w:before="35"/>
        <w:ind w:right="817"/>
        <w:jc w:val="left"/>
        <w:rPr>
          <w:b w:val="0"/>
          <w:bCs w:val="0"/>
        </w:rPr>
      </w:pPr>
      <w:bookmarkStart w:name="6、其他应收款" w:id="256"/>
      <w:bookmarkEnd w:id="25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1,242,554.03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30,032,832.68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11,200,862.69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30,601,166.01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12,443,416.72</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1）应收利息" w:id="257"/>
      <w:bookmarkEnd w:id="25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568,333.33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904,109.59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338,444.44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568,333.33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1,242,554.03</w:t>
            </w:r>
          </w:p>
        </w:tc>
      </w:tr>
    </w:tbl>
    <w:p>
      <w:pPr>
        <w:pStyle w:val="BodyText"/>
        <w:spacing w:line="679" w:lineRule="auto" w:before="51"/>
        <w:ind w:right="9522"/>
        <w:jc w:val="left"/>
      </w:pPr>
      <w:r>
        <w:rPr>
          <w:rFonts w:ascii="Times New Roman" w:hAnsi="Times New Roman" w:cs="Times New Roman" w:eastAsia="Times New Roman" w:hint="default"/>
        </w:rPr>
        <w:t>2)</w:t>
      </w:r>
      <w:r>
        <w:rPr/>
        <w:t>重要逾期利息</w:t>
      </w:r>
      <w:r>
        <w:rPr>
          <w:w w:val="99"/>
        </w:rPr>
        <w:t> </w:t>
      </w:r>
      <w:r>
        <w:rPr/>
        <w:t>无</w:t>
      </w:r>
    </w:p>
    <w:p>
      <w:pPr>
        <w:pStyle w:val="BodyText"/>
        <w:spacing w:line="240" w:lineRule="auto" w:before="138"/>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2）应收股利" w:id="258"/>
      <w:bookmarkEnd w:id="25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无</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3）其他应收款" w:id="259"/>
      <w:bookmarkEnd w:id="25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33,646,5</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72.24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95.90%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3,613,73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30,032,83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2.68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13,976,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223.94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2,775,361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11,200,862.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2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33,646,5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72.24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3,613,73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30,032,83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13,976,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223.94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2,775,361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11,200,862.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1,438,60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1,438,60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35,085,1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79.34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5,052,34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14.40%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30,032,83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13,976,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223.94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2,775,361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11,200,862.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00" w:right="0"/>
        </w:sectPr>
      </w:pPr>
    </w:p>
    <w:p>
      <w:pPr>
        <w:pStyle w:val="BodyText"/>
        <w:spacing w:line="240" w:lineRule="auto" w:before="51"/>
        <w:ind w:left="234" w:right="-20"/>
        <w:jc w:val="left"/>
      </w:pPr>
      <w:r>
        <w:rPr/>
        <w:t>期末单项金额重大并单项计提坏账准备的其他应收款：</w:t>
      </w:r>
    </w:p>
    <w:p>
      <w:pPr>
        <w:pStyle w:val="BodyText"/>
        <w:spacing w:line="338" w:lineRule="auto" w:before="117"/>
        <w:ind w:left="23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2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233" w:right="0"/>
        <w:jc w:val="left"/>
      </w:pPr>
      <w:r>
        <w:rPr/>
        <w:t>单位： 元</w:t>
      </w:r>
    </w:p>
    <w:p>
      <w:pPr>
        <w:spacing w:after="0" w:line="240" w:lineRule="auto"/>
        <w:jc w:val="left"/>
        <w:sectPr>
          <w:type w:val="continuous"/>
          <w:pgSz w:w="11910" w:h="16840"/>
          <w:pgMar w:top="1060" w:bottom="700" w:left="900" w:right="0"/>
          <w:cols w:num="2" w:equalWidth="0">
            <w:col w:w="4555" w:space="4275"/>
            <w:col w:w="2180"/>
          </w:cols>
        </w:sectPr>
      </w:pPr>
    </w:p>
    <w:p>
      <w:pPr>
        <w:spacing w:line="240" w:lineRule="auto" w:before="0"/>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26,487,815.13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529,756.30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271,509.87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13,575.48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26,759,325.00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543,331.78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1,960,652.66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196,065.28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2,931,788.68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879,536.60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1,994,805.90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1,994,805.90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33,646,572.24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3,613,739.56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234" w:right="6252"/>
        <w:jc w:val="left"/>
      </w:pPr>
      <w:r>
        <w:rPr/>
        <w:t>确定该组合依据的说明： 组合中，采用余额百分比法计提坏账准备的其他应收款：</w:t>
      </w:r>
    </w:p>
    <w:p>
      <w:pPr>
        <w:pStyle w:val="BodyText"/>
        <w:spacing w:line="338" w:lineRule="auto" w:before="29"/>
        <w:ind w:left="2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234"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157"/>
        <w:ind w:left="654" w:right="0"/>
        <w:jc w:val="left"/>
      </w:pPr>
      <w:r>
        <w:rPr/>
        <w:t>（</w:t>
      </w:r>
      <w:r>
        <w:rPr>
          <w:rFonts w:ascii="Times New Roman" w:hAnsi="Times New Roman" w:cs="Times New Roman" w:eastAsia="Times New Roman" w:hint="default"/>
        </w:rPr>
        <w:t>3</w:t>
      </w:r>
      <w:r>
        <w:rPr/>
        <w:t>）期末单项金额不重大但单独计提坏账准备的其他应收款</w:t>
      </w:r>
    </w:p>
    <w:p>
      <w:pPr>
        <w:spacing w:line="240" w:lineRule="auto" w:before="11"/>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654"/>
        <w:gridCol w:w="1368"/>
        <w:gridCol w:w="1368"/>
        <w:gridCol w:w="1368"/>
        <w:gridCol w:w="1368"/>
        <w:gridCol w:w="1698"/>
      </w:tblGrid>
      <w:tr>
        <w:trPr>
          <w:trHeight w:val="412" w:hRule="exact"/>
        </w:trPr>
        <w:tc>
          <w:tcPr>
            <w:tcW w:w="26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883"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2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99" w:right="207"/>
              <w:jc w:val="left"/>
              <w:rPr>
                <w:rFonts w:ascii="宋体" w:hAnsi="宋体" w:cs="宋体" w:eastAsia="宋体" w:hint="default"/>
                <w:sz w:val="18"/>
                <w:szCs w:val="18"/>
              </w:rPr>
            </w:pPr>
            <w:r>
              <w:rPr>
                <w:rFonts w:ascii="宋体" w:hAnsi="宋体" w:cs="宋体" w:eastAsia="宋体" w:hint="default"/>
                <w:sz w:val="18"/>
                <w:szCs w:val="18"/>
              </w:rPr>
              <w:t>北京瑞盛建宁健康科技有限责 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Arial Narrow" w:hAnsi="Arial Narrow" w:cs="Arial Narrow" w:eastAsia="Arial Narrow" w:hint="default"/>
                <w:sz w:val="18"/>
                <w:szCs w:val="18"/>
              </w:rPr>
              <w:t>0-6</w:t>
            </w:r>
            <w:r>
              <w:rPr>
                <w:rFonts w:ascii="Arial Narrow" w:hAnsi="Arial Narrow" w:cs="Arial Narrow" w:eastAsia="Arial Narrow" w:hint="default"/>
                <w:spacing w:val="1"/>
                <w:sz w:val="18"/>
                <w:szCs w:val="18"/>
              </w:rPr>
              <w:t> </w:t>
            </w:r>
            <w:r>
              <w:rPr>
                <w:rFonts w:ascii="宋体" w:hAnsi="宋体" w:cs="宋体" w:eastAsia="宋体" w:hint="default"/>
                <w:sz w:val="18"/>
                <w:szCs w:val="18"/>
              </w:rPr>
              <w:t>个月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663" w:right="127" w:hanging="540"/>
              <w:jc w:val="left"/>
              <w:rPr>
                <w:rFonts w:ascii="宋体" w:hAnsi="宋体" w:cs="宋体" w:eastAsia="宋体" w:hint="default"/>
                <w:sz w:val="18"/>
                <w:szCs w:val="18"/>
              </w:rPr>
            </w:pPr>
            <w:r>
              <w:rPr>
                <w:rFonts w:ascii="宋体" w:hAnsi="宋体" w:cs="宋体" w:eastAsia="宋体" w:hint="default"/>
                <w:sz w:val="18"/>
                <w:szCs w:val="18"/>
              </w:rPr>
              <w:t>根据诉讼预计无法 回收</w:t>
            </w:r>
          </w:p>
        </w:tc>
      </w:tr>
      <w:tr>
        <w:trPr>
          <w:trHeight w:val="557" w:hRule="exact"/>
        </w:trPr>
        <w:tc>
          <w:tcPr>
            <w:tcW w:w="2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99" w:right="0"/>
              <w:jc w:val="left"/>
              <w:rPr>
                <w:rFonts w:ascii="宋体" w:hAnsi="宋体" w:cs="宋体" w:eastAsia="宋体" w:hint="default"/>
                <w:sz w:val="18"/>
                <w:szCs w:val="18"/>
              </w:rPr>
            </w:pPr>
            <w:r>
              <w:rPr>
                <w:rFonts w:ascii="宋体" w:hAnsi="宋体" w:cs="宋体" w:eastAsia="宋体" w:hint="default"/>
                <w:sz w:val="18"/>
                <w:szCs w:val="18"/>
              </w:rPr>
              <w:t>北京盘古氏投资有限公司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838,607.10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838,607.10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93" w:right="127" w:hanging="270"/>
              <w:jc w:val="left"/>
              <w:rPr>
                <w:rFonts w:ascii="宋体" w:hAnsi="宋体" w:cs="宋体" w:eastAsia="宋体" w:hint="default"/>
                <w:sz w:val="18"/>
                <w:szCs w:val="18"/>
              </w:rPr>
            </w:pPr>
            <w:r>
              <w:rPr>
                <w:rFonts w:ascii="宋体" w:hAnsi="宋体" w:cs="宋体" w:eastAsia="宋体" w:hint="default"/>
                <w:sz w:val="18"/>
                <w:szCs w:val="18"/>
              </w:rPr>
              <w:t>办公退租，押金预 计无法回收</w:t>
            </w:r>
          </w:p>
        </w:tc>
      </w:tr>
      <w:tr>
        <w:trPr>
          <w:trHeight w:val="412" w:hRule="exact"/>
        </w:trPr>
        <w:tc>
          <w:tcPr>
            <w:tcW w:w="26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center"/>
              <w:rPr>
                <w:rFonts w:ascii="Arial Narrow" w:hAnsi="Arial Narrow" w:cs="Arial Narrow" w:eastAsia="Arial Narrow" w:hint="default"/>
                <w:sz w:val="18"/>
                <w:szCs w:val="18"/>
              </w:rPr>
            </w:pPr>
            <w:r>
              <w:rPr>
                <w:rFonts w:ascii="Arial Narrow"/>
                <w:sz w:val="18"/>
              </w:rPr>
              <w:t>1,438,607.10</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sz w:val="18"/>
              </w:rPr>
              <w:t>1,438,607.10</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sz w:val="18"/>
              </w:rPr>
              <w:t>--</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center"/>
              <w:rPr>
                <w:rFonts w:ascii="Arial Narrow" w:hAnsi="Arial Narrow" w:cs="Arial Narrow" w:eastAsia="Arial Narrow" w:hint="default"/>
                <w:sz w:val="18"/>
                <w:szCs w:val="18"/>
              </w:rPr>
            </w:pPr>
            <w:r>
              <w:rPr>
                <w:rFonts w:ascii="Arial Narrow"/>
                <w:sz w:val="18"/>
              </w:rPr>
              <w:t>--</w:t>
            </w:r>
          </w:p>
        </w:tc>
        <w:tc>
          <w:tcPr>
            <w:tcW w:w="16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4"/>
              <w:jc w:val="center"/>
              <w:rPr>
                <w:rFonts w:ascii="Arial Narrow" w:hAnsi="Arial Narrow" w:cs="Arial Narrow" w:eastAsia="Arial Narrow" w:hint="default"/>
                <w:sz w:val="18"/>
                <w:szCs w:val="18"/>
              </w:rPr>
            </w:pPr>
            <w:r>
              <w:rPr>
                <w:rFonts w:ascii="Arial Narrow"/>
                <w:sz w:val="18"/>
              </w:rPr>
              <w:t>--</w:t>
            </w:r>
          </w:p>
        </w:tc>
      </w:tr>
    </w:tbl>
    <w:p>
      <w:pPr>
        <w:spacing w:line="338" w:lineRule="auto" w:before="26"/>
        <w:ind w:left="234" w:right="0" w:firstLine="32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：本公司全资子公司上海安妮企业发展有限公司申请与被申请人北京瑞盛建宁健康科技有限责任公司买卖合同纠纷一案，于</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w w:val="99"/>
          <w:sz w:val="16"/>
          <w:szCs w:val="16"/>
        </w:rPr>
        <w:t> </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日向北京市大兴区人民法院申请诉前财产保全，请求对被申请人北京瑞盛建宁健康科技有限责任公司的银行账户进行保全。北京</w:t>
      </w:r>
      <w:r>
        <w:rPr>
          <w:rFonts w:ascii="宋体" w:hAnsi="宋体" w:cs="宋体" w:eastAsia="宋体" w:hint="default"/>
          <w:w w:val="99"/>
          <w:sz w:val="16"/>
          <w:szCs w:val="16"/>
        </w:rPr>
        <w:t> </w:t>
      </w:r>
      <w:r>
        <w:rPr>
          <w:rFonts w:ascii="宋体" w:hAnsi="宋体" w:cs="宋体" w:eastAsia="宋体" w:hint="default"/>
          <w:spacing w:val="-1"/>
          <w:sz w:val="16"/>
          <w:szCs w:val="16"/>
        </w:rPr>
        <w:t>市大兴区人民法院于</w:t>
      </w:r>
      <w:r>
        <w:rPr>
          <w:rFonts w:ascii="Times New Roman" w:hAnsi="Times New Roman" w:cs="Times New Roman" w:eastAsia="Times New Roman" w:hint="default"/>
          <w:spacing w:val="-1"/>
          <w:sz w:val="16"/>
          <w:szCs w:val="16"/>
        </w:rPr>
        <w:t>2018</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10</w:t>
      </w:r>
      <w:r>
        <w:rPr>
          <w:rFonts w:ascii="宋体" w:hAnsi="宋体" w:cs="宋体" w:eastAsia="宋体" w:hint="default"/>
          <w:spacing w:val="-1"/>
          <w:sz w:val="16"/>
          <w:szCs w:val="16"/>
        </w:rPr>
        <w:t>月</w:t>
      </w:r>
      <w:r>
        <w:rPr>
          <w:rFonts w:ascii="Times New Roman" w:hAnsi="Times New Roman" w:cs="Times New Roman" w:eastAsia="Times New Roman" w:hint="default"/>
          <w:spacing w:val="-1"/>
          <w:sz w:val="16"/>
          <w:szCs w:val="16"/>
        </w:rPr>
        <w:t>31</w:t>
      </w:r>
      <w:r>
        <w:rPr>
          <w:rFonts w:ascii="宋体" w:hAnsi="宋体" w:cs="宋体" w:eastAsia="宋体" w:hint="default"/>
          <w:spacing w:val="-1"/>
          <w:sz w:val="16"/>
          <w:szCs w:val="16"/>
        </w:rPr>
        <w:t>日下达了民事裁定书</w:t>
      </w:r>
      <w:r>
        <w:rPr>
          <w:rFonts w:ascii="Times New Roman" w:hAnsi="Times New Roman" w:cs="Times New Roman" w:eastAsia="Times New Roman" w:hint="default"/>
          <w:spacing w:val="-1"/>
          <w:sz w:val="16"/>
          <w:szCs w:val="16"/>
        </w:rPr>
        <w:t>2018</w:t>
      </w:r>
      <w:r>
        <w:rPr>
          <w:rFonts w:ascii="宋体" w:hAnsi="宋体" w:cs="宋体" w:eastAsia="宋体" w:hint="default"/>
          <w:spacing w:val="-1"/>
          <w:sz w:val="16"/>
          <w:szCs w:val="16"/>
        </w:rPr>
        <w:t>京</w:t>
      </w:r>
      <w:r>
        <w:rPr>
          <w:rFonts w:ascii="Times New Roman" w:hAnsi="Times New Roman" w:cs="Times New Roman" w:eastAsia="Times New Roman" w:hint="default"/>
          <w:spacing w:val="-1"/>
          <w:sz w:val="16"/>
          <w:szCs w:val="16"/>
        </w:rPr>
        <w:t>0115</w:t>
      </w:r>
      <w:r>
        <w:rPr>
          <w:rFonts w:ascii="宋体" w:hAnsi="宋体" w:cs="宋体" w:eastAsia="宋体" w:hint="default"/>
          <w:spacing w:val="-1"/>
          <w:sz w:val="16"/>
          <w:szCs w:val="16"/>
        </w:rPr>
        <w:t>财保</w:t>
      </w:r>
      <w:r>
        <w:rPr>
          <w:rFonts w:ascii="Times New Roman" w:hAnsi="Times New Roman" w:cs="Times New Roman" w:eastAsia="Times New Roman" w:hint="default"/>
          <w:spacing w:val="-1"/>
          <w:sz w:val="16"/>
          <w:szCs w:val="16"/>
        </w:rPr>
        <w:t>282</w:t>
      </w:r>
      <w:r>
        <w:rPr>
          <w:rFonts w:ascii="宋体" w:hAnsi="宋体" w:cs="宋体" w:eastAsia="宋体" w:hint="default"/>
          <w:spacing w:val="-1"/>
          <w:sz w:val="16"/>
          <w:szCs w:val="16"/>
        </w:rPr>
        <w:t>号依照《中华人民共和国民事诉讼法》第一百零一条、第一百零</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w w:val="95"/>
          <w:sz w:val="16"/>
          <w:szCs w:val="16"/>
        </w:rPr>
        <w:t>二条、第一百零三条之规定，裁定如下：冻结被申请人北京瑞盛建宁健康科技有限责任公司银行账户内的存款人民币</w:t>
      </w:r>
      <w:r>
        <w:rPr>
          <w:rFonts w:ascii="Times New Roman" w:hAnsi="Times New Roman" w:cs="Times New Roman" w:eastAsia="Times New Roman" w:hint="default"/>
          <w:w w:val="95"/>
          <w:sz w:val="16"/>
          <w:szCs w:val="16"/>
        </w:rPr>
        <w:t>660,000</w:t>
      </w:r>
      <w:r>
        <w:rPr>
          <w:rFonts w:ascii="宋体" w:hAnsi="宋体" w:cs="宋体" w:eastAsia="宋体" w:hint="default"/>
          <w:w w:val="95"/>
          <w:sz w:val="16"/>
          <w:szCs w:val="16"/>
        </w:rPr>
        <w:t>元整，该公司</w:t>
      </w:r>
      <w:r>
        <w:rPr>
          <w:rFonts w:ascii="宋体" w:hAnsi="宋体" w:cs="宋体" w:eastAsia="宋体" w:hint="default"/>
          <w:sz w:val="16"/>
          <w:szCs w:val="16"/>
        </w:rPr>
      </w:r>
    </w:p>
    <w:p>
      <w:pPr>
        <w:spacing w:after="0" w:line="338" w:lineRule="auto"/>
        <w:jc w:val="left"/>
        <w:rPr>
          <w:rFonts w:ascii="宋体" w:hAnsi="宋体" w:cs="宋体" w:eastAsia="宋体" w:hint="default"/>
          <w:sz w:val="16"/>
          <w:szCs w:val="16"/>
        </w:rPr>
        <w:sectPr>
          <w:type w:val="continuous"/>
          <w:pgSz w:w="11910" w:h="16840"/>
          <w:pgMar w:top="1060" w:bottom="700" w:left="900" w:right="0"/>
        </w:sectPr>
      </w:pPr>
    </w:p>
    <w:p>
      <w:pPr>
        <w:spacing w:line="240" w:lineRule="auto" w:before="8"/>
        <w:rPr>
          <w:rFonts w:ascii="宋体" w:hAnsi="宋体" w:cs="宋体" w:eastAsia="宋体" w:hint="default"/>
          <w:sz w:val="22"/>
          <w:szCs w:val="22"/>
        </w:rPr>
      </w:pPr>
    </w:p>
    <w:p>
      <w:pPr>
        <w:spacing w:line="345" w:lineRule="auto" w:before="50"/>
        <w:ind w:left="154" w:right="817" w:firstLine="0"/>
        <w:jc w:val="left"/>
        <w:rPr>
          <w:rFonts w:ascii="宋体" w:hAnsi="宋体" w:cs="宋体" w:eastAsia="宋体" w:hint="default"/>
          <w:sz w:val="16"/>
          <w:szCs w:val="16"/>
        </w:rPr>
      </w:pPr>
      <w:r>
        <w:rPr>
          <w:rFonts w:ascii="宋体" w:hAnsi="宋体" w:cs="宋体" w:eastAsia="宋体" w:hint="default"/>
          <w:sz w:val="16"/>
          <w:szCs w:val="16"/>
        </w:rPr>
        <w:t>账户已无相应资金可供执行，故本公司本年度全额单项计提坏账准备。</w:t>
      </w:r>
      <w:r>
        <w:rPr>
          <w:rFonts w:ascii="宋体" w:hAnsi="宋体" w:cs="宋体" w:eastAsia="宋体" w:hint="default"/>
          <w:w w:val="99"/>
          <w:sz w:val="16"/>
          <w:szCs w:val="16"/>
        </w:rPr>
        <w:t> </w:t>
      </w:r>
      <w:r>
        <w:rPr>
          <w:rFonts w:ascii="宋体" w:hAnsi="宋体" w:cs="宋体" w:eastAsia="宋体" w:hint="default"/>
          <w:spacing w:val="2"/>
          <w:w w:val="95"/>
          <w:sz w:val="16"/>
          <w:szCs w:val="16"/>
        </w:rPr>
        <w:t>注</w:t>
      </w:r>
      <w:r>
        <w:rPr>
          <w:rFonts w:ascii="Times New Roman" w:hAnsi="Times New Roman" w:cs="Times New Roman" w:eastAsia="Times New Roman" w:hint="default"/>
          <w:spacing w:val="2"/>
          <w:w w:val="95"/>
          <w:sz w:val="16"/>
          <w:szCs w:val="16"/>
        </w:rPr>
        <w:t>2</w:t>
      </w:r>
      <w:r>
        <w:rPr>
          <w:rFonts w:ascii="宋体" w:hAnsi="宋体" w:cs="宋体" w:eastAsia="宋体" w:hint="default"/>
          <w:spacing w:val="2"/>
          <w:w w:val="95"/>
          <w:sz w:val="16"/>
          <w:szCs w:val="16"/>
        </w:rPr>
        <w:t>：本公司全资子公司北京安妮全版权科技发展有限公司作为租赁方租赁北京盘古氏投资有限公司的房屋作为办公场所，缴纳租赁押金</w:t>
      </w:r>
      <w:r>
        <w:rPr>
          <w:rFonts w:ascii="宋体" w:hAnsi="宋体" w:cs="宋体" w:eastAsia="宋体" w:hint="default"/>
          <w:spacing w:val="69"/>
          <w:w w:val="95"/>
          <w:sz w:val="16"/>
          <w:szCs w:val="16"/>
        </w:rPr>
        <w:t> </w:t>
      </w:r>
      <w:r>
        <w:rPr>
          <w:rFonts w:ascii="宋体" w:hAnsi="宋体" w:cs="宋体" w:eastAsia="宋体" w:hint="default"/>
          <w:spacing w:val="69"/>
          <w:w w:val="95"/>
          <w:sz w:val="16"/>
          <w:szCs w:val="16"/>
        </w:rPr>
      </w:r>
      <w:r>
        <w:rPr>
          <w:rFonts w:ascii="Times New Roman" w:hAnsi="Times New Roman" w:cs="Times New Roman" w:eastAsia="Times New Roman" w:hint="default"/>
          <w:spacing w:val="-1"/>
          <w:sz w:val="16"/>
          <w:szCs w:val="16"/>
        </w:rPr>
        <w:t>838,607.10</w:t>
      </w:r>
      <w:r>
        <w:rPr>
          <w:rFonts w:ascii="宋体" w:hAnsi="宋体" w:cs="宋体" w:eastAsia="宋体" w:hint="default"/>
          <w:spacing w:val="-1"/>
          <w:sz w:val="16"/>
          <w:szCs w:val="16"/>
        </w:rPr>
        <w:t>元，租赁合同期限尚未到期（合同期限</w:t>
      </w:r>
      <w:r>
        <w:rPr>
          <w:rFonts w:ascii="Times New Roman" w:hAnsi="Times New Roman" w:cs="Times New Roman" w:eastAsia="Times New Roman" w:hint="default"/>
          <w:spacing w:val="-1"/>
          <w:sz w:val="16"/>
          <w:szCs w:val="16"/>
        </w:rPr>
        <w:t>2016</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9</w:t>
      </w:r>
      <w:r>
        <w:rPr>
          <w:rFonts w:ascii="宋体" w:hAnsi="宋体" w:cs="宋体" w:eastAsia="宋体" w:hint="default"/>
          <w:spacing w:val="-1"/>
          <w:sz w:val="16"/>
          <w:szCs w:val="16"/>
        </w:rPr>
        <w:t>月</w:t>
      </w: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日至</w:t>
      </w:r>
      <w:r>
        <w:rPr>
          <w:rFonts w:ascii="Times New Roman" w:hAnsi="Times New Roman" w:cs="Times New Roman" w:eastAsia="Times New Roman" w:hint="default"/>
          <w:spacing w:val="-1"/>
          <w:sz w:val="16"/>
          <w:szCs w:val="16"/>
        </w:rPr>
        <w:t>2019</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10</w:t>
      </w:r>
      <w:r>
        <w:rPr>
          <w:rFonts w:ascii="宋体" w:hAnsi="宋体" w:cs="宋体" w:eastAsia="宋体" w:hint="default"/>
          <w:spacing w:val="-1"/>
          <w:sz w:val="16"/>
          <w:szCs w:val="16"/>
        </w:rPr>
        <w:t>月</w:t>
      </w:r>
      <w:r>
        <w:rPr>
          <w:rFonts w:ascii="Times New Roman" w:hAnsi="Times New Roman" w:cs="Times New Roman" w:eastAsia="Times New Roman" w:hint="default"/>
          <w:spacing w:val="-1"/>
          <w:sz w:val="16"/>
          <w:szCs w:val="16"/>
        </w:rPr>
        <w:t>15</w:t>
      </w:r>
      <w:r>
        <w:rPr>
          <w:rFonts w:ascii="宋体" w:hAnsi="宋体" w:cs="宋体" w:eastAsia="宋体" w:hint="default"/>
          <w:spacing w:val="-1"/>
          <w:sz w:val="16"/>
          <w:szCs w:val="16"/>
        </w:rPr>
        <w:t>日止），本公司因成本效益考虑，不再租赁该办公场所，租</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赁押金无法退回，故本公司本年度全额计提坏账准备。</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pStyle w:val="BodyText"/>
        <w:spacing w:line="240" w:lineRule="auto" w:before="44"/>
        <w:ind w:right="-1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
        <w:jc w:val="left"/>
      </w:pPr>
      <w:r>
        <w:rPr/>
        <w:t>本期计提坏账准备金额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其他应收款核销说明：</w:t>
      </w:r>
    </w:p>
    <w:p>
      <w:pPr>
        <w:pStyle w:val="BodyText"/>
        <w:spacing w:line="240" w:lineRule="auto" w:before="42"/>
        <w:ind w:right="-17"/>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5374" w:space="345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5,046,971.01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7,384,943.69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27,538,208.33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3,091,280.25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35,085,179.34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13,976,223.94</w:t>
            </w:r>
          </w:p>
        </w:tc>
      </w:tr>
    </w:tbl>
    <w:p>
      <w:pPr>
        <w:pStyle w:val="BodyText"/>
        <w:spacing w:line="240" w:lineRule="auto" w:before="51"/>
        <w:ind w:right="817"/>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560"/>
        <w:gridCol w:w="1417"/>
        <w:gridCol w:w="1130"/>
        <w:gridCol w:w="1596"/>
        <w:gridCol w:w="1595"/>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联合摄制投资款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联合宣发款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银谷大厦房屋租赁 押金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1,443,000.00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144,300.00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盘古大厦房屋租赁 押金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838,607.10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838,607.10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26,781,607.10</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2,172,907.10</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7、存货" w:id="260"/>
      <w:bookmarkEnd w:id="260"/>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817"/>
        <w:jc w:val="left"/>
        <w:rPr>
          <w:b w:val="0"/>
          <w:bCs w:val="0"/>
        </w:rPr>
      </w:pPr>
      <w:bookmarkStart w:name="（1）存货分类" w:id="261"/>
      <w:bookmarkEnd w:id="26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13,632,061.88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2,369,367.96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11,262,693.92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14,138,720.72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2,678,282.28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11,460,438.44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755,716.71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755,716.71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2,179,362.00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2,179,362.00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31,316,747.49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2,340,619.03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28,976,128.46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19,793,477.75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2,280,222.43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17,513,255.32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216,431.83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216,431.83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371,885.88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371,885.88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1,456,982.13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228,085.82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1,228,896.31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1,917,138.47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214,222.66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1,702,915.81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931,759.23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931,759.23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662,767.11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662,767.11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893,184.22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893,184.22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48,309,699.27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4,938,072.81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43,371,626.46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39,956,536.15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5,172,727.37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34,783,808.78</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2"/>
        <w:rPr>
          <w:rFonts w:ascii="宋体" w:hAnsi="宋体" w:cs="宋体" w:eastAsia="宋体" w:hint="default"/>
          <w:sz w:val="20"/>
          <w:szCs w:val="20"/>
        </w:rPr>
      </w:pPr>
    </w:p>
    <w:p>
      <w:pPr>
        <w:pStyle w:val="Heading4"/>
        <w:spacing w:line="240" w:lineRule="auto"/>
        <w:ind w:right="817"/>
        <w:jc w:val="left"/>
        <w:rPr>
          <w:b w:val="0"/>
          <w:bCs w:val="0"/>
        </w:rPr>
      </w:pPr>
      <w:bookmarkStart w:name="（2）存货跌价准备" w:id="262"/>
      <w:bookmarkEnd w:id="26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2,678,282.28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978,531.43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1,135,034.45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2,369,367.96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2,280,222.43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1,170,274.74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1,107,465.44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2,340,619.03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214,222.66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121,788.03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107,924.87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228,085.82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5,172,727.37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2,270,594.20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2,350,424.76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4,938,072.81</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8、持有待售资产" w:id="263"/>
      <w:bookmarkEnd w:id="263"/>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机器设备（湖南安妮）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298,251.14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298,251.14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7"/>
        <w:jc w:val="left"/>
      </w:pPr>
      <w:r>
        <w:rPr/>
        <w:t>其他说明：</w:t>
      </w:r>
    </w:p>
    <w:p>
      <w:pPr>
        <w:spacing w:line="338" w:lineRule="auto" w:before="131"/>
        <w:ind w:left="154" w:right="817" w:firstLine="32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23</w:t>
      </w:r>
      <w:r>
        <w:rPr>
          <w:rFonts w:ascii="宋体" w:hAnsi="宋体" w:cs="宋体" w:eastAsia="宋体" w:hint="default"/>
          <w:sz w:val="16"/>
          <w:szCs w:val="16"/>
        </w:rPr>
        <w:t>日，本公司全资子公司湖南安妮涂布特种纸有限公司（简称</w:t>
      </w:r>
      <w:r>
        <w:rPr>
          <w:rFonts w:ascii="Times New Roman" w:hAnsi="Times New Roman" w:cs="Times New Roman" w:eastAsia="Times New Roman" w:hint="default"/>
          <w:sz w:val="16"/>
          <w:szCs w:val="16"/>
        </w:rPr>
        <w:t>“</w:t>
      </w:r>
      <w:r>
        <w:rPr>
          <w:rFonts w:ascii="宋体" w:hAnsi="宋体" w:cs="宋体" w:eastAsia="宋体" w:hint="default"/>
          <w:sz w:val="16"/>
          <w:szCs w:val="16"/>
        </w:rPr>
        <w:t>湖南安妮</w:t>
      </w:r>
      <w:r>
        <w:rPr>
          <w:rFonts w:ascii="Times New Roman" w:hAnsi="Times New Roman" w:cs="Times New Roman" w:eastAsia="Times New Roman" w:hint="default"/>
          <w:sz w:val="16"/>
          <w:szCs w:val="16"/>
        </w:rPr>
        <w:t>”</w:t>
      </w:r>
      <w:r>
        <w:rPr>
          <w:rFonts w:ascii="宋体" w:hAnsi="宋体" w:cs="宋体" w:eastAsia="宋体" w:hint="default"/>
          <w:sz w:val="16"/>
          <w:szCs w:val="16"/>
        </w:rPr>
        <w:t>）与湖南天琪智慧印刷有限公司（简称</w:t>
      </w:r>
      <w:r>
        <w:rPr>
          <w:rFonts w:ascii="Times New Roman" w:hAnsi="Times New Roman" w:cs="Times New Roman" w:eastAsia="Times New Roman" w:hint="default"/>
          <w:sz w:val="16"/>
          <w:szCs w:val="16"/>
        </w:rPr>
        <w:t>“</w:t>
      </w:r>
      <w:r>
        <w:rPr>
          <w:rFonts w:ascii="宋体" w:hAnsi="宋体" w:cs="宋体" w:eastAsia="宋体" w:hint="default"/>
          <w:sz w:val="16"/>
          <w:szCs w:val="16"/>
        </w:rPr>
        <w:t>天琪</w:t>
      </w:r>
      <w:r>
        <w:rPr>
          <w:rFonts w:ascii="宋体" w:hAnsi="宋体" w:cs="宋体" w:eastAsia="宋体" w:hint="default"/>
          <w:w w:val="99"/>
          <w:sz w:val="16"/>
          <w:szCs w:val="16"/>
        </w:rPr>
        <w:t> </w:t>
      </w:r>
      <w:r>
        <w:rPr>
          <w:rFonts w:ascii="宋体" w:hAnsi="宋体" w:cs="宋体" w:eastAsia="宋体" w:hint="default"/>
          <w:spacing w:val="-1"/>
          <w:sz w:val="16"/>
          <w:szCs w:val="16"/>
        </w:rPr>
        <w:t>智慧</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）签订设备转让合同，约定湖南安妮转让天琪智慧涂布机一台及配套的链接在本涂布机上的其他附属设备，研磨机</w:t>
      </w:r>
      <w:r>
        <w:rPr>
          <w:rFonts w:ascii="Times New Roman" w:hAnsi="Times New Roman" w:cs="Times New Roman" w:eastAsia="Times New Roman" w:hint="default"/>
          <w:spacing w:val="-1"/>
          <w:sz w:val="16"/>
          <w:szCs w:val="16"/>
        </w:rPr>
        <w:t>12</w:t>
      </w:r>
      <w:r>
        <w:rPr>
          <w:rFonts w:ascii="宋体" w:hAnsi="宋体" w:cs="宋体" w:eastAsia="宋体" w:hint="default"/>
          <w:spacing w:val="-1"/>
          <w:sz w:val="16"/>
          <w:szCs w:val="16"/>
        </w:rPr>
        <w:t>台、分切机</w:t>
      </w: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台、</w:t>
      </w:r>
      <w:r>
        <w:rPr>
          <w:rFonts w:ascii="宋体" w:hAnsi="宋体" w:cs="宋体" w:eastAsia="宋体" w:hint="default"/>
          <w:spacing w:val="-58"/>
          <w:sz w:val="16"/>
          <w:szCs w:val="16"/>
        </w:rPr>
        <w:t> </w:t>
      </w:r>
      <w:r>
        <w:rPr>
          <w:rFonts w:ascii="宋体" w:hAnsi="宋体" w:cs="宋体" w:eastAsia="宋体" w:hint="default"/>
          <w:sz w:val="16"/>
          <w:szCs w:val="16"/>
        </w:rPr>
        <w:t>复卷机</w:t>
      </w:r>
      <w:r>
        <w:rPr>
          <w:rFonts w:ascii="Times New Roman" w:hAnsi="Times New Roman" w:cs="Times New Roman" w:eastAsia="Times New Roman" w:hint="default"/>
          <w:sz w:val="16"/>
          <w:szCs w:val="16"/>
        </w:rPr>
        <w:t>1</w:t>
      </w:r>
      <w:r>
        <w:rPr>
          <w:rFonts w:ascii="宋体" w:hAnsi="宋体" w:cs="宋体" w:eastAsia="宋体" w:hint="default"/>
          <w:sz w:val="16"/>
          <w:szCs w:val="16"/>
        </w:rPr>
        <w:t>台，转让总价款为人民币</w:t>
      </w:r>
      <w:r>
        <w:rPr>
          <w:rFonts w:ascii="Times New Roman" w:hAnsi="Times New Roman" w:cs="Times New Roman" w:eastAsia="Times New Roman" w:hint="default"/>
          <w:sz w:val="16"/>
          <w:szCs w:val="16"/>
        </w:rPr>
        <w:t>800</w:t>
      </w:r>
      <w:r>
        <w:rPr>
          <w:rFonts w:ascii="宋体" w:hAnsi="宋体" w:cs="宋体" w:eastAsia="宋体" w:hint="default"/>
          <w:sz w:val="16"/>
          <w:szCs w:val="16"/>
        </w:rPr>
        <w:t>万元；拟转让的涂布机及附属设备账面原值</w:t>
      </w:r>
      <w:r>
        <w:rPr>
          <w:rFonts w:ascii="Times New Roman" w:hAnsi="Times New Roman" w:cs="Times New Roman" w:eastAsia="Times New Roman" w:hint="default"/>
          <w:sz w:val="16"/>
          <w:szCs w:val="16"/>
        </w:rPr>
        <w:t>26,024,596.09</w:t>
      </w:r>
      <w:r>
        <w:rPr>
          <w:rFonts w:ascii="宋体" w:hAnsi="宋体" w:cs="宋体" w:eastAsia="宋体" w:hint="default"/>
          <w:sz w:val="16"/>
          <w:szCs w:val="16"/>
        </w:rPr>
        <w:t>元，累计折旧</w:t>
      </w:r>
      <w:r>
        <w:rPr>
          <w:rFonts w:ascii="Times New Roman" w:hAnsi="Times New Roman" w:cs="Times New Roman" w:eastAsia="Times New Roman" w:hint="default"/>
          <w:sz w:val="16"/>
          <w:szCs w:val="16"/>
        </w:rPr>
        <w:t>10,756243.84</w:t>
      </w:r>
      <w:r>
        <w:rPr>
          <w:rFonts w:ascii="宋体" w:hAnsi="宋体" w:cs="宋体" w:eastAsia="宋体" w:hint="default"/>
          <w:sz w:val="16"/>
          <w:szCs w:val="16"/>
        </w:rPr>
        <w:t>元，已计提的减值</w:t>
      </w:r>
      <w:r>
        <w:rPr>
          <w:rFonts w:ascii="宋体" w:hAnsi="宋体" w:cs="宋体" w:eastAsia="宋体" w:hint="default"/>
          <w:w w:val="99"/>
          <w:sz w:val="16"/>
          <w:szCs w:val="16"/>
        </w:rPr>
        <w:t> </w:t>
      </w:r>
      <w:r>
        <w:rPr>
          <w:rFonts w:ascii="宋体" w:hAnsi="宋体" w:cs="宋体" w:eastAsia="宋体" w:hint="default"/>
          <w:sz w:val="16"/>
          <w:szCs w:val="16"/>
        </w:rPr>
        <w:t>准备</w:t>
      </w:r>
      <w:r>
        <w:rPr>
          <w:rFonts w:ascii="Times New Roman" w:hAnsi="Times New Roman" w:cs="Times New Roman" w:eastAsia="Times New Roman" w:hint="default"/>
          <w:sz w:val="16"/>
          <w:szCs w:val="16"/>
        </w:rPr>
        <w:t>14,970,101</w:t>
      </w:r>
      <w:r>
        <w:rPr>
          <w:rFonts w:ascii="宋体" w:hAnsi="宋体" w:cs="宋体" w:eastAsia="宋体" w:hint="default"/>
          <w:sz w:val="16"/>
          <w:szCs w:val="16"/>
        </w:rPr>
        <w:t>元，账面净值</w:t>
      </w:r>
      <w:r>
        <w:rPr>
          <w:rFonts w:ascii="Times New Roman" w:hAnsi="Times New Roman" w:cs="Times New Roman" w:eastAsia="Times New Roman" w:hint="default"/>
          <w:sz w:val="16"/>
          <w:szCs w:val="16"/>
        </w:rPr>
        <w:t>298,251.14</w:t>
      </w:r>
      <w:r>
        <w:rPr>
          <w:rFonts w:ascii="宋体" w:hAnsi="宋体" w:cs="宋体" w:eastAsia="宋体" w:hint="default"/>
          <w:sz w:val="16"/>
          <w:szCs w:val="16"/>
        </w:rPr>
        <w:t>元。</w:t>
      </w:r>
    </w:p>
    <w:p>
      <w:pPr>
        <w:spacing w:line="240" w:lineRule="auto" w:before="4"/>
        <w:rPr>
          <w:rFonts w:ascii="宋体" w:hAnsi="宋体" w:cs="宋体" w:eastAsia="宋体" w:hint="default"/>
          <w:sz w:val="21"/>
          <w:szCs w:val="21"/>
        </w:rPr>
      </w:pPr>
    </w:p>
    <w:p>
      <w:pPr>
        <w:pStyle w:val="Heading4"/>
        <w:spacing w:line="240" w:lineRule="auto"/>
        <w:ind w:right="817"/>
        <w:jc w:val="left"/>
        <w:rPr>
          <w:b w:val="0"/>
          <w:bCs w:val="0"/>
        </w:rPr>
      </w:pPr>
      <w:bookmarkStart w:name="9、其他流动资产" w:id="264"/>
      <w:bookmarkEnd w:id="264"/>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23,075,915.64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12,826,899.59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品类服务费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68,773.57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89,672.98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1,448,687.10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828,508.52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2,140,517.48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保险及其他等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884,325.38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596,515.87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224,878,422.52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317,081,393.61</w:t>
            </w:r>
          </w:p>
        </w:tc>
      </w:tr>
    </w:tbl>
    <w:p>
      <w:pPr>
        <w:pStyle w:val="BodyText"/>
        <w:spacing w:line="240" w:lineRule="auto" w:before="51"/>
        <w:ind w:right="817"/>
        <w:jc w:val="left"/>
      </w:pPr>
      <w:r>
        <w:rPr/>
        <w:t>其他说明：</w:t>
      </w:r>
    </w:p>
    <w:p>
      <w:pPr>
        <w:spacing w:line="338" w:lineRule="auto" w:before="131"/>
        <w:ind w:left="474" w:right="6192"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：可供出售金融资产为银行理财产品。</w:t>
      </w:r>
      <w:r>
        <w:rPr>
          <w:rFonts w:ascii="宋体" w:hAnsi="宋体" w:cs="宋体" w:eastAsia="宋体" w:hint="default"/>
          <w:w w:val="99"/>
          <w:sz w:val="16"/>
          <w:szCs w:val="16"/>
        </w:rPr>
        <w:t> </w:t>
      </w:r>
      <w:r>
        <w:rPr>
          <w:rFonts w:ascii="宋体" w:hAnsi="宋体" w:cs="宋体" w:eastAsia="宋体" w:hint="default"/>
          <w:sz w:val="16"/>
          <w:szCs w:val="16"/>
        </w:rPr>
        <w:t>注</w:t>
      </w:r>
      <w:r>
        <w:rPr>
          <w:rFonts w:ascii="Times New Roman" w:hAnsi="Times New Roman" w:cs="Times New Roman" w:eastAsia="Times New Roman" w:hint="default"/>
          <w:sz w:val="16"/>
          <w:szCs w:val="16"/>
        </w:rPr>
        <w:t>2</w:t>
      </w:r>
      <w:r>
        <w:rPr>
          <w:rFonts w:ascii="宋体" w:hAnsi="宋体" w:cs="宋体" w:eastAsia="宋体" w:hint="default"/>
          <w:sz w:val="16"/>
          <w:szCs w:val="16"/>
        </w:rPr>
        <w:t>：待抵扣进项税为截止年末尚未抵扣的增值税进项税额。</w:t>
      </w:r>
    </w:p>
    <w:p>
      <w:pPr>
        <w:spacing w:line="240" w:lineRule="auto" w:before="4"/>
        <w:rPr>
          <w:rFonts w:ascii="宋体" w:hAnsi="宋体" w:cs="宋体" w:eastAsia="宋体" w:hint="default"/>
          <w:sz w:val="21"/>
          <w:szCs w:val="21"/>
        </w:rPr>
      </w:pPr>
    </w:p>
    <w:p>
      <w:pPr>
        <w:pStyle w:val="Heading4"/>
        <w:spacing w:line="240" w:lineRule="auto"/>
        <w:ind w:right="817"/>
        <w:jc w:val="left"/>
        <w:rPr>
          <w:b w:val="0"/>
          <w:bCs w:val="0"/>
        </w:rPr>
      </w:pPr>
      <w:bookmarkStart w:name="10、可供出售金融资产" w:id="265"/>
      <w:bookmarkEnd w:id="265"/>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可供出售金融资产情况" w:id="266"/>
      <w:bookmarkEnd w:id="26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227,841,337.25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211,611,337.25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222,492,364.52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208,462,364.52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120,141,337.25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120,141,337.25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197,242,364.52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197,242,364.52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91,470,000.00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center"/>
              <w:rPr>
                <w:rFonts w:ascii="Times New Roman" w:hAnsi="Times New Roman" w:cs="Times New Roman" w:eastAsia="Times New Roman" w:hint="default"/>
                <w:sz w:val="18"/>
                <w:szCs w:val="18"/>
              </w:rPr>
            </w:pPr>
            <w:r>
              <w:rPr>
                <w:rFonts w:ascii="Times New Roman"/>
                <w:sz w:val="18"/>
              </w:rPr>
              <w:t>25,250,000.00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11,220,000.00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227,841,337.25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211,611,337.25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222,492,364.52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208,462,364.52</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期末按公允价值计量的可供出售金融资产" w:id="267"/>
      <w:bookmarkEnd w:id="26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6"/>
        <w:gridCol w:w="2421"/>
        <w:gridCol w:w="1701"/>
        <w:gridCol w:w="1560"/>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51" w:right="0"/>
              <w:jc w:val="left"/>
              <w:rPr>
                <w:rFonts w:ascii="Times New Roman" w:hAnsi="Times New Roman" w:cs="Times New Roman" w:eastAsia="Times New Roman" w:hint="default"/>
                <w:sz w:val="18"/>
                <w:szCs w:val="18"/>
              </w:rPr>
            </w:pPr>
            <w:r>
              <w:rPr>
                <w:rFonts w:ascii="Times New Roman"/>
                <w:sz w:val="18"/>
              </w:rPr>
              <w:t>120,141,337.25</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120,141,337.25</w:t>
            </w:r>
          </w:p>
        </w:tc>
      </w:tr>
    </w:tbl>
    <w:p>
      <w:pPr>
        <w:spacing w:line="240" w:lineRule="auto" w:before="11"/>
        <w:rPr>
          <w:rFonts w:ascii="宋体" w:hAnsi="宋体" w:cs="宋体" w:eastAsia="宋体" w:hint="default"/>
          <w:sz w:val="5"/>
          <w:szCs w:val="5"/>
        </w:rPr>
      </w:pPr>
    </w:p>
    <w:p>
      <w:pPr>
        <w:spacing w:line="364" w:lineRule="auto" w:before="50"/>
        <w:ind w:left="154" w:right="1130" w:firstLine="320"/>
        <w:jc w:val="both"/>
        <w:rPr>
          <w:rFonts w:ascii="宋体" w:hAnsi="宋体" w:cs="宋体" w:eastAsia="宋体" w:hint="default"/>
          <w:sz w:val="16"/>
          <w:szCs w:val="16"/>
        </w:rPr>
      </w:pPr>
      <w:r>
        <w:rPr>
          <w:rFonts w:ascii="宋体" w:hAnsi="宋体" w:cs="宋体" w:eastAsia="宋体" w:hint="default"/>
          <w:sz w:val="16"/>
          <w:szCs w:val="16"/>
        </w:rPr>
        <w:t>注 </w:t>
      </w:r>
      <w:r>
        <w:rPr>
          <w:rFonts w:ascii="宋体" w:hAnsi="宋体" w:cs="宋体" w:eastAsia="宋体" w:hint="default"/>
          <w:sz w:val="16"/>
          <w:szCs w:val="16"/>
        </w:rPr>
        <w:t>1</w:t>
      </w:r>
      <w:r>
        <w:rPr>
          <w:rFonts w:ascii="宋体" w:hAnsi="宋体" w:cs="宋体" w:eastAsia="宋体" w:hint="default"/>
          <w:sz w:val="16"/>
          <w:szCs w:val="16"/>
        </w:rPr>
        <w:t>：根据《发行股份及支付现金购买资产协议》规定：畅元国讯原实际控制人杨超等承诺畅元国讯 </w:t>
      </w:r>
      <w:r>
        <w:rPr>
          <w:rFonts w:ascii="宋体" w:hAnsi="宋体" w:cs="宋体" w:eastAsia="宋体" w:hint="default"/>
          <w:sz w:val="16"/>
          <w:szCs w:val="16"/>
        </w:rPr>
        <w:t>2016 </w:t>
      </w:r>
      <w:r>
        <w:rPr>
          <w:rFonts w:ascii="宋体" w:hAnsi="宋体" w:cs="宋体" w:eastAsia="宋体" w:hint="default"/>
          <w:sz w:val="16"/>
          <w:szCs w:val="16"/>
        </w:rPr>
        <w:t>年、</w:t>
      </w:r>
      <w:r>
        <w:rPr>
          <w:rFonts w:ascii="宋体" w:hAnsi="宋体" w:cs="宋体" w:eastAsia="宋体" w:hint="default"/>
          <w:sz w:val="16"/>
          <w:szCs w:val="16"/>
        </w:rPr>
        <w:t>2017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24"/>
          <w:sz w:val="16"/>
          <w:szCs w:val="16"/>
        </w:rPr>
        <w:t> </w:t>
      </w:r>
      <w:r>
        <w:rPr>
          <w:rFonts w:ascii="宋体" w:hAnsi="宋体" w:cs="宋体" w:eastAsia="宋体" w:hint="default"/>
          <w:sz w:val="16"/>
          <w:szCs w:val="16"/>
        </w:rPr>
        <w:t>年经</w:t>
      </w:r>
      <w:r>
        <w:rPr>
          <w:rFonts w:ascii="宋体" w:hAnsi="宋体" w:cs="宋体" w:eastAsia="宋体" w:hint="default"/>
          <w:spacing w:val="1"/>
          <w:w w:val="99"/>
          <w:sz w:val="16"/>
          <w:szCs w:val="16"/>
        </w:rPr>
        <w:t> </w:t>
      </w:r>
      <w:r>
        <w:rPr>
          <w:rFonts w:ascii="宋体" w:hAnsi="宋体" w:cs="宋体" w:eastAsia="宋体" w:hint="default"/>
          <w:sz w:val="16"/>
          <w:szCs w:val="16"/>
        </w:rPr>
        <w:t>审计的归属于母公司股东的扣除非经常性损益后的净利润分别不低于人民币 </w:t>
      </w:r>
      <w:r>
        <w:rPr>
          <w:rFonts w:ascii="宋体" w:hAnsi="宋体" w:cs="宋体" w:eastAsia="宋体" w:hint="default"/>
          <w:sz w:val="16"/>
          <w:szCs w:val="16"/>
        </w:rPr>
        <w:t>7,600 </w:t>
      </w:r>
      <w:r>
        <w:rPr>
          <w:rFonts w:ascii="宋体" w:hAnsi="宋体" w:cs="宋体" w:eastAsia="宋体" w:hint="default"/>
          <w:sz w:val="16"/>
          <w:szCs w:val="16"/>
        </w:rPr>
        <w:t>万元、</w:t>
      </w:r>
      <w:r>
        <w:rPr>
          <w:rFonts w:ascii="宋体" w:hAnsi="宋体" w:cs="宋体" w:eastAsia="宋体" w:hint="default"/>
          <w:sz w:val="16"/>
          <w:szCs w:val="16"/>
        </w:rPr>
        <w:t>10,000 </w:t>
      </w:r>
      <w:r>
        <w:rPr>
          <w:rFonts w:ascii="宋体" w:hAnsi="宋体" w:cs="宋体" w:eastAsia="宋体" w:hint="default"/>
          <w:sz w:val="16"/>
          <w:szCs w:val="16"/>
        </w:rPr>
        <w:t>万元、</w:t>
      </w:r>
      <w:r>
        <w:rPr>
          <w:rFonts w:ascii="宋体" w:hAnsi="宋体" w:cs="宋体" w:eastAsia="宋体" w:hint="default"/>
          <w:sz w:val="16"/>
          <w:szCs w:val="16"/>
        </w:rPr>
        <w:t>13,000 </w:t>
      </w:r>
      <w:r>
        <w:rPr>
          <w:rFonts w:ascii="宋体" w:hAnsi="宋体" w:cs="宋体" w:eastAsia="宋体" w:hint="default"/>
          <w:sz w:val="16"/>
          <w:szCs w:val="16"/>
        </w:rPr>
        <w:t>万元。</w:t>
      </w:r>
      <w:r>
        <w:rPr>
          <w:rFonts w:ascii="宋体" w:hAnsi="宋体" w:cs="宋体" w:eastAsia="宋体" w:hint="default"/>
          <w:spacing w:val="22"/>
          <w:sz w:val="16"/>
          <w:szCs w:val="16"/>
        </w:rPr>
        <w:t> </w:t>
      </w:r>
      <w:r>
        <w:rPr>
          <w:rFonts w:ascii="宋体" w:hAnsi="宋体" w:cs="宋体" w:eastAsia="宋体" w:hint="default"/>
          <w:sz w:val="16"/>
          <w:szCs w:val="16"/>
        </w:rPr>
        <w:t>因畅元国讯未完</w:t>
      </w:r>
      <w:r>
        <w:rPr>
          <w:rFonts w:ascii="宋体" w:hAnsi="宋体" w:cs="宋体" w:eastAsia="宋体" w:hint="default"/>
          <w:w w:val="99"/>
          <w:sz w:val="16"/>
          <w:szCs w:val="16"/>
        </w:rPr>
        <w:t> </w:t>
      </w:r>
      <w:r>
        <w:rPr>
          <w:rFonts w:ascii="宋体" w:hAnsi="宋体" w:cs="宋体" w:eastAsia="宋体" w:hint="default"/>
          <w:sz w:val="16"/>
          <w:szCs w:val="16"/>
        </w:rPr>
        <w:t>成 </w:t>
      </w:r>
      <w:r>
        <w:rPr>
          <w:rFonts w:ascii="宋体" w:hAnsi="宋体" w:cs="宋体" w:eastAsia="宋体" w:hint="default"/>
          <w:sz w:val="16"/>
          <w:szCs w:val="16"/>
        </w:rPr>
        <w:t>2017 </w:t>
      </w:r>
      <w:r>
        <w:rPr>
          <w:rFonts w:ascii="宋体" w:hAnsi="宋体" w:cs="宋体" w:eastAsia="宋体" w:hint="default"/>
          <w:spacing w:val="-4"/>
          <w:sz w:val="16"/>
          <w:szCs w:val="16"/>
        </w:rPr>
        <w:t>年的业绩承诺，应补偿股份 </w:t>
      </w:r>
      <w:r>
        <w:rPr>
          <w:rFonts w:ascii="宋体" w:hAnsi="宋体" w:cs="宋体" w:eastAsia="宋体" w:hint="default"/>
          <w:sz w:val="16"/>
          <w:szCs w:val="16"/>
        </w:rPr>
        <w:t>9,071,523.00 </w:t>
      </w:r>
      <w:r>
        <w:rPr>
          <w:rFonts w:ascii="宋体" w:hAnsi="宋体" w:cs="宋体" w:eastAsia="宋体" w:hint="default"/>
          <w:spacing w:val="-5"/>
          <w:sz w:val="16"/>
          <w:szCs w:val="16"/>
        </w:rPr>
        <w:t>股；因畅元国讯商誉减值，应补偿股份 </w:t>
      </w:r>
      <w:r>
        <w:rPr>
          <w:rFonts w:ascii="宋体" w:hAnsi="宋体" w:cs="宋体" w:eastAsia="宋体" w:hint="default"/>
          <w:sz w:val="16"/>
          <w:szCs w:val="16"/>
        </w:rPr>
        <w:t>10,152,879 </w:t>
      </w:r>
      <w:r>
        <w:rPr>
          <w:rFonts w:ascii="宋体" w:hAnsi="宋体" w:cs="宋体" w:eastAsia="宋体" w:hint="default"/>
          <w:spacing w:val="-11"/>
          <w:sz w:val="16"/>
          <w:szCs w:val="16"/>
        </w:rPr>
        <w:t>股，合计 </w:t>
      </w:r>
      <w:r>
        <w:rPr>
          <w:rFonts w:ascii="宋体" w:hAnsi="宋体" w:cs="宋体" w:eastAsia="宋体" w:hint="default"/>
          <w:sz w:val="16"/>
          <w:szCs w:val="16"/>
        </w:rPr>
        <w:t>19,224,402 </w:t>
      </w:r>
      <w:r>
        <w:rPr>
          <w:rFonts w:ascii="宋体" w:hAnsi="宋体" w:cs="宋体" w:eastAsia="宋体" w:hint="default"/>
          <w:spacing w:val="-8"/>
          <w:sz w:val="16"/>
          <w:szCs w:val="16"/>
        </w:rPr>
        <w:t>股，</w:t>
      </w:r>
      <w:r>
        <w:rPr>
          <w:rFonts w:ascii="宋体" w:hAnsi="宋体" w:cs="宋体" w:eastAsia="宋体" w:hint="default"/>
          <w:spacing w:val="-8"/>
          <w:sz w:val="16"/>
          <w:szCs w:val="16"/>
        </w:rPr>
        <w:t>2018</w:t>
      </w:r>
      <w:r>
        <w:rPr>
          <w:rFonts w:ascii="宋体" w:hAnsi="宋体" w:cs="宋体" w:eastAsia="宋体" w:hint="default"/>
          <w:spacing w:val="23"/>
          <w:sz w:val="16"/>
          <w:szCs w:val="16"/>
        </w:rPr>
        <w:t> </w:t>
      </w:r>
      <w:r>
        <w:rPr>
          <w:rFonts w:ascii="宋体" w:hAnsi="宋体" w:cs="宋体" w:eastAsia="宋体" w:hint="default"/>
          <w:sz w:val="16"/>
          <w:szCs w:val="16"/>
        </w:rPr>
        <w:t>年</w:t>
      </w:r>
    </w:p>
    <w:p>
      <w:pPr>
        <w:spacing w:line="367" w:lineRule="auto" w:before="28"/>
        <w:ind w:left="154" w:right="1132" w:firstLine="0"/>
        <w:jc w:val="both"/>
        <w:rPr>
          <w:rFonts w:ascii="宋体" w:hAnsi="宋体" w:cs="宋体" w:eastAsia="宋体" w:hint="default"/>
          <w:sz w:val="16"/>
          <w:szCs w:val="16"/>
        </w:rPr>
      </w:pPr>
      <w:r>
        <w:rPr>
          <w:rFonts w:ascii="宋体" w:hAnsi="宋体" w:cs="宋体" w:eastAsia="宋体" w:hint="default"/>
          <w:w w:val="99"/>
          <w:sz w:val="16"/>
          <w:szCs w:val="16"/>
        </w:rPr>
        <w:t>公司按 </w:t>
      </w:r>
      <w:r>
        <w:rPr>
          <w:rFonts w:ascii="宋体" w:hAnsi="宋体" w:cs="宋体" w:eastAsia="宋体" w:hint="default"/>
          <w:w w:val="99"/>
          <w:sz w:val="16"/>
          <w:szCs w:val="16"/>
        </w:rPr>
        <w:t>10 </w:t>
      </w:r>
      <w:r>
        <w:rPr>
          <w:rFonts w:ascii="宋体" w:hAnsi="宋体" w:cs="宋体" w:eastAsia="宋体" w:hint="default"/>
          <w:w w:val="99"/>
          <w:sz w:val="16"/>
          <w:szCs w:val="16"/>
        </w:rPr>
        <w:t>送 </w:t>
      </w:r>
      <w:r>
        <w:rPr>
          <w:rFonts w:ascii="宋体" w:hAnsi="宋体" w:cs="宋体" w:eastAsia="宋体" w:hint="default"/>
          <w:w w:val="99"/>
          <w:sz w:val="16"/>
          <w:szCs w:val="16"/>
        </w:rPr>
        <w:t>5 </w:t>
      </w:r>
      <w:r>
        <w:rPr>
          <w:rFonts w:ascii="宋体" w:hAnsi="宋体" w:cs="宋体" w:eastAsia="宋体" w:hint="default"/>
          <w:spacing w:val="-1"/>
          <w:w w:val="99"/>
          <w:sz w:val="16"/>
          <w:szCs w:val="16"/>
        </w:rPr>
        <w:t>的转增方案后，补偿的股数为</w:t>
      </w:r>
      <w:r>
        <w:rPr>
          <w:rFonts w:ascii="宋体" w:hAnsi="宋体" w:cs="宋体" w:eastAsia="宋体" w:hint="default"/>
          <w:w w:val="99"/>
          <w:sz w:val="16"/>
          <w:szCs w:val="16"/>
        </w:rPr>
        <w:t> </w:t>
      </w:r>
      <w:r>
        <w:rPr>
          <w:rFonts w:ascii="宋体" w:hAnsi="宋体" w:cs="宋体" w:eastAsia="宋体" w:hint="default"/>
          <w:spacing w:val="-1"/>
          <w:w w:val="99"/>
          <w:sz w:val="16"/>
          <w:szCs w:val="16"/>
        </w:rPr>
        <w:t>28,836,603</w:t>
      </w:r>
      <w:r>
        <w:rPr>
          <w:rFonts w:ascii="宋体" w:hAnsi="宋体" w:cs="宋体" w:eastAsia="宋体" w:hint="default"/>
          <w:w w:val="99"/>
          <w:sz w:val="16"/>
          <w:szCs w:val="16"/>
        </w:rPr>
        <w:t> </w:t>
      </w:r>
      <w:r>
        <w:rPr>
          <w:rFonts w:ascii="宋体" w:hAnsi="宋体" w:cs="宋体" w:eastAsia="宋体" w:hint="default"/>
          <w:w w:val="99"/>
          <w:sz w:val="16"/>
          <w:szCs w:val="16"/>
        </w:rPr>
        <w:t>股。 </w:t>
      </w:r>
      <w:r>
        <w:rPr>
          <w:rFonts w:ascii="宋体" w:hAnsi="宋体" w:cs="宋体" w:eastAsia="宋体" w:hint="default"/>
          <w:spacing w:val="-1"/>
          <w:w w:val="99"/>
          <w:sz w:val="16"/>
          <w:szCs w:val="16"/>
        </w:rPr>
        <w:t>根据《企业会计准则第</w:t>
      </w:r>
      <w:r>
        <w:rPr>
          <w:rFonts w:ascii="宋体" w:hAnsi="宋体" w:cs="宋体" w:eastAsia="宋体" w:hint="default"/>
          <w:w w:val="99"/>
          <w:sz w:val="16"/>
          <w:szCs w:val="16"/>
        </w:rPr>
        <w:t> </w:t>
      </w:r>
      <w:r>
        <w:rPr>
          <w:rFonts w:ascii="宋体" w:hAnsi="宋体" w:cs="宋体" w:eastAsia="宋体" w:hint="default"/>
          <w:w w:val="99"/>
          <w:sz w:val="16"/>
          <w:szCs w:val="16"/>
        </w:rPr>
        <w:t>22</w:t>
      </w:r>
      <w:r>
        <w:rPr>
          <w:rFonts w:ascii="宋体" w:hAnsi="宋体" w:cs="宋体" w:eastAsia="宋体" w:hint="default"/>
          <w:spacing w:val="20"/>
          <w:w w:val="99"/>
          <w:sz w:val="16"/>
          <w:szCs w:val="16"/>
        </w:rPr>
        <w:t> </w:t>
      </w:r>
      <w:r>
        <w:rPr>
          <w:rFonts w:ascii="宋体" w:hAnsi="宋体" w:cs="宋体" w:eastAsia="宋体" w:hint="default"/>
          <w:spacing w:val="-5"/>
          <w:w w:val="99"/>
          <w:sz w:val="16"/>
          <w:szCs w:val="16"/>
        </w:rPr>
        <w:t>号—金融工具确认和计量》第三十八条，“可</w:t>
      </w:r>
      <w:r>
        <w:rPr>
          <w:rFonts w:ascii="宋体" w:hAnsi="宋体" w:cs="宋体" w:eastAsia="宋体" w:hint="default"/>
          <w:w w:val="99"/>
          <w:sz w:val="16"/>
          <w:szCs w:val="16"/>
        </w:rPr>
        <w:t> </w:t>
      </w:r>
      <w:r>
        <w:rPr>
          <w:rFonts w:ascii="宋体" w:hAnsi="宋体" w:cs="宋体" w:eastAsia="宋体" w:hint="default"/>
          <w:sz w:val="16"/>
          <w:szCs w:val="16"/>
        </w:rPr>
        <w:t>供出售金融资产公允价值变动形成的利得或损失，除减值损失和外币货币性金融资产形成的汇兑差额外，应当直接计入所有者权益，在该</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3"/>
          <w:w w:val="99"/>
          <w:sz w:val="16"/>
          <w:szCs w:val="16"/>
        </w:rPr>
        <w:t>金融资产终止确认时转出，计入当期损益。”因本公司</w:t>
      </w:r>
      <w:r>
        <w:rPr>
          <w:rFonts w:ascii="宋体" w:hAnsi="宋体" w:cs="宋体" w:eastAsia="宋体" w:hint="default"/>
          <w:w w:val="99"/>
          <w:sz w:val="16"/>
          <w:szCs w:val="16"/>
        </w:rPr>
        <w:t> </w:t>
      </w:r>
      <w:r>
        <w:rPr>
          <w:rFonts w:ascii="宋体" w:hAnsi="宋体" w:cs="宋体" w:eastAsia="宋体" w:hint="default"/>
          <w:spacing w:val="-1"/>
          <w:w w:val="99"/>
          <w:sz w:val="16"/>
          <w:szCs w:val="16"/>
        </w:rPr>
        <w:t>2017</w:t>
      </w:r>
      <w:r>
        <w:rPr>
          <w:rFonts w:ascii="宋体" w:hAnsi="宋体" w:cs="宋体" w:eastAsia="宋体" w:hint="default"/>
          <w:w w:val="99"/>
          <w:sz w:val="16"/>
          <w:szCs w:val="16"/>
        </w:rPr>
        <w:t> </w:t>
      </w:r>
      <w:r>
        <w:rPr>
          <w:rFonts w:ascii="宋体" w:hAnsi="宋体" w:cs="宋体" w:eastAsia="宋体" w:hint="default"/>
          <w:w w:val="99"/>
          <w:sz w:val="16"/>
          <w:szCs w:val="16"/>
        </w:rPr>
        <w:t>年 </w:t>
      </w:r>
      <w:r>
        <w:rPr>
          <w:rFonts w:ascii="宋体" w:hAnsi="宋体" w:cs="宋体" w:eastAsia="宋体" w:hint="default"/>
          <w:spacing w:val="-1"/>
          <w:w w:val="99"/>
          <w:sz w:val="16"/>
          <w:szCs w:val="16"/>
        </w:rPr>
        <w:t>12</w:t>
      </w:r>
      <w:r>
        <w:rPr>
          <w:rFonts w:ascii="宋体" w:hAnsi="宋体" w:cs="宋体" w:eastAsia="宋体" w:hint="default"/>
          <w:w w:val="99"/>
          <w:sz w:val="16"/>
          <w:szCs w:val="16"/>
        </w:rPr>
        <w:t> </w:t>
      </w:r>
      <w:r>
        <w:rPr>
          <w:rFonts w:ascii="宋体" w:hAnsi="宋体" w:cs="宋体" w:eastAsia="宋体" w:hint="default"/>
          <w:w w:val="99"/>
          <w:sz w:val="16"/>
          <w:szCs w:val="16"/>
        </w:rPr>
        <w:t>月 </w:t>
      </w:r>
      <w:r>
        <w:rPr>
          <w:rFonts w:ascii="宋体" w:hAnsi="宋体" w:cs="宋体" w:eastAsia="宋体" w:hint="default"/>
          <w:w w:val="99"/>
          <w:sz w:val="16"/>
          <w:szCs w:val="16"/>
        </w:rPr>
        <w:t>29 </w:t>
      </w:r>
      <w:r>
        <w:rPr>
          <w:rFonts w:ascii="宋体" w:hAnsi="宋体" w:cs="宋体" w:eastAsia="宋体" w:hint="default"/>
          <w:w w:val="99"/>
          <w:sz w:val="16"/>
          <w:szCs w:val="16"/>
        </w:rPr>
        <w:t>日（</w:t>
      </w:r>
      <w:r>
        <w:rPr>
          <w:rFonts w:ascii="宋体" w:hAnsi="宋体" w:cs="宋体" w:eastAsia="宋体" w:hint="default"/>
          <w:w w:val="99"/>
          <w:sz w:val="16"/>
          <w:szCs w:val="16"/>
        </w:rPr>
        <w:t>2017 </w:t>
      </w:r>
      <w:r>
        <w:rPr>
          <w:rFonts w:ascii="宋体" w:hAnsi="宋体" w:cs="宋体" w:eastAsia="宋体" w:hint="default"/>
          <w:w w:val="99"/>
          <w:sz w:val="16"/>
          <w:szCs w:val="16"/>
        </w:rPr>
        <w:t>年 </w:t>
      </w:r>
      <w:r>
        <w:rPr>
          <w:rFonts w:ascii="宋体" w:hAnsi="宋体" w:cs="宋体" w:eastAsia="宋体" w:hint="default"/>
          <w:w w:val="99"/>
          <w:sz w:val="16"/>
          <w:szCs w:val="16"/>
        </w:rPr>
        <w:t>12 </w:t>
      </w:r>
      <w:r>
        <w:rPr>
          <w:rFonts w:ascii="宋体" w:hAnsi="宋体" w:cs="宋体" w:eastAsia="宋体" w:hint="default"/>
          <w:w w:val="99"/>
          <w:sz w:val="16"/>
          <w:szCs w:val="16"/>
        </w:rPr>
        <w:t>月 </w:t>
      </w:r>
      <w:r>
        <w:rPr>
          <w:rFonts w:ascii="宋体" w:hAnsi="宋体" w:cs="宋体" w:eastAsia="宋体" w:hint="default"/>
          <w:spacing w:val="-1"/>
          <w:w w:val="99"/>
          <w:sz w:val="16"/>
          <w:szCs w:val="16"/>
        </w:rPr>
        <w:t>31</w:t>
      </w:r>
      <w:r>
        <w:rPr>
          <w:rFonts w:ascii="宋体" w:hAnsi="宋体" w:cs="宋体" w:eastAsia="宋体" w:hint="default"/>
          <w:w w:val="99"/>
          <w:sz w:val="16"/>
          <w:szCs w:val="16"/>
        </w:rPr>
        <w:t> </w:t>
      </w:r>
      <w:r>
        <w:rPr>
          <w:rFonts w:ascii="宋体" w:hAnsi="宋体" w:cs="宋体" w:eastAsia="宋体" w:hint="default"/>
          <w:w w:val="99"/>
          <w:sz w:val="16"/>
          <w:szCs w:val="16"/>
        </w:rPr>
        <w:t>日为节假日）的收盘价价为 </w:t>
      </w:r>
      <w:r>
        <w:rPr>
          <w:rFonts w:ascii="宋体" w:hAnsi="宋体" w:cs="宋体" w:eastAsia="宋体" w:hint="default"/>
          <w:spacing w:val="-1"/>
          <w:w w:val="99"/>
          <w:sz w:val="16"/>
          <w:szCs w:val="16"/>
        </w:rPr>
        <w:t>10.26</w:t>
      </w:r>
      <w:r>
        <w:rPr>
          <w:rFonts w:ascii="宋体" w:hAnsi="宋体" w:cs="宋体" w:eastAsia="宋体" w:hint="default"/>
          <w:spacing w:val="49"/>
          <w:w w:val="99"/>
          <w:sz w:val="16"/>
          <w:szCs w:val="16"/>
        </w:rPr>
        <w:t> </w:t>
      </w:r>
      <w:r>
        <w:rPr>
          <w:rFonts w:ascii="宋体" w:hAnsi="宋体" w:cs="宋体" w:eastAsia="宋体" w:hint="default"/>
          <w:spacing w:val="1"/>
          <w:w w:val="99"/>
          <w:sz w:val="16"/>
          <w:szCs w:val="16"/>
        </w:rPr>
        <w:t>元</w:t>
      </w:r>
      <w:r>
        <w:rPr>
          <w:rFonts w:ascii="宋体" w:hAnsi="宋体" w:cs="宋体" w:eastAsia="宋体" w:hint="default"/>
          <w:spacing w:val="1"/>
          <w:w w:val="99"/>
          <w:sz w:val="16"/>
          <w:szCs w:val="16"/>
        </w:rPr>
        <w:t>/</w:t>
      </w:r>
      <w:r>
        <w:rPr>
          <w:rFonts w:ascii="宋体" w:hAnsi="宋体" w:cs="宋体" w:eastAsia="宋体" w:hint="default"/>
          <w:spacing w:val="1"/>
          <w:sz w:val="16"/>
          <w:szCs w:val="16"/>
        </w:rPr>
      </w:r>
    </w:p>
    <w:p>
      <w:pPr>
        <w:spacing w:before="27"/>
        <w:ind w:left="154" w:right="0" w:firstLine="0"/>
        <w:jc w:val="both"/>
        <w:rPr>
          <w:rFonts w:ascii="宋体" w:hAnsi="宋体" w:cs="宋体" w:eastAsia="宋体" w:hint="default"/>
          <w:sz w:val="16"/>
          <w:szCs w:val="16"/>
        </w:rPr>
      </w:pPr>
      <w:r>
        <w:rPr>
          <w:rFonts w:ascii="宋体" w:hAnsi="宋体" w:cs="宋体" w:eastAsia="宋体" w:hint="default"/>
          <w:sz w:val="16"/>
          <w:szCs w:val="16"/>
        </w:rPr>
        <w:t>股，故 </w:t>
      </w:r>
      <w:r>
        <w:rPr>
          <w:rFonts w:ascii="宋体" w:hAnsi="宋体" w:cs="宋体" w:eastAsia="宋体" w:hint="default"/>
          <w:sz w:val="16"/>
          <w:szCs w:val="16"/>
        </w:rPr>
        <w:t>2017 </w:t>
      </w:r>
      <w:r>
        <w:rPr>
          <w:rFonts w:ascii="宋体" w:hAnsi="宋体" w:cs="宋体" w:eastAsia="宋体" w:hint="default"/>
          <w:sz w:val="16"/>
          <w:szCs w:val="16"/>
        </w:rPr>
        <w:t>年 </w:t>
      </w:r>
      <w:r>
        <w:rPr>
          <w:rFonts w:ascii="宋体" w:hAnsi="宋体" w:cs="宋体" w:eastAsia="宋体" w:hint="default"/>
          <w:sz w:val="16"/>
          <w:szCs w:val="16"/>
        </w:rPr>
        <w:t>12 </w:t>
      </w:r>
      <w:r>
        <w:rPr>
          <w:rFonts w:ascii="宋体" w:hAnsi="宋体" w:cs="宋体" w:eastAsia="宋体" w:hint="default"/>
          <w:sz w:val="16"/>
          <w:szCs w:val="16"/>
        </w:rPr>
        <w:t>月 </w:t>
      </w:r>
      <w:r>
        <w:rPr>
          <w:rFonts w:ascii="宋体" w:hAnsi="宋体" w:cs="宋体" w:eastAsia="宋体" w:hint="default"/>
          <w:sz w:val="16"/>
          <w:szCs w:val="16"/>
        </w:rPr>
        <w:t>31 </w:t>
      </w:r>
      <w:r>
        <w:rPr>
          <w:rFonts w:ascii="宋体" w:hAnsi="宋体" w:cs="宋体" w:eastAsia="宋体" w:hint="default"/>
          <w:sz w:val="16"/>
          <w:szCs w:val="16"/>
        </w:rPr>
        <w:t>日计入其他综合收益的公允价值变动金额 </w:t>
      </w:r>
      <w:r>
        <w:rPr>
          <w:rFonts w:ascii="宋体" w:hAnsi="宋体" w:cs="宋体" w:eastAsia="宋体" w:hint="default"/>
          <w:sz w:val="16"/>
          <w:szCs w:val="16"/>
        </w:rPr>
        <w:t>197,242,364.52</w:t>
      </w:r>
      <w:r>
        <w:rPr>
          <w:rFonts w:ascii="宋体" w:hAnsi="宋体" w:cs="宋体" w:eastAsia="宋体" w:hint="default"/>
          <w:spacing w:val="-11"/>
          <w:sz w:val="16"/>
          <w:szCs w:val="16"/>
        </w:rPr>
        <w:t> </w:t>
      </w:r>
      <w:r>
        <w:rPr>
          <w:rFonts w:ascii="宋体" w:hAnsi="宋体" w:cs="宋体" w:eastAsia="宋体" w:hint="default"/>
          <w:sz w:val="16"/>
          <w:szCs w:val="16"/>
        </w:rPr>
        <w:t>元。</w:t>
      </w:r>
    </w:p>
    <w:p>
      <w:pPr>
        <w:spacing w:line="240" w:lineRule="auto" w:before="6"/>
        <w:rPr>
          <w:rFonts w:ascii="宋体" w:hAnsi="宋体" w:cs="宋体" w:eastAsia="宋体" w:hint="default"/>
          <w:sz w:val="11"/>
          <w:szCs w:val="11"/>
        </w:rPr>
      </w:pPr>
    </w:p>
    <w:p>
      <w:pPr>
        <w:spacing w:before="0"/>
        <w:ind w:left="474" w:right="817"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宋体" w:hAnsi="宋体" w:cs="宋体" w:eastAsia="宋体" w:hint="default"/>
          <w:sz w:val="16"/>
          <w:szCs w:val="16"/>
        </w:rPr>
        <w:t>2</w:t>
      </w:r>
      <w:r>
        <w:rPr>
          <w:rFonts w:ascii="宋体" w:hAnsi="宋体" w:cs="宋体" w:eastAsia="宋体" w:hint="default"/>
          <w:sz w:val="16"/>
          <w:szCs w:val="16"/>
        </w:rPr>
        <w:t>：根据《发行股份及支付现金购买资产协议》规定：因畅元国讯未完成</w:t>
      </w:r>
      <w:r>
        <w:rPr>
          <w:rFonts w:ascii="宋体" w:hAnsi="宋体" w:cs="宋体" w:eastAsia="宋体" w:hint="default"/>
          <w:spacing w:val="-43"/>
          <w:sz w:val="16"/>
          <w:szCs w:val="16"/>
        </w:rPr>
        <w:t> </w:t>
      </w: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年的业绩承诺，应补偿股份</w:t>
      </w:r>
      <w:r>
        <w:rPr>
          <w:rFonts w:ascii="宋体" w:hAnsi="宋体" w:cs="宋体" w:eastAsia="宋体" w:hint="default"/>
          <w:spacing w:val="-43"/>
          <w:sz w:val="16"/>
          <w:szCs w:val="16"/>
        </w:rPr>
        <w:t> </w:t>
      </w:r>
      <w:r>
        <w:rPr>
          <w:rFonts w:ascii="宋体" w:hAnsi="宋体" w:cs="宋体" w:eastAsia="宋体" w:hint="default"/>
          <w:sz w:val="16"/>
          <w:szCs w:val="16"/>
        </w:rPr>
        <w:t>9,071,523</w:t>
      </w:r>
      <w:r>
        <w:rPr>
          <w:rFonts w:ascii="宋体" w:hAnsi="宋体" w:cs="宋体" w:eastAsia="宋体" w:hint="default"/>
          <w:spacing w:val="-43"/>
          <w:sz w:val="16"/>
          <w:szCs w:val="16"/>
        </w:rPr>
        <w:t> </w:t>
      </w:r>
      <w:r>
        <w:rPr>
          <w:rFonts w:ascii="宋体" w:hAnsi="宋体" w:cs="宋体" w:eastAsia="宋体" w:hint="default"/>
          <w:sz w:val="16"/>
          <w:szCs w:val="16"/>
        </w:rPr>
        <w:t>股；因畅元国</w:t>
      </w:r>
    </w:p>
    <w:p>
      <w:pPr>
        <w:spacing w:before="111"/>
        <w:ind w:left="154" w:right="0" w:firstLine="0"/>
        <w:jc w:val="both"/>
        <w:rPr>
          <w:rFonts w:ascii="宋体" w:hAnsi="宋体" w:cs="宋体" w:eastAsia="宋体" w:hint="default"/>
          <w:sz w:val="16"/>
          <w:szCs w:val="16"/>
        </w:rPr>
      </w:pPr>
      <w:r>
        <w:rPr>
          <w:rFonts w:ascii="宋体" w:hAnsi="宋体" w:cs="宋体" w:eastAsia="宋体" w:hint="default"/>
          <w:sz w:val="16"/>
          <w:szCs w:val="16"/>
        </w:rPr>
        <w:t>讯商誉减值，应补偿股份</w:t>
      </w:r>
      <w:r>
        <w:rPr>
          <w:rFonts w:ascii="宋体" w:hAnsi="宋体" w:cs="宋体" w:eastAsia="宋体" w:hint="default"/>
          <w:spacing w:val="-25"/>
          <w:sz w:val="16"/>
          <w:szCs w:val="16"/>
        </w:rPr>
        <w:t> </w:t>
      </w:r>
      <w:r>
        <w:rPr>
          <w:rFonts w:ascii="宋体" w:hAnsi="宋体" w:cs="宋体" w:eastAsia="宋体" w:hint="default"/>
          <w:sz w:val="16"/>
          <w:szCs w:val="16"/>
        </w:rPr>
        <w:t>10,152,879</w:t>
      </w:r>
      <w:r>
        <w:rPr>
          <w:rFonts w:ascii="宋体" w:hAnsi="宋体" w:cs="宋体" w:eastAsia="宋体" w:hint="default"/>
          <w:spacing w:val="-24"/>
          <w:sz w:val="16"/>
          <w:szCs w:val="16"/>
        </w:rPr>
        <w:t> </w:t>
      </w:r>
      <w:r>
        <w:rPr>
          <w:rFonts w:ascii="宋体" w:hAnsi="宋体" w:cs="宋体" w:eastAsia="宋体" w:hint="default"/>
          <w:sz w:val="16"/>
          <w:szCs w:val="16"/>
        </w:rPr>
        <w:t>股。其中陈兆滨、鲁武英将业绩赔偿股份</w:t>
      </w:r>
      <w:r>
        <w:rPr>
          <w:rFonts w:ascii="宋体" w:hAnsi="宋体" w:cs="宋体" w:eastAsia="宋体" w:hint="default"/>
          <w:spacing w:val="-25"/>
          <w:sz w:val="16"/>
          <w:szCs w:val="16"/>
        </w:rPr>
        <w:t> </w:t>
      </w:r>
      <w:r>
        <w:rPr>
          <w:rFonts w:ascii="宋体" w:hAnsi="宋体" w:cs="宋体" w:eastAsia="宋体" w:hint="default"/>
          <w:sz w:val="16"/>
          <w:szCs w:val="16"/>
        </w:rPr>
        <w:t>3,316,606.00</w:t>
      </w:r>
      <w:r>
        <w:rPr>
          <w:rFonts w:ascii="宋体" w:hAnsi="宋体" w:cs="宋体" w:eastAsia="宋体" w:hint="default"/>
          <w:spacing w:val="-24"/>
          <w:sz w:val="16"/>
          <w:szCs w:val="16"/>
        </w:rPr>
        <w:t> </w:t>
      </w:r>
      <w:r>
        <w:rPr>
          <w:rFonts w:ascii="宋体" w:hAnsi="宋体" w:cs="宋体" w:eastAsia="宋体" w:hint="default"/>
          <w:sz w:val="16"/>
          <w:szCs w:val="16"/>
        </w:rPr>
        <w:t>股、</w:t>
      </w:r>
      <w:r>
        <w:rPr>
          <w:rFonts w:ascii="宋体" w:hAnsi="宋体" w:cs="宋体" w:eastAsia="宋体" w:hint="default"/>
          <w:sz w:val="16"/>
          <w:szCs w:val="16"/>
        </w:rPr>
        <w:t>2,191,582.00</w:t>
      </w:r>
      <w:r>
        <w:rPr>
          <w:rFonts w:ascii="宋体" w:hAnsi="宋体" w:cs="宋体" w:eastAsia="宋体" w:hint="default"/>
          <w:spacing w:val="-23"/>
          <w:sz w:val="16"/>
          <w:szCs w:val="16"/>
        </w:rPr>
        <w:t> </w:t>
      </w:r>
      <w:r>
        <w:rPr>
          <w:rFonts w:ascii="宋体" w:hAnsi="宋体" w:cs="宋体" w:eastAsia="宋体" w:hint="default"/>
          <w:sz w:val="16"/>
          <w:szCs w:val="16"/>
        </w:rPr>
        <w:t>股，合计</w:t>
      </w:r>
      <w:r>
        <w:rPr>
          <w:rFonts w:ascii="宋体" w:hAnsi="宋体" w:cs="宋体" w:eastAsia="宋体" w:hint="default"/>
          <w:spacing w:val="-25"/>
          <w:sz w:val="16"/>
          <w:szCs w:val="16"/>
        </w:rPr>
        <w:t> </w:t>
      </w:r>
      <w:r>
        <w:rPr>
          <w:rFonts w:ascii="宋体" w:hAnsi="宋体" w:cs="宋体" w:eastAsia="宋体" w:hint="default"/>
          <w:sz w:val="16"/>
          <w:szCs w:val="16"/>
        </w:rPr>
        <w:t>5,508,188.00</w:t>
      </w:r>
    </w:p>
    <w:p>
      <w:pPr>
        <w:spacing w:before="110"/>
        <w:ind w:left="154" w:right="0" w:firstLine="0"/>
        <w:jc w:val="both"/>
        <w:rPr>
          <w:rFonts w:ascii="宋体" w:hAnsi="宋体" w:cs="宋体" w:eastAsia="宋体" w:hint="default"/>
          <w:sz w:val="16"/>
          <w:szCs w:val="16"/>
        </w:rPr>
      </w:pPr>
      <w:r>
        <w:rPr>
          <w:rFonts w:ascii="宋体" w:hAnsi="宋体" w:cs="宋体" w:eastAsia="宋体" w:hint="default"/>
          <w:sz w:val="16"/>
          <w:szCs w:val="16"/>
        </w:rPr>
        <w:t>股移交给本公司，并于</w:t>
      </w:r>
      <w:r>
        <w:rPr>
          <w:rFonts w:ascii="宋体" w:hAnsi="宋体" w:cs="宋体" w:eastAsia="宋体" w:hint="default"/>
          <w:spacing w:val="-42"/>
          <w:sz w:val="16"/>
          <w:szCs w:val="16"/>
        </w:rPr>
        <w:t> </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6</w:t>
      </w:r>
      <w:r>
        <w:rPr>
          <w:rFonts w:ascii="宋体" w:hAnsi="宋体" w:cs="宋体" w:eastAsia="宋体" w:hint="default"/>
          <w:spacing w:val="-42"/>
          <w:sz w:val="16"/>
          <w:szCs w:val="16"/>
        </w:rPr>
        <w:t> </w:t>
      </w:r>
      <w:r>
        <w:rPr>
          <w:rFonts w:ascii="宋体" w:hAnsi="宋体" w:cs="宋体" w:eastAsia="宋体" w:hint="default"/>
          <w:sz w:val="16"/>
          <w:szCs w:val="16"/>
        </w:rPr>
        <w:t>日、</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25</w:t>
      </w:r>
      <w:r>
        <w:rPr>
          <w:rFonts w:ascii="宋体" w:hAnsi="宋体" w:cs="宋体" w:eastAsia="宋体" w:hint="default"/>
          <w:spacing w:val="-42"/>
          <w:sz w:val="16"/>
          <w:szCs w:val="16"/>
        </w:rPr>
        <w:t> </w:t>
      </w:r>
      <w:r>
        <w:rPr>
          <w:rFonts w:ascii="宋体" w:hAnsi="宋体" w:cs="宋体" w:eastAsia="宋体" w:hint="default"/>
          <w:sz w:val="16"/>
          <w:szCs w:val="16"/>
        </w:rPr>
        <w:t>日出具承若书，承诺其本次回购注销产生的一切法律责任由其本人承担，本公</w:t>
      </w:r>
    </w:p>
    <w:p>
      <w:pPr>
        <w:spacing w:before="111"/>
        <w:ind w:left="154" w:right="0" w:firstLine="0"/>
        <w:jc w:val="both"/>
        <w:rPr>
          <w:rFonts w:ascii="宋体" w:hAnsi="宋体" w:cs="宋体" w:eastAsia="宋体" w:hint="default"/>
          <w:sz w:val="16"/>
          <w:szCs w:val="16"/>
        </w:rPr>
      </w:pPr>
      <w:r>
        <w:rPr>
          <w:rFonts w:ascii="宋体" w:hAnsi="宋体" w:cs="宋体" w:eastAsia="宋体" w:hint="default"/>
          <w:sz w:val="16"/>
          <w:szCs w:val="16"/>
        </w:rPr>
        <w:t>司按照截止</w:t>
      </w:r>
      <w:r>
        <w:rPr>
          <w:rFonts w:ascii="宋体" w:hAnsi="宋体" w:cs="宋体" w:eastAsia="宋体" w:hint="default"/>
          <w:spacing w:val="-44"/>
          <w:sz w:val="16"/>
          <w:szCs w:val="16"/>
        </w:rPr>
        <w:t> </w:t>
      </w:r>
      <w:r>
        <w:rPr>
          <w:rFonts w:ascii="宋体" w:hAnsi="宋体" w:cs="宋体" w:eastAsia="宋体" w:hint="default"/>
          <w:sz w:val="16"/>
          <w:szCs w:val="16"/>
        </w:rPr>
        <w:t>2018</w:t>
      </w:r>
      <w:r>
        <w:rPr>
          <w:rFonts w:ascii="宋体" w:hAnsi="宋体" w:cs="宋体" w:eastAsia="宋体" w:hint="default"/>
          <w:spacing w:val="-44"/>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宋体" w:hAnsi="宋体" w:cs="宋体" w:eastAsia="宋体" w:hint="default"/>
          <w:sz w:val="16"/>
          <w:szCs w:val="16"/>
        </w:rPr>
        <w:t>12</w:t>
      </w:r>
      <w:r>
        <w:rPr>
          <w:rFonts w:ascii="宋体" w:hAnsi="宋体" w:cs="宋体" w:eastAsia="宋体" w:hint="default"/>
          <w:spacing w:val="-44"/>
          <w:sz w:val="16"/>
          <w:szCs w:val="16"/>
        </w:rPr>
        <w:t> </w:t>
      </w:r>
      <w:r>
        <w:rPr>
          <w:rFonts w:ascii="宋体" w:hAnsi="宋体" w:cs="宋体" w:eastAsia="宋体" w:hint="default"/>
          <w:sz w:val="16"/>
          <w:szCs w:val="16"/>
        </w:rPr>
        <w:t>月</w:t>
      </w:r>
      <w:r>
        <w:rPr>
          <w:rFonts w:ascii="宋体" w:hAnsi="宋体" w:cs="宋体" w:eastAsia="宋体" w:hint="default"/>
          <w:spacing w:val="-45"/>
          <w:sz w:val="16"/>
          <w:szCs w:val="16"/>
        </w:rPr>
        <w:t> </w:t>
      </w:r>
      <w:r>
        <w:rPr>
          <w:rFonts w:ascii="宋体" w:hAnsi="宋体" w:cs="宋体" w:eastAsia="宋体" w:hint="default"/>
          <w:sz w:val="16"/>
          <w:szCs w:val="16"/>
        </w:rPr>
        <w:t>28</w:t>
      </w:r>
      <w:r>
        <w:rPr>
          <w:rFonts w:ascii="宋体" w:hAnsi="宋体" w:cs="宋体" w:eastAsia="宋体" w:hint="default"/>
          <w:spacing w:val="-44"/>
          <w:sz w:val="16"/>
          <w:szCs w:val="16"/>
        </w:rPr>
        <w:t> </w:t>
      </w:r>
      <w:r>
        <w:rPr>
          <w:rFonts w:ascii="宋体" w:hAnsi="宋体" w:cs="宋体" w:eastAsia="宋体" w:hint="default"/>
          <w:sz w:val="16"/>
          <w:szCs w:val="16"/>
        </w:rPr>
        <w:t>日收盘价</w:t>
      </w:r>
      <w:r>
        <w:rPr>
          <w:rFonts w:ascii="宋体" w:hAnsi="宋体" w:cs="宋体" w:eastAsia="宋体" w:hint="default"/>
          <w:spacing w:val="-45"/>
          <w:sz w:val="16"/>
          <w:szCs w:val="16"/>
        </w:rPr>
        <w:t> </w:t>
      </w:r>
      <w:r>
        <w:rPr>
          <w:rFonts w:ascii="宋体" w:hAnsi="宋体" w:cs="宋体" w:eastAsia="宋体" w:hint="default"/>
          <w:sz w:val="16"/>
          <w:szCs w:val="16"/>
        </w:rPr>
        <w:t>5.15</w:t>
      </w:r>
      <w:r>
        <w:rPr>
          <w:rFonts w:ascii="宋体" w:hAnsi="宋体" w:cs="宋体" w:eastAsia="宋体" w:hint="default"/>
          <w:spacing w:val="-44"/>
          <w:sz w:val="16"/>
          <w:szCs w:val="16"/>
        </w:rPr>
        <w:t> </w:t>
      </w:r>
      <w:r>
        <w:rPr>
          <w:rFonts w:ascii="宋体" w:hAnsi="宋体" w:cs="宋体" w:eastAsia="宋体" w:hint="default"/>
          <w:sz w:val="16"/>
          <w:szCs w:val="16"/>
        </w:rPr>
        <w:t>元</w:t>
      </w:r>
      <w:r>
        <w:rPr>
          <w:rFonts w:ascii="宋体" w:hAnsi="宋体" w:cs="宋体" w:eastAsia="宋体" w:hint="default"/>
          <w:sz w:val="16"/>
          <w:szCs w:val="16"/>
        </w:rPr>
        <w:t>/</w:t>
      </w:r>
      <w:r>
        <w:rPr>
          <w:rFonts w:ascii="宋体" w:hAnsi="宋体" w:cs="宋体" w:eastAsia="宋体" w:hint="default"/>
          <w:sz w:val="16"/>
          <w:szCs w:val="16"/>
        </w:rPr>
        <w:t>股确认业绩赔偿收入</w:t>
      </w:r>
      <w:r>
        <w:rPr>
          <w:rFonts w:ascii="宋体" w:hAnsi="宋体" w:cs="宋体" w:eastAsia="宋体" w:hint="default"/>
          <w:spacing w:val="-44"/>
          <w:sz w:val="16"/>
          <w:szCs w:val="16"/>
        </w:rPr>
        <w:t> </w:t>
      </w:r>
      <w:r>
        <w:rPr>
          <w:rFonts w:ascii="宋体" w:hAnsi="宋体" w:cs="宋体" w:eastAsia="宋体" w:hint="default"/>
          <w:sz w:val="16"/>
          <w:szCs w:val="16"/>
        </w:rPr>
        <w:t>28,367,168.20</w:t>
      </w:r>
      <w:r>
        <w:rPr>
          <w:rFonts w:ascii="宋体" w:hAnsi="宋体" w:cs="宋体" w:eastAsia="宋体" w:hint="default"/>
          <w:spacing w:val="-43"/>
          <w:sz w:val="16"/>
          <w:szCs w:val="16"/>
        </w:rPr>
        <w:t> </w:t>
      </w:r>
      <w:r>
        <w:rPr>
          <w:rFonts w:ascii="宋体" w:hAnsi="宋体" w:cs="宋体" w:eastAsia="宋体" w:hint="default"/>
          <w:spacing w:val="-3"/>
          <w:sz w:val="16"/>
          <w:szCs w:val="16"/>
        </w:rPr>
        <w:t>元，计入库存股</w:t>
      </w:r>
      <w:r>
        <w:rPr>
          <w:rFonts w:ascii="宋体" w:hAnsi="宋体" w:cs="宋体" w:eastAsia="宋体" w:hint="default"/>
          <w:spacing w:val="-45"/>
          <w:sz w:val="16"/>
          <w:szCs w:val="16"/>
        </w:rPr>
        <w:t> </w:t>
      </w:r>
      <w:r>
        <w:rPr>
          <w:rFonts w:ascii="宋体" w:hAnsi="宋体" w:cs="宋体" w:eastAsia="宋体" w:hint="default"/>
          <w:sz w:val="16"/>
          <w:szCs w:val="16"/>
        </w:rPr>
        <w:t>28,367,168.20</w:t>
      </w:r>
      <w:r>
        <w:rPr>
          <w:rFonts w:ascii="宋体" w:hAnsi="宋体" w:cs="宋体" w:eastAsia="宋体" w:hint="default"/>
          <w:spacing w:val="-43"/>
          <w:sz w:val="16"/>
          <w:szCs w:val="16"/>
        </w:rPr>
        <w:t> </w:t>
      </w:r>
      <w:r>
        <w:rPr>
          <w:rFonts w:ascii="宋体" w:hAnsi="宋体" w:cs="宋体" w:eastAsia="宋体" w:hint="default"/>
          <w:sz w:val="16"/>
          <w:szCs w:val="16"/>
        </w:rPr>
        <w:t>元，同时结转按公允价</w:t>
      </w:r>
    </w:p>
    <w:p>
      <w:pPr>
        <w:spacing w:after="0"/>
        <w:jc w:val="both"/>
        <w:rPr>
          <w:rFonts w:ascii="宋体" w:hAnsi="宋体" w:cs="宋体" w:eastAsia="宋体" w:hint="default"/>
          <w:sz w:val="16"/>
          <w:szCs w:val="16"/>
        </w:rPr>
        <w:sectPr>
          <w:pgSz w:w="11910" w:h="16840"/>
          <w:pgMar w:header="877" w:footer="979" w:top="1100" w:bottom="1160" w:left="980" w:right="0"/>
        </w:sectPr>
      </w:pPr>
    </w:p>
    <w:p>
      <w:pPr>
        <w:spacing w:line="240" w:lineRule="auto" w:before="4"/>
        <w:rPr>
          <w:rFonts w:ascii="宋体" w:hAnsi="宋体" w:cs="宋体" w:eastAsia="宋体" w:hint="default"/>
          <w:sz w:val="27"/>
          <w:szCs w:val="27"/>
        </w:rPr>
      </w:pPr>
    </w:p>
    <w:p>
      <w:pPr>
        <w:spacing w:before="50"/>
        <w:ind w:left="154" w:right="817" w:firstLine="0"/>
        <w:jc w:val="left"/>
        <w:rPr>
          <w:rFonts w:ascii="宋体" w:hAnsi="宋体" w:cs="宋体" w:eastAsia="宋体" w:hint="default"/>
          <w:sz w:val="16"/>
          <w:szCs w:val="16"/>
        </w:rPr>
      </w:pPr>
      <w:r>
        <w:rPr>
          <w:rFonts w:ascii="宋体" w:hAnsi="宋体" w:cs="宋体" w:eastAsia="宋体" w:hint="default"/>
          <w:sz w:val="16"/>
          <w:szCs w:val="16"/>
        </w:rPr>
        <w:t>值计量的可供出售金额资产</w:t>
      </w:r>
      <w:r>
        <w:rPr>
          <w:rFonts w:ascii="宋体" w:hAnsi="宋体" w:cs="宋体" w:eastAsia="宋体" w:hint="default"/>
          <w:spacing w:val="-45"/>
          <w:sz w:val="16"/>
          <w:szCs w:val="16"/>
        </w:rPr>
        <w:t> </w:t>
      </w:r>
      <w:r>
        <w:rPr>
          <w:rFonts w:ascii="宋体" w:hAnsi="宋体" w:cs="宋体" w:eastAsia="宋体" w:hint="default"/>
          <w:sz w:val="16"/>
          <w:szCs w:val="16"/>
        </w:rPr>
        <w:t>28,367,168.20</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line="240" w:lineRule="auto" w:before="5"/>
        <w:rPr>
          <w:rFonts w:ascii="宋体" w:hAnsi="宋体" w:cs="宋体" w:eastAsia="宋体" w:hint="default"/>
          <w:sz w:val="11"/>
          <w:szCs w:val="11"/>
        </w:rPr>
      </w:pPr>
    </w:p>
    <w:p>
      <w:pPr>
        <w:spacing w:line="369" w:lineRule="auto" w:before="0"/>
        <w:ind w:left="154" w:right="817" w:firstLine="32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1"/>
          <w:sz w:val="16"/>
          <w:szCs w:val="16"/>
        </w:rPr>
        <w:t> </w:t>
      </w:r>
      <w:r>
        <w:rPr>
          <w:rFonts w:ascii="宋体" w:hAnsi="宋体" w:cs="宋体" w:eastAsia="宋体" w:hint="default"/>
          <w:sz w:val="16"/>
          <w:szCs w:val="16"/>
        </w:rPr>
        <w:t>3</w:t>
      </w:r>
      <w:r>
        <w:rPr>
          <w:rFonts w:ascii="宋体" w:hAnsi="宋体" w:cs="宋体" w:eastAsia="宋体" w:hint="default"/>
          <w:sz w:val="16"/>
          <w:szCs w:val="16"/>
        </w:rPr>
        <w:t>：根据本公司</w:t>
      </w:r>
      <w:r>
        <w:rPr>
          <w:rFonts w:ascii="宋体" w:hAnsi="宋体" w:cs="宋体" w:eastAsia="宋体" w:hint="default"/>
          <w:spacing w:val="-42"/>
          <w:sz w:val="16"/>
          <w:szCs w:val="16"/>
        </w:rPr>
        <w:t> </w:t>
      </w:r>
      <w:r>
        <w:rPr>
          <w:rFonts w:ascii="宋体" w:hAnsi="宋体" w:cs="宋体" w:eastAsia="宋体" w:hint="default"/>
          <w:sz w:val="16"/>
          <w:szCs w:val="16"/>
        </w:rPr>
        <w:t>2018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宋体" w:hAnsi="宋体" w:cs="宋体" w:eastAsia="宋体" w:hint="default"/>
          <w:sz w:val="16"/>
          <w:szCs w:val="16"/>
        </w:rPr>
        <w:t>28</w:t>
      </w:r>
      <w:r>
        <w:rPr>
          <w:rFonts w:ascii="宋体" w:hAnsi="宋体" w:cs="宋体" w:eastAsia="宋体" w:hint="default"/>
          <w:spacing w:val="-41"/>
          <w:sz w:val="16"/>
          <w:szCs w:val="16"/>
        </w:rPr>
        <w:t> </w:t>
      </w:r>
      <w:r>
        <w:rPr>
          <w:rFonts w:ascii="宋体" w:hAnsi="宋体" w:cs="宋体" w:eastAsia="宋体" w:hint="default"/>
          <w:sz w:val="16"/>
          <w:szCs w:val="16"/>
        </w:rPr>
        <w:t>日（</w:t>
      </w:r>
      <w:r>
        <w:rPr>
          <w:rFonts w:ascii="宋体" w:hAnsi="宋体" w:cs="宋体" w:eastAsia="宋体" w:hint="default"/>
          <w:sz w:val="16"/>
          <w:szCs w:val="16"/>
        </w:rPr>
        <w:t>2018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29</w:t>
      </w:r>
      <w:r>
        <w:rPr>
          <w:rFonts w:ascii="宋体" w:hAnsi="宋体" w:cs="宋体" w:eastAsia="宋体" w:hint="default"/>
          <w:sz w:val="16"/>
          <w:szCs w:val="16"/>
        </w:rPr>
        <w:t>、</w:t>
      </w:r>
      <w:r>
        <w:rPr>
          <w:rFonts w:ascii="宋体" w:hAnsi="宋体" w:cs="宋体" w:eastAsia="宋体" w:hint="default"/>
          <w:sz w:val="16"/>
          <w:szCs w:val="16"/>
        </w:rPr>
        <w:t>30</w:t>
      </w:r>
      <w:r>
        <w:rPr>
          <w:rFonts w:ascii="宋体" w:hAnsi="宋体" w:cs="宋体" w:eastAsia="宋体" w:hint="default"/>
          <w:sz w:val="16"/>
          <w:szCs w:val="16"/>
        </w:rPr>
        <w:t>、</w:t>
      </w:r>
      <w:r>
        <w:rPr>
          <w:rFonts w:ascii="宋体" w:hAnsi="宋体" w:cs="宋体" w:eastAsia="宋体" w:hint="default"/>
          <w:sz w:val="16"/>
          <w:szCs w:val="16"/>
        </w:rPr>
        <w:t>31</w:t>
      </w:r>
      <w:r>
        <w:rPr>
          <w:rFonts w:ascii="宋体" w:hAnsi="宋体" w:cs="宋体" w:eastAsia="宋体" w:hint="default"/>
          <w:spacing w:val="-42"/>
          <w:sz w:val="16"/>
          <w:szCs w:val="16"/>
        </w:rPr>
        <w:t> </w:t>
      </w:r>
      <w:r>
        <w:rPr>
          <w:rFonts w:ascii="宋体" w:hAnsi="宋体" w:cs="宋体" w:eastAsia="宋体" w:hint="default"/>
          <w:sz w:val="16"/>
          <w:szCs w:val="16"/>
        </w:rPr>
        <w:t>日为节假日）的收盘价</w:t>
      </w:r>
      <w:r>
        <w:rPr>
          <w:rFonts w:ascii="宋体" w:hAnsi="宋体" w:cs="宋体" w:eastAsia="宋体" w:hint="default"/>
          <w:spacing w:val="-42"/>
          <w:sz w:val="16"/>
          <w:szCs w:val="16"/>
        </w:rPr>
        <w:t> </w:t>
      </w:r>
      <w:r>
        <w:rPr>
          <w:rFonts w:ascii="宋体" w:hAnsi="宋体" w:cs="宋体" w:eastAsia="宋体" w:hint="default"/>
          <w:sz w:val="16"/>
          <w:szCs w:val="16"/>
        </w:rPr>
        <w:t>5.15</w:t>
      </w:r>
      <w:r>
        <w:rPr>
          <w:rFonts w:ascii="宋体" w:hAnsi="宋体" w:cs="宋体" w:eastAsia="宋体" w:hint="default"/>
          <w:spacing w:val="-41"/>
          <w:sz w:val="16"/>
          <w:szCs w:val="16"/>
        </w:rPr>
        <w:t> </w:t>
      </w:r>
      <w:r>
        <w:rPr>
          <w:rFonts w:ascii="宋体" w:hAnsi="宋体" w:cs="宋体" w:eastAsia="宋体" w:hint="default"/>
          <w:sz w:val="16"/>
          <w:szCs w:val="16"/>
        </w:rPr>
        <w:t>元，与</w:t>
      </w:r>
      <w:r>
        <w:rPr>
          <w:rFonts w:ascii="宋体" w:hAnsi="宋体" w:cs="宋体" w:eastAsia="宋体" w:hint="default"/>
          <w:spacing w:val="-41"/>
          <w:sz w:val="16"/>
          <w:szCs w:val="16"/>
        </w:rPr>
        <w:t> </w:t>
      </w:r>
      <w:r>
        <w:rPr>
          <w:rFonts w:ascii="宋体" w:hAnsi="宋体" w:cs="宋体" w:eastAsia="宋体" w:hint="default"/>
          <w:sz w:val="16"/>
          <w:szCs w:val="16"/>
        </w:rPr>
        <w:t>2017</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宋体" w:hAnsi="宋体" w:cs="宋体" w:eastAsia="宋体" w:hint="default"/>
          <w:sz w:val="16"/>
          <w:szCs w:val="16"/>
        </w:rPr>
        <w:t>29</w:t>
      </w:r>
      <w:r>
        <w:rPr>
          <w:rFonts w:ascii="宋体" w:hAnsi="宋体" w:cs="宋体" w:eastAsia="宋体" w:hint="default"/>
          <w:spacing w:val="-41"/>
          <w:sz w:val="16"/>
          <w:szCs w:val="16"/>
        </w:rPr>
        <w:t> </w:t>
      </w:r>
      <w:r>
        <w:rPr>
          <w:rFonts w:ascii="宋体" w:hAnsi="宋体" w:cs="宋体" w:eastAsia="宋体" w:hint="default"/>
          <w:sz w:val="16"/>
          <w:szCs w:val="16"/>
        </w:rPr>
        <w:t>日收盘价</w:t>
      </w:r>
      <w:r>
        <w:rPr>
          <w:rFonts w:ascii="宋体" w:hAnsi="宋体" w:cs="宋体" w:eastAsia="宋体" w:hint="default"/>
          <w:spacing w:val="-42"/>
          <w:sz w:val="16"/>
          <w:szCs w:val="16"/>
        </w:rPr>
        <w:t> </w:t>
      </w:r>
      <w:r>
        <w:rPr>
          <w:rFonts w:ascii="宋体" w:hAnsi="宋体" w:cs="宋体" w:eastAsia="宋体" w:hint="default"/>
          <w:sz w:val="16"/>
          <w:szCs w:val="16"/>
        </w:rPr>
        <w:t>10.26</w:t>
      </w:r>
      <w:r>
        <w:rPr>
          <w:rFonts w:ascii="宋体" w:hAnsi="宋体" w:cs="宋体" w:eastAsia="宋体" w:hint="default"/>
          <w:w w:val="99"/>
          <w:sz w:val="16"/>
          <w:szCs w:val="16"/>
        </w:rPr>
        <w:t> </w:t>
      </w:r>
      <w:r>
        <w:rPr>
          <w:rFonts w:ascii="宋体" w:hAnsi="宋体" w:cs="宋体" w:eastAsia="宋体" w:hint="default"/>
          <w:sz w:val="16"/>
          <w:szCs w:val="16"/>
        </w:rPr>
        <w:t>元</w:t>
      </w:r>
      <w:r>
        <w:rPr>
          <w:rFonts w:ascii="宋体" w:hAnsi="宋体" w:cs="宋体" w:eastAsia="宋体" w:hint="default"/>
          <w:sz w:val="16"/>
          <w:szCs w:val="16"/>
        </w:rPr>
        <w:t>/</w:t>
      </w:r>
      <w:r>
        <w:rPr>
          <w:rFonts w:ascii="宋体" w:hAnsi="宋体" w:cs="宋体" w:eastAsia="宋体" w:hint="default"/>
          <w:sz w:val="16"/>
          <w:szCs w:val="16"/>
        </w:rPr>
        <w:t>股按照转股除权后的价格</w:t>
      </w:r>
      <w:r>
        <w:rPr>
          <w:rFonts w:ascii="宋体" w:hAnsi="宋体" w:cs="宋体" w:eastAsia="宋体" w:hint="default"/>
          <w:spacing w:val="-45"/>
          <w:sz w:val="16"/>
          <w:szCs w:val="16"/>
        </w:rPr>
        <w:t> </w:t>
      </w:r>
      <w:r>
        <w:rPr>
          <w:rFonts w:ascii="宋体" w:hAnsi="宋体" w:cs="宋体" w:eastAsia="宋体" w:hint="default"/>
          <w:sz w:val="16"/>
          <w:szCs w:val="16"/>
        </w:rPr>
        <w:t>6.84</w:t>
      </w:r>
      <w:r>
        <w:rPr>
          <w:rFonts w:ascii="宋体" w:hAnsi="宋体" w:cs="宋体" w:eastAsia="宋体" w:hint="default"/>
          <w:spacing w:val="-45"/>
          <w:sz w:val="16"/>
          <w:szCs w:val="16"/>
        </w:rPr>
        <w:t> </w:t>
      </w:r>
      <w:r>
        <w:rPr>
          <w:rFonts w:ascii="宋体" w:hAnsi="宋体" w:cs="宋体" w:eastAsia="宋体" w:hint="default"/>
          <w:sz w:val="16"/>
          <w:szCs w:val="16"/>
        </w:rPr>
        <w:t>元每股的差价同时调整按公允价值计量的可供出售金额资产和其他综合收益</w:t>
      </w:r>
      <w:r>
        <w:rPr>
          <w:rFonts w:ascii="宋体" w:hAnsi="宋体" w:cs="宋体" w:eastAsia="宋体" w:hint="default"/>
          <w:sz w:val="16"/>
          <w:szCs w:val="16"/>
        </w:rPr>
        <w:t>-48,733,859.07</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after="0" w:line="369" w:lineRule="auto"/>
        <w:jc w:val="left"/>
        <w:rPr>
          <w:rFonts w:ascii="宋体" w:hAnsi="宋体" w:cs="宋体" w:eastAsia="宋体" w:hint="default"/>
          <w:sz w:val="16"/>
          <w:szCs w:val="16"/>
        </w:rPr>
        <w:sectPr>
          <w:pgSz w:w="11910" w:h="16840"/>
          <w:pgMar w:header="877" w:footer="979" w:top="1100" w:bottom="1160" w:left="980" w:right="0"/>
        </w:sectPr>
      </w:pPr>
    </w:p>
    <w:p>
      <w:pPr>
        <w:pStyle w:val="BodyText"/>
        <w:spacing w:line="240" w:lineRule="auto" w:before="15"/>
        <w:ind w:left="0" w:right="196"/>
        <w:jc w:val="right"/>
      </w:pPr>
      <w:r>
        <w:rPr/>
        <w:t>厦门安妮股份有限公司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4"/>
        <w:spacing w:line="240" w:lineRule="auto" w:before="35"/>
        <w:ind w:left="140" w:right="0"/>
        <w:jc w:val="left"/>
        <w:rPr>
          <w:b w:val="0"/>
          <w:bCs w:val="0"/>
        </w:rPr>
      </w:pPr>
      <w:bookmarkStart w:name="（3）期末按成本计量的可供出售金融资产" w:id="268"/>
      <w:bookmarkEnd w:id="26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95"/>
        <w:jc w:val="right"/>
      </w:pPr>
      <w:r>
        <w:rPr/>
        <w:t>单位： 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268"/>
        <w:gridCol w:w="1418"/>
        <w:gridCol w:w="1276"/>
        <w:gridCol w:w="1134"/>
        <w:gridCol w:w="1276"/>
        <w:gridCol w:w="1134"/>
        <w:gridCol w:w="1134"/>
        <w:gridCol w:w="992"/>
        <w:gridCol w:w="1134"/>
        <w:gridCol w:w="993"/>
        <w:gridCol w:w="1276"/>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10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40"/>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99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中防联盟（北京）技术开发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深圳国金天使投资企业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1,160,000.00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上海桎影数码科技有限公司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厦门市虹约产品设计有限公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九次方大数据信息集团有限 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庆云剧派网络科技有限公司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深圳市尚彩科技有限公司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成都幸运节拍数字技术有限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成都思品科技有限公司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中广云（北京）科技有限公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杭州拾贝知识产权服务有限 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1,160,000.00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16,230,000.00</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76"/>
        <w:ind w:left="0" w:right="196"/>
        <w:jc w:val="right"/>
        <w:rPr>
          <w:rFonts w:ascii="Times New Roman" w:hAnsi="Times New Roman" w:cs="Times New Roman" w:eastAsia="Times New Roman" w:hint="default"/>
        </w:rPr>
      </w:pPr>
      <w:r>
        <w:rPr>
          <w:rFonts w:ascii="Times New Roman"/>
        </w:rPr>
        <w:t>135</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3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34"/>
          <w:footerReference w:type="default" r:id="rId35"/>
          <w:pgSz w:w="16840" w:h="11910" w:orient="landscape"/>
          <w:pgMar w:header="0" w:footer="0" w:top="800" w:bottom="0" w:left="1300" w:right="124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817"/>
        <w:jc w:val="left"/>
        <w:rPr>
          <w:b w:val="0"/>
          <w:bCs w:val="0"/>
        </w:rPr>
      </w:pPr>
      <w:bookmarkStart w:name="（4）报告期内可供出售金融资产减值的变动情况" w:id="269"/>
      <w:bookmarkEnd w:id="26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2989"/>
        <w:gridCol w:w="2268"/>
        <w:gridCol w:w="184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14,030,000.00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16,230,000.00</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11、长期股权投资" w:id="270"/>
      <w:bookmarkEnd w:id="270"/>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851"/>
        <w:gridCol w:w="566"/>
        <w:gridCol w:w="851"/>
        <w:gridCol w:w="851"/>
        <w:gridCol w:w="708"/>
        <w:gridCol w:w="852"/>
        <w:gridCol w:w="708"/>
        <w:gridCol w:w="605"/>
        <w:gridCol w:w="798"/>
        <w:gridCol w:w="798"/>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9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USEON.</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62,632.26</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62,632.26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62,632.26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62,632.26</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62,632.26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62,632.26</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计易数据科 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31,950,00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21,496.43</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31,971,49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31,950,00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21,496.43</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31,971,49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62,632.26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31,950,00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21,496.43</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32,034,12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62,632.26</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12、投资性房地产" w:id="271"/>
      <w:bookmarkEnd w:id="271"/>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采用成本计量模式的投资性房地产" w:id="272"/>
      <w:bookmarkEnd w:id="27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47,465,209.19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517,898.62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47,983,107.81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3,411,713.99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3,411,713.99</w:t>
            </w:r>
          </w:p>
        </w:tc>
      </w:tr>
    </w:tbl>
    <w:p>
      <w:pPr>
        <w:spacing w:after="0" w:line="240" w:lineRule="auto"/>
        <w:jc w:val="right"/>
        <w:rPr>
          <w:rFonts w:ascii="Times New Roman" w:hAnsi="Times New Roman" w:cs="Times New Roman" w:eastAsia="Times New Roman" w:hint="default"/>
          <w:sz w:val="18"/>
          <w:szCs w:val="18"/>
        </w:rPr>
        <w:sectPr>
          <w:footerReference w:type="default" r:id="rId37"/>
          <w:pgSz w:w="11910" w:h="16840"/>
          <w:pgMar w:footer="979" w:header="0" w:top="1100" w:bottom="1160" w:left="980" w:right="0"/>
          <w:pgNumType w:start="136"/>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3,411,713.99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3,411,713.99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50,876,923.18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517,898.62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51,394,821.80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5,743,727.88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157,958.86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5,901,686.74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1,932,040.48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1,942,398.45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1,932,040.48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1,942,398.45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7,675,768.36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168,316.83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7,844,085.19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43,201,154.82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349,581.79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43,550,736.61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41,721,481.31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359,939.76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42,081,421.07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817"/>
        <w:jc w:val="left"/>
        <w:rPr>
          <w:b w:val="0"/>
          <w:bCs w:val="0"/>
        </w:rPr>
      </w:pPr>
      <w:bookmarkStart w:name="（2）采用公允价值计量模式的投资性房地产" w:id="273"/>
      <w:bookmarkEnd w:id="27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338" w:lineRule="auto" w:before="116"/>
        <w:ind w:left="474" w:right="817"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：本期投资性房地产摊销金额为</w:t>
      </w:r>
      <w:r>
        <w:rPr>
          <w:rFonts w:ascii="Times New Roman" w:hAnsi="Times New Roman" w:cs="Times New Roman" w:eastAsia="Times New Roman" w:hint="default"/>
          <w:sz w:val="16"/>
          <w:szCs w:val="16"/>
        </w:rPr>
        <w:t>1,942,398.45</w:t>
      </w:r>
      <w:r>
        <w:rPr>
          <w:rFonts w:ascii="宋体" w:hAnsi="宋体" w:cs="宋体" w:eastAsia="宋体" w:hint="default"/>
          <w:sz w:val="16"/>
          <w:szCs w:val="16"/>
        </w:rPr>
        <w:t>元，本期由固定资产转入投资性房地产的原值为</w:t>
      </w:r>
      <w:r>
        <w:rPr>
          <w:rFonts w:ascii="Times New Roman" w:hAnsi="Times New Roman" w:cs="Times New Roman" w:eastAsia="Times New Roman" w:hint="default"/>
          <w:sz w:val="16"/>
          <w:szCs w:val="16"/>
        </w:rPr>
        <w:t>3,411,713.99</w:t>
      </w:r>
      <w:r>
        <w:rPr>
          <w:rFonts w:ascii="宋体" w:hAnsi="宋体" w:cs="宋体" w:eastAsia="宋体" w:hint="default"/>
          <w:sz w:val="16"/>
          <w:szCs w:val="16"/>
        </w:rPr>
        <w:t>元。</w:t>
      </w:r>
      <w:r>
        <w:rPr>
          <w:rFonts w:ascii="宋体" w:hAnsi="宋体" w:cs="宋体" w:eastAsia="宋体" w:hint="default"/>
          <w:w w:val="99"/>
          <w:sz w:val="16"/>
          <w:szCs w:val="16"/>
        </w:rPr>
        <w:t> </w:t>
      </w:r>
      <w:r>
        <w:rPr>
          <w:rFonts w:ascii="宋体" w:hAnsi="宋体" w:cs="宋体" w:eastAsia="宋体" w:hint="default"/>
          <w:w w:val="95"/>
          <w:sz w:val="16"/>
          <w:szCs w:val="16"/>
        </w:rPr>
        <w:t>注</w:t>
      </w:r>
      <w:r>
        <w:rPr>
          <w:rFonts w:ascii="Times New Roman" w:hAnsi="Times New Roman" w:cs="Times New Roman" w:eastAsia="Times New Roman" w:hint="default"/>
          <w:w w:val="95"/>
          <w:sz w:val="16"/>
          <w:szCs w:val="16"/>
        </w:rPr>
        <w:t>2</w:t>
      </w:r>
      <w:r>
        <w:rPr>
          <w:rFonts w:ascii="宋体" w:hAnsi="宋体" w:cs="宋体" w:eastAsia="宋体" w:hint="default"/>
          <w:w w:val="95"/>
          <w:sz w:val="16"/>
          <w:szCs w:val="16"/>
        </w:rPr>
        <w:t>：本公司的投资性房地产主要为办公用房和厂房</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使用情况良好</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期末预计可收回价值高于其账面价值</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本期不存在计提减值准备之情</w:t>
      </w:r>
      <w:r>
        <w:rPr>
          <w:rFonts w:ascii="宋体" w:hAnsi="宋体" w:cs="宋体" w:eastAsia="宋体" w:hint="default"/>
          <w:sz w:val="16"/>
          <w:szCs w:val="16"/>
        </w:rPr>
      </w:r>
    </w:p>
    <w:p>
      <w:pPr>
        <w:spacing w:before="18"/>
        <w:ind w:left="154" w:right="817" w:firstLine="0"/>
        <w:jc w:val="left"/>
        <w:rPr>
          <w:rFonts w:ascii="宋体" w:hAnsi="宋体" w:cs="宋体" w:eastAsia="宋体" w:hint="default"/>
          <w:sz w:val="16"/>
          <w:szCs w:val="16"/>
        </w:rPr>
      </w:pPr>
      <w:r>
        <w:rPr>
          <w:rFonts w:ascii="宋体" w:hAnsi="宋体" w:cs="宋体" w:eastAsia="宋体" w:hint="default"/>
          <w:sz w:val="16"/>
          <w:szCs w:val="16"/>
        </w:rPr>
        <w:t>形。</w:t>
      </w:r>
    </w:p>
    <w:p>
      <w:pPr>
        <w:spacing w:line="240" w:lineRule="auto" w:before="1"/>
        <w:rPr>
          <w:rFonts w:ascii="宋体" w:hAnsi="宋体" w:cs="宋体" w:eastAsia="宋体" w:hint="default"/>
          <w:sz w:val="25"/>
          <w:szCs w:val="25"/>
        </w:rPr>
      </w:pPr>
    </w:p>
    <w:p>
      <w:pPr>
        <w:pStyle w:val="Heading4"/>
        <w:spacing w:line="240" w:lineRule="auto" w:before="35"/>
        <w:ind w:right="817"/>
        <w:jc w:val="left"/>
        <w:rPr>
          <w:b w:val="0"/>
          <w:bCs w:val="0"/>
        </w:rPr>
      </w:pPr>
      <w:bookmarkStart w:name="13、固定资产" w:id="274"/>
      <w:bookmarkEnd w:id="274"/>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171,859,131.22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177,123,947.42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171,859,131.22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177,123,947.42</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1）固定资产情况" w:id="275"/>
      <w:bookmarkEnd w:id="27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168,941,075.10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188,142,466.97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17,145,226.48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17,828,050.11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392,056,818.66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11,374,744.59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487,724.59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940,581.57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12,803,050.75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11,374,744.59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487,724.59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940,581.57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12,803,050.75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3,411,713.99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34,431,779.58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1,204,114.96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1,323,224.20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40,370,832.73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34,431,779.58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1,204,114.96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1,323,224.20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36,959,118.74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）转投资性 房地产</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3,411,713.99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3,411,713.99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165,529,361.11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165,085,431.98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16,428,836.11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17,445,407.48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364,489,036.68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29,534,356.75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125,030,403.60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13,409,518.96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12,870,999.30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180,845,278.61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4,650,653.78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6,424,534.27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1,050,403.86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1,415,261.26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13,540,853.17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4,650,653.78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6,424,534.27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1,050,403.86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1,415,261.26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13,540,853.17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864,035.78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15,529,369.08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1,135,531.50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1,200,622.26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18,729,558.62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15,529,369.08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1,135,531.50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1,200,622.26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17,865,522.84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）转投资性 房地产</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864,035.78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864,035.78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33,320,974.75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115,925,568.79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13,324,391.32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13,085,638.30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175,656,573.16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34,045,665.30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41,927.33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34,087,592.63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17,112,970.84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17,114,602.83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17,112,970.84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17,114,602.83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16,932,694.46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40,637.84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16,973,332.30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132,208,386.36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32,227,168.73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3,104,444.79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4,319,131.34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171,859,131.22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139,406,718.35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29,066,398.07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3,735,707.52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4,915,123.48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177,123,947.42</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暂时闲置的固定资产情况" w:id="276"/>
      <w:bookmarkEnd w:id="27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34,437,093.73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18,775,210.50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14,974,513.64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687,369.59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336,759.08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332,681.33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4,077.75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34,773,852.81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19,107,891.83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14,978,591.39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687,369.59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3）未办妥产权证书的固定资产情况" w:id="277"/>
      <w:bookmarkEnd w:id="277"/>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560"/>
        <w:gridCol w:w="5741"/>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Times New Roman" w:hAnsi="Times New Roman" w:cs="Times New Roman" w:eastAsia="Times New Roman" w:hint="default"/>
                <w:sz w:val="18"/>
                <w:szCs w:val="18"/>
              </w:rPr>
              <w:t>/</w:t>
            </w:r>
            <w:r>
              <w:rPr>
                <w:rFonts w:ascii="宋体" w:hAnsi="宋体" w:cs="宋体" w:eastAsia="宋体" w:hint="default"/>
                <w:sz w:val="18"/>
                <w:szCs w:val="18"/>
              </w:rPr>
              <w:t>畅元国讯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211,372.06</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因公司未取得小客车配置指标，以股东杨超的名义购买一辆汽车，杨超承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诺待畅元国讯取得小客车配置指标后，配合将该车辆过户至畅元国讯名下</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北京至美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67,729,119.93</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北京至美房屋产权正在办理过程中</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湖南安妮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827,551.56</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土地使用权为中冶美隆所有，房屋为湖南安妮建造，无法办理权证；两个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门卫室金额太小，未办理产权</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68,768,043.55</w:t>
            </w:r>
          </w:p>
        </w:tc>
        <w:tc>
          <w:tcPr>
            <w:tcW w:w="57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817"/>
        <w:jc w:val="left"/>
      </w:pPr>
      <w:r>
        <w:rPr/>
        <w:t>其他说明</w:t>
      </w:r>
    </w:p>
    <w:p>
      <w:pPr>
        <w:spacing w:line="338" w:lineRule="auto" w:before="131"/>
        <w:ind w:left="474" w:right="1792"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：本期折旧额为</w:t>
      </w:r>
      <w:r>
        <w:rPr>
          <w:rFonts w:ascii="Times New Roman" w:hAnsi="Times New Roman" w:cs="Times New Roman" w:eastAsia="Times New Roman" w:hint="default"/>
          <w:sz w:val="16"/>
          <w:szCs w:val="16"/>
        </w:rPr>
        <w:t>13,540,853.17</w:t>
      </w:r>
      <w:r>
        <w:rPr>
          <w:rFonts w:ascii="宋体" w:hAnsi="宋体" w:cs="宋体" w:eastAsia="宋体" w:hint="default"/>
          <w:sz w:val="16"/>
          <w:szCs w:val="16"/>
        </w:rPr>
        <w:t>元；</w:t>
      </w:r>
      <w:r>
        <w:rPr>
          <w:rFonts w:ascii="宋体" w:hAnsi="宋体" w:cs="宋体" w:eastAsia="宋体" w:hint="default"/>
          <w:w w:val="99"/>
          <w:sz w:val="16"/>
          <w:szCs w:val="16"/>
        </w:rPr>
        <w:t> </w:t>
      </w:r>
      <w:r>
        <w:rPr>
          <w:rFonts w:ascii="宋体" w:hAnsi="宋体" w:cs="宋体" w:eastAsia="宋体" w:hint="default"/>
          <w:sz w:val="16"/>
          <w:szCs w:val="16"/>
        </w:rPr>
        <w:t>注</w:t>
      </w:r>
      <w:r>
        <w:rPr>
          <w:rFonts w:ascii="Times New Roman" w:hAnsi="Times New Roman" w:cs="Times New Roman" w:eastAsia="Times New Roman" w:hint="default"/>
          <w:sz w:val="16"/>
          <w:szCs w:val="16"/>
        </w:rPr>
        <w:t>2</w:t>
      </w:r>
      <w:r>
        <w:rPr>
          <w:rFonts w:ascii="宋体" w:hAnsi="宋体" w:cs="宋体" w:eastAsia="宋体" w:hint="default"/>
          <w:sz w:val="16"/>
          <w:szCs w:val="16"/>
        </w:rPr>
        <w:t>：本公司的固定资产使用情况良好</w:t>
      </w:r>
      <w:r>
        <w:rPr>
          <w:rFonts w:ascii="Times New Roman" w:hAnsi="Times New Roman" w:cs="Times New Roman" w:eastAsia="Times New Roman" w:hint="default"/>
          <w:sz w:val="16"/>
          <w:szCs w:val="16"/>
        </w:rPr>
        <w:t>,</w:t>
      </w:r>
      <w:r>
        <w:rPr>
          <w:rFonts w:ascii="宋体" w:hAnsi="宋体" w:cs="宋体" w:eastAsia="宋体" w:hint="default"/>
          <w:sz w:val="16"/>
          <w:szCs w:val="16"/>
        </w:rPr>
        <w:t>期末预计可收回价值高于其账面价值</w:t>
      </w:r>
      <w:r>
        <w:rPr>
          <w:rFonts w:ascii="Times New Roman" w:hAnsi="Times New Roman" w:cs="Times New Roman" w:eastAsia="Times New Roman" w:hint="default"/>
          <w:sz w:val="16"/>
          <w:szCs w:val="16"/>
        </w:rPr>
        <w:t>,</w:t>
      </w:r>
      <w:r>
        <w:rPr>
          <w:rFonts w:ascii="宋体" w:hAnsi="宋体" w:cs="宋体" w:eastAsia="宋体" w:hint="default"/>
          <w:sz w:val="16"/>
          <w:szCs w:val="16"/>
        </w:rPr>
        <w:t>本期不存在固定资产减值准备计提不足之情形。</w:t>
      </w:r>
    </w:p>
    <w:p>
      <w:pPr>
        <w:spacing w:after="0" w:line="338" w:lineRule="auto"/>
        <w:jc w:val="left"/>
        <w:rPr>
          <w:rFonts w:ascii="宋体" w:hAnsi="宋体" w:cs="宋体" w:eastAsia="宋体" w:hint="default"/>
          <w:sz w:val="16"/>
          <w:szCs w:val="16"/>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817"/>
        <w:jc w:val="left"/>
        <w:rPr>
          <w:b w:val="0"/>
          <w:bCs w:val="0"/>
        </w:rPr>
      </w:pPr>
      <w:bookmarkStart w:name="14、无形资产" w:id="278"/>
      <w:bookmarkEnd w:id="278"/>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无形资产情况" w:id="279"/>
      <w:bookmarkEnd w:id="27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游艇泊位</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其他特许权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27,627,034.81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42,223,819.29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2,393,494.00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42,833,073.76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115,077,421.86</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5,212,619.89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5,212,619.89</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5,212,619.89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5,212,619.89</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30,775,631.57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30,775,631.57</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30,775,631.57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30,775,631.57</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27,627,034.81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42,223,819.29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2,393,494.00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17,270,062.08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89,514,410.18</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5,304,578.56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14,220,887.66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372,321.60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12,775,168.45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32,672,956.27</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569,593.80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3,423,972.24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53,188.80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8,839,875.34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12,886,630.18</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569,593.80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3,423,972.24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53,188.80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8,839,875.34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12,886,630.18</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10,819,218.44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10,819,218.44</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10,819,218.44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10,819,218.44</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5,874,172.36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17,644,379.90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425,510.40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10,796,305.35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34,740,368.01</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1,166,029.72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2,152,860.41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3,318,890.13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2,628,752.93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2,628,752.93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2,628,752.93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2,628,752.93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1,166,029.72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4,781,613.34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5,947,643.06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21,752,862.45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23,413,409.67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1,967,983.60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1,692,143.40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48,826,399.11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22,322,456.25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26,836,901.91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2,021,172.40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27,905,044.90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79,085,575.46</w:t>
            </w:r>
          </w:p>
        </w:tc>
      </w:tr>
    </w:tbl>
    <w:p>
      <w:pPr>
        <w:pStyle w:val="BodyText"/>
        <w:spacing w:line="240" w:lineRule="auto" w:before="51"/>
        <w:ind w:right="817"/>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15、商誉" w:id="280"/>
      <w:bookmarkEnd w:id="280"/>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商誉账面原值" w:id="281"/>
      <w:bookmarkEnd w:id="28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7"/>
        <w:gridCol w:w="1712"/>
        <w:gridCol w:w="1418"/>
        <w:gridCol w:w="1276"/>
        <w:gridCol w:w="1134"/>
        <w:gridCol w:w="1257"/>
        <w:gridCol w:w="1367"/>
      </w:tblGrid>
      <w:tr>
        <w:trPr>
          <w:trHeight w:val="520" w:hRule="exact"/>
        </w:trPr>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73" w:right="6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7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0"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71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7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非同一控制下合 并北京至美形成 商誉</w:t>
            </w:r>
          </w:p>
        </w:tc>
        <w:tc>
          <w:tcPr>
            <w:tcW w:w="17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1,958,144.00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1,958,144.00</w:t>
            </w: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非同一控制下合 并北京联移形成 商誉</w:t>
            </w:r>
          </w:p>
        </w:tc>
        <w:tc>
          <w:tcPr>
            <w:tcW w:w="17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308,315.00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308,315.00</w:t>
            </w: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非同一控制下合 并上海超级形成 商誉</w:t>
            </w:r>
          </w:p>
        </w:tc>
        <w:tc>
          <w:tcPr>
            <w:tcW w:w="17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395,191.02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395,191.02</w:t>
            </w: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非同一控制下合 并微梦想形成商 誉</w:t>
            </w:r>
          </w:p>
        </w:tc>
        <w:tc>
          <w:tcPr>
            <w:tcW w:w="17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85,244,292.85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85,244,292.85</w:t>
            </w: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非同一控制下合 并畅元国讯形成 商誉</w:t>
            </w:r>
          </w:p>
        </w:tc>
        <w:tc>
          <w:tcPr>
            <w:tcW w:w="17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1,041,006,026.82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1,041,006,026.82</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w:t>
            </w:r>
          </w:p>
        </w:tc>
        <w:tc>
          <w:tcPr>
            <w:tcW w:w="17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2,685,623.92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2,685,623.92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07"/>
        <w:gridCol w:w="1712"/>
        <w:gridCol w:w="1418"/>
        <w:gridCol w:w="1276"/>
        <w:gridCol w:w="1134"/>
        <w:gridCol w:w="1257"/>
        <w:gridCol w:w="1367"/>
      </w:tblGrid>
      <w:tr>
        <w:trPr>
          <w:trHeight w:val="67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22" w:right="112"/>
              <w:jc w:val="left"/>
              <w:rPr>
                <w:rFonts w:ascii="宋体" w:hAnsi="宋体" w:cs="宋体" w:eastAsia="宋体" w:hint="default"/>
                <w:sz w:val="18"/>
                <w:szCs w:val="18"/>
              </w:rPr>
            </w:pPr>
            <w:r>
              <w:rPr>
                <w:rFonts w:ascii="宋体" w:hAnsi="宋体" w:cs="宋体" w:eastAsia="宋体" w:hint="default"/>
                <w:sz w:val="18"/>
                <w:szCs w:val="18"/>
              </w:rPr>
              <w:t>并华迪希艾形成 商誉</w:t>
            </w:r>
          </w:p>
        </w:tc>
        <w:tc>
          <w:tcPr>
            <w:tcW w:w="1712"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非同一控制下合 并成都博艾形成 商誉</w:t>
            </w:r>
          </w:p>
        </w:tc>
        <w:tc>
          <w:tcPr>
            <w:tcW w:w="171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143,813.31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143,813.31</w:t>
            </w: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非同一控制下合 并淘智惠形成商 誉</w:t>
            </w:r>
          </w:p>
        </w:tc>
        <w:tc>
          <w:tcPr>
            <w:tcW w:w="1712"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2,549,999.32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2,549,999.32</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1,131,741,406.92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2,549,999.32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1,134,291,406.24</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商誉减值准备" w:id="282"/>
      <w:bookmarkEnd w:id="28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520"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0"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非同一控制下合 并北京至美形成 商誉</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1,958,144.00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1,958,144.00</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非同一控制下合 并北京联移形成 商誉</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308,315.00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308,315.00</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非同一控制下合 并微梦想形成商 誉</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85,244,292.85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85,244,292.85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非同一控制下合 并畅元国讯形成 商誉</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302,976,568.89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302,976,568.89</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非同一控制下合 并成都博艾形成 商誉</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143,813.31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143,813.31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390,631,134.05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390,631,134.05</w:t>
            </w:r>
          </w:p>
        </w:tc>
      </w:tr>
    </w:tbl>
    <w:p>
      <w:pPr>
        <w:pStyle w:val="BodyText"/>
        <w:spacing w:line="240" w:lineRule="auto" w:before="51"/>
        <w:ind w:right="817"/>
        <w:jc w:val="left"/>
      </w:pPr>
      <w:r>
        <w:rPr/>
        <w:t>商誉所在资产组或资产组组合的相关信息</w:t>
      </w:r>
    </w:p>
    <w:p>
      <w:pPr>
        <w:spacing w:line="338" w:lineRule="auto" w:before="131"/>
        <w:ind w:left="154" w:right="1131" w:firstLine="320"/>
        <w:jc w:val="left"/>
        <w:rPr>
          <w:rFonts w:ascii="宋体" w:hAnsi="宋体" w:cs="宋体" w:eastAsia="宋体" w:hint="default"/>
          <w:sz w:val="16"/>
          <w:szCs w:val="16"/>
        </w:rPr>
      </w:pPr>
      <w:r>
        <w:rPr>
          <w:rFonts w:ascii="宋体" w:hAnsi="宋体" w:cs="宋体" w:eastAsia="宋体" w:hint="default"/>
          <w:spacing w:val="-1"/>
          <w:sz w:val="16"/>
          <w:szCs w:val="16"/>
        </w:rPr>
        <w:t>注</w:t>
      </w: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：上海超级为公司控股子公司，商誉值非常小，目前公司经营现金流情况稳定，经公司测试表明包含分摊商誉的资产组的可收回金</w:t>
      </w:r>
      <w:r>
        <w:rPr>
          <w:rFonts w:ascii="宋体" w:hAnsi="宋体" w:cs="宋体" w:eastAsia="宋体" w:hint="default"/>
          <w:w w:val="99"/>
          <w:sz w:val="16"/>
          <w:szCs w:val="16"/>
        </w:rPr>
        <w:t> </w:t>
      </w:r>
      <w:r>
        <w:rPr>
          <w:rFonts w:ascii="宋体" w:hAnsi="宋体" w:cs="宋体" w:eastAsia="宋体" w:hint="default"/>
          <w:sz w:val="16"/>
          <w:szCs w:val="16"/>
        </w:rPr>
        <w:t>额未低于其账面价值，故商誉不存在减值。</w:t>
      </w:r>
    </w:p>
    <w:p>
      <w:pPr>
        <w:spacing w:line="338" w:lineRule="auto" w:before="37"/>
        <w:ind w:left="154" w:right="1131" w:firstLine="320"/>
        <w:jc w:val="left"/>
        <w:rPr>
          <w:rFonts w:ascii="宋体" w:hAnsi="宋体" w:cs="宋体" w:eastAsia="宋体" w:hint="default"/>
          <w:sz w:val="16"/>
          <w:szCs w:val="16"/>
        </w:rPr>
      </w:pPr>
      <w:r>
        <w:rPr>
          <w:rFonts w:ascii="宋体" w:hAnsi="宋体" w:cs="宋体" w:eastAsia="宋体" w:hint="default"/>
          <w:spacing w:val="-1"/>
          <w:sz w:val="16"/>
          <w:szCs w:val="16"/>
        </w:rPr>
        <w:t>注</w:t>
      </w: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：华迪希艾为公司控股子公司，商誉值非常小，目前公司经营现金流情况稳定，经公司测试表明包含分摊商誉的资产组的可收回金</w:t>
      </w:r>
      <w:r>
        <w:rPr>
          <w:rFonts w:ascii="宋体" w:hAnsi="宋体" w:cs="宋体" w:eastAsia="宋体" w:hint="default"/>
          <w:w w:val="99"/>
          <w:sz w:val="16"/>
          <w:szCs w:val="16"/>
        </w:rPr>
        <w:t> </w:t>
      </w:r>
      <w:r>
        <w:rPr>
          <w:rFonts w:ascii="宋体" w:hAnsi="宋体" w:cs="宋体" w:eastAsia="宋体" w:hint="default"/>
          <w:sz w:val="16"/>
          <w:szCs w:val="16"/>
        </w:rPr>
        <w:t>额未低于其账面价值，故商誉不存在减值。</w:t>
      </w:r>
    </w:p>
    <w:p>
      <w:pPr>
        <w:spacing w:line="338" w:lineRule="auto" w:before="37"/>
        <w:ind w:left="154" w:right="1131" w:firstLine="320"/>
        <w:jc w:val="left"/>
        <w:rPr>
          <w:rFonts w:ascii="宋体" w:hAnsi="宋体" w:cs="宋体" w:eastAsia="宋体" w:hint="default"/>
          <w:sz w:val="16"/>
          <w:szCs w:val="16"/>
        </w:rPr>
      </w:pPr>
      <w:r>
        <w:rPr>
          <w:rFonts w:ascii="宋体" w:hAnsi="宋体" w:cs="宋体" w:eastAsia="宋体" w:hint="default"/>
          <w:spacing w:val="-1"/>
          <w:sz w:val="16"/>
          <w:szCs w:val="16"/>
        </w:rPr>
        <w:t>注</w:t>
      </w: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：淘智惠为公司控股子公司，商誉值非常小，目前公司经营现金流情况稳定，经公司测试表明包含分摊商誉的资产组的可收回金额</w:t>
      </w:r>
      <w:r>
        <w:rPr>
          <w:rFonts w:ascii="宋体" w:hAnsi="宋体" w:cs="宋体" w:eastAsia="宋体" w:hint="default"/>
          <w:w w:val="99"/>
          <w:sz w:val="16"/>
          <w:szCs w:val="16"/>
        </w:rPr>
        <w:t> </w:t>
      </w:r>
      <w:r>
        <w:rPr>
          <w:rFonts w:ascii="宋体" w:hAnsi="宋体" w:cs="宋体" w:eastAsia="宋体" w:hint="default"/>
          <w:sz w:val="16"/>
          <w:szCs w:val="16"/>
        </w:rPr>
        <w:t>未低于其账面价值，故商誉不存在减值。</w:t>
      </w:r>
    </w:p>
    <w:p>
      <w:pPr>
        <w:spacing w:after="0" w:line="338" w:lineRule="auto"/>
        <w:jc w:val="left"/>
        <w:rPr>
          <w:rFonts w:ascii="宋体" w:hAnsi="宋体" w:cs="宋体" w:eastAsia="宋体" w:hint="default"/>
          <w:sz w:val="16"/>
          <w:szCs w:val="16"/>
        </w:rPr>
        <w:sectPr>
          <w:pgSz w:w="11910" w:h="16840"/>
          <w:pgMar w:header="0" w:footer="979" w:top="1100" w:bottom="1160" w:left="980" w:right="0"/>
        </w:sectPr>
      </w:pPr>
    </w:p>
    <w:p>
      <w:pPr>
        <w:spacing w:line="240" w:lineRule="auto" w:before="13"/>
        <w:rPr>
          <w:rFonts w:ascii="宋体" w:hAnsi="宋体" w:cs="宋体" w:eastAsia="宋体" w:hint="default"/>
          <w:sz w:val="21"/>
          <w:szCs w:val="21"/>
        </w:rPr>
      </w:pPr>
    </w:p>
    <w:p>
      <w:pPr>
        <w:pStyle w:val="BodyText"/>
        <w:spacing w:line="316" w:lineRule="auto" w:before="44"/>
        <w:ind w:left="254" w:right="1032"/>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408" w:lineRule="auto" w:before="157"/>
        <w:ind w:left="254" w:right="1131" w:firstLine="360"/>
        <w:jc w:val="both"/>
      </w:pPr>
      <w:r>
        <w:rPr>
          <w:spacing w:val="-2"/>
        </w:rPr>
        <w:t>公司期末对与商誉相关的北京畅元国讯科技有限公司各资产组进行了减值测试，首先将该商誉及归属于少数股东权益的</w:t>
      </w:r>
      <w:r>
        <w:rPr/>
        <w:t> </w:t>
      </w:r>
      <w:r>
        <w:rPr>
          <w:spacing w:val="-5"/>
        </w:rPr>
        <w:t>商誉包括在内，调整各资产组的账面价值，然后将调整后的各资产组账面价值与其可收回金额进行比较，以确定各资产组（包</w:t>
      </w:r>
      <w:r>
        <w:rPr>
          <w:spacing w:val="-82"/>
        </w:rPr>
        <w:t> </w:t>
      </w:r>
      <w:r>
        <w:rPr>
          <w:spacing w:val="-82"/>
        </w:rPr>
      </w:r>
      <w:r>
        <w:rPr/>
        <w:t>括商誉）是否发生了减值。</w:t>
      </w:r>
    </w:p>
    <w:p>
      <w:pPr>
        <w:pStyle w:val="BodyText"/>
        <w:spacing w:line="240" w:lineRule="auto" w:before="38"/>
        <w:ind w:left="614" w:right="1032"/>
        <w:jc w:val="left"/>
      </w:pPr>
      <w:r>
        <w:rPr/>
        <w:t>（</w:t>
      </w:r>
      <w:r>
        <w:rPr>
          <w:rFonts w:ascii="宋体" w:hAnsi="宋体" w:cs="宋体" w:eastAsia="宋体" w:hint="default"/>
        </w:rPr>
        <w:t>1</w:t>
      </w:r>
      <w:r>
        <w:rPr/>
        <w:t>）商誉减值测试情况如下：</w:t>
      </w:r>
    </w:p>
    <w:p>
      <w:pPr>
        <w:spacing w:line="240" w:lineRule="auto" w:before="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5424"/>
        <w:gridCol w:w="4446"/>
      </w:tblGrid>
      <w:tr>
        <w:trPr>
          <w:trHeight w:val="419" w:hRule="exact"/>
        </w:trPr>
        <w:tc>
          <w:tcPr>
            <w:tcW w:w="54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left="1137" w:right="0"/>
              <w:jc w:val="left"/>
              <w:rPr>
                <w:rFonts w:ascii="宋体" w:hAnsi="宋体" w:cs="宋体" w:eastAsia="宋体" w:hint="default"/>
                <w:sz w:val="18"/>
                <w:szCs w:val="18"/>
              </w:rPr>
            </w:pPr>
            <w:r>
              <w:rPr>
                <w:rFonts w:ascii="宋体" w:hAnsi="宋体" w:cs="宋体" w:eastAsia="宋体" w:hint="default"/>
                <w:sz w:val="18"/>
                <w:szCs w:val="18"/>
              </w:rPr>
              <w:t>北京畅元国讯科技有限公司</w:t>
            </w:r>
          </w:p>
        </w:tc>
      </w:tr>
      <w:tr>
        <w:trPr>
          <w:trHeight w:val="41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未确认归属于少数股东权益的商誉账面余额①</w:t>
            </w:r>
          </w:p>
        </w:tc>
        <w:tc>
          <w:tcPr>
            <w:tcW w:w="4446"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包含归属于少数股东权益的商誉账面余额②</w:t>
            </w:r>
          </w:p>
        </w:tc>
        <w:tc>
          <w:tcPr>
            <w:tcW w:w="4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18"/>
                <w:szCs w:val="18"/>
              </w:rPr>
            </w:pPr>
            <w:r>
              <w:rPr>
                <w:rFonts w:ascii="宋体"/>
                <w:sz w:val="18"/>
              </w:rPr>
              <w:t>1,041,006,026.82</w:t>
            </w:r>
          </w:p>
        </w:tc>
      </w:tr>
      <w:tr>
        <w:trPr>
          <w:trHeight w:val="41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账面已提商誉减值准备余额③</w:t>
            </w:r>
          </w:p>
        </w:tc>
        <w:tc>
          <w:tcPr>
            <w:tcW w:w="4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8"/>
                <w:szCs w:val="18"/>
              </w:rPr>
            </w:pPr>
            <w:r>
              <w:rPr>
                <w:rFonts w:ascii="宋体"/>
                <w:sz w:val="18"/>
              </w:rPr>
              <w:t>302,976,568.89</w:t>
            </w:r>
          </w:p>
        </w:tc>
      </w:tr>
      <w:tr>
        <w:trPr>
          <w:trHeight w:val="41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包含归属于少数股东权益的商誉账面价值④</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z w:val="18"/>
                <w:szCs w:val="18"/>
              </w:rPr>
              <w:t>-</w:t>
            </w:r>
            <w:r>
              <w:rPr>
                <w:rFonts w:ascii="宋体" w:hAnsi="宋体" w:cs="宋体" w:eastAsia="宋体" w:hint="default"/>
                <w:sz w:val="18"/>
                <w:szCs w:val="18"/>
              </w:rPr>
              <w:t>③</w:t>
            </w:r>
          </w:p>
        </w:tc>
        <w:tc>
          <w:tcPr>
            <w:tcW w:w="4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18"/>
                <w:szCs w:val="18"/>
              </w:rPr>
            </w:pPr>
            <w:r>
              <w:rPr>
                <w:rFonts w:ascii="宋体"/>
                <w:sz w:val="18"/>
              </w:rPr>
              <w:t>738,029,457.93</w:t>
            </w:r>
          </w:p>
        </w:tc>
      </w:tr>
      <w:tr>
        <w:trPr>
          <w:trHeight w:val="409"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资产组的账面价值⑤</w:t>
            </w:r>
          </w:p>
        </w:tc>
        <w:tc>
          <w:tcPr>
            <w:tcW w:w="4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18"/>
                <w:szCs w:val="18"/>
              </w:rPr>
            </w:pPr>
            <w:r>
              <w:rPr>
                <w:rFonts w:ascii="宋体"/>
                <w:sz w:val="18"/>
              </w:rPr>
              <w:t>22,125,832.15</w:t>
            </w:r>
          </w:p>
        </w:tc>
      </w:tr>
      <w:tr>
        <w:trPr>
          <w:trHeight w:val="41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④</w:t>
            </w:r>
            <w:r>
              <w:rPr>
                <w:rFonts w:ascii="宋体" w:hAnsi="宋体" w:cs="宋体" w:eastAsia="宋体" w:hint="default"/>
                <w:sz w:val="18"/>
                <w:szCs w:val="18"/>
              </w:rPr>
              <w:t>+</w:t>
            </w:r>
            <w:r>
              <w:rPr>
                <w:rFonts w:ascii="宋体" w:hAnsi="宋体" w:cs="宋体" w:eastAsia="宋体" w:hint="default"/>
                <w:sz w:val="18"/>
                <w:szCs w:val="18"/>
              </w:rPr>
              <w:t>③</w:t>
            </w:r>
          </w:p>
        </w:tc>
        <w:tc>
          <w:tcPr>
            <w:tcW w:w="4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8"/>
                <w:szCs w:val="18"/>
              </w:rPr>
            </w:pPr>
            <w:r>
              <w:rPr>
                <w:rFonts w:ascii="宋体"/>
                <w:sz w:val="18"/>
              </w:rPr>
              <w:t>760,155,290.08</w:t>
            </w:r>
          </w:p>
        </w:tc>
      </w:tr>
      <w:tr>
        <w:trPr>
          <w:trHeight w:val="41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资产组预计未来现金流量现值（可收回金额）⑥</w:t>
            </w:r>
          </w:p>
        </w:tc>
        <w:tc>
          <w:tcPr>
            <w:tcW w:w="4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18"/>
                <w:szCs w:val="18"/>
              </w:rPr>
            </w:pPr>
            <w:r>
              <w:rPr>
                <w:rFonts w:ascii="宋体"/>
                <w:sz w:val="18"/>
              </w:rPr>
              <w:t>773,949,721.10</w:t>
            </w:r>
          </w:p>
        </w:tc>
      </w:tr>
      <w:tr>
        <w:trPr>
          <w:trHeight w:val="409"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4446"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5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归属于母公司商誉减值损失⑧</w:t>
            </w:r>
          </w:p>
        </w:tc>
        <w:tc>
          <w:tcPr>
            <w:tcW w:w="444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5"/>
          <w:szCs w:val="5"/>
        </w:rPr>
      </w:pPr>
    </w:p>
    <w:p>
      <w:pPr>
        <w:pStyle w:val="BodyText"/>
        <w:spacing w:line="240" w:lineRule="auto" w:before="44"/>
        <w:ind w:left="614" w:right="1032"/>
        <w:jc w:val="left"/>
      </w:pPr>
      <w:r>
        <w:rPr/>
        <w:t>（</w:t>
      </w:r>
      <w:r>
        <w:rPr>
          <w:rFonts w:ascii="宋体" w:hAnsi="宋体" w:cs="宋体" w:eastAsia="宋体" w:hint="default"/>
        </w:rPr>
        <w:t>2</w:t>
      </w:r>
      <w:r>
        <w:rPr/>
        <w:t>）商誉所在资产组或资产组组合的相关信息</w:t>
      </w:r>
    </w:p>
    <w:p>
      <w:pPr>
        <w:spacing w:line="240" w:lineRule="auto" w:before="7"/>
        <w:rPr>
          <w:rFonts w:ascii="宋体" w:hAnsi="宋体" w:cs="宋体" w:eastAsia="宋体" w:hint="default"/>
          <w:sz w:val="12"/>
          <w:szCs w:val="12"/>
        </w:rPr>
      </w:pPr>
    </w:p>
    <w:p>
      <w:pPr>
        <w:pStyle w:val="BodyText"/>
        <w:spacing w:line="408" w:lineRule="auto"/>
        <w:ind w:left="614" w:right="1032"/>
        <w:jc w:val="left"/>
      </w:pPr>
      <w:r>
        <w:rPr/>
        <w:t>（Ⅰ）商誉减值的资产组或资产组组合的构成情况 </w:t>
      </w:r>
      <w:r>
        <w:rPr>
          <w:spacing w:val="-2"/>
        </w:rPr>
        <w:t>北京畅元国讯科技有限公司资产组与购买日及以前年度商誉减值测试时所确定的资产组一致，范围包括组成资产组的固</w:t>
      </w:r>
    </w:p>
    <w:p>
      <w:pPr>
        <w:pStyle w:val="BodyText"/>
        <w:spacing w:line="240" w:lineRule="auto" w:before="38"/>
        <w:ind w:left="254" w:right="1032"/>
        <w:jc w:val="left"/>
      </w:pPr>
      <w:r>
        <w:rPr/>
        <w:t>定资产、无形资产及其他相关经营性资产。</w:t>
      </w:r>
    </w:p>
    <w:p>
      <w:pPr>
        <w:spacing w:line="240" w:lineRule="auto" w:before="7"/>
        <w:rPr>
          <w:rFonts w:ascii="宋体" w:hAnsi="宋体" w:cs="宋体" w:eastAsia="宋体" w:hint="default"/>
          <w:sz w:val="12"/>
          <w:szCs w:val="12"/>
        </w:rPr>
      </w:pPr>
    </w:p>
    <w:p>
      <w:pPr>
        <w:pStyle w:val="BodyText"/>
        <w:spacing w:line="408" w:lineRule="auto"/>
        <w:ind w:left="614" w:right="1115"/>
        <w:jc w:val="left"/>
        <w:rPr>
          <w:rFonts w:ascii="宋体" w:hAnsi="宋体" w:cs="宋体" w:eastAsia="宋体" w:hint="default"/>
        </w:rPr>
      </w:pPr>
      <w:r>
        <w:rPr/>
        <w:t>（Ⅱ）资产组预计未来现金流量现值（可收回金额）的评估结果 北京畅元国讯科技有限公司资产组预计未来现金流量现值（可收回金额）利用了中联资产评估集团有限公司</w:t>
      </w:r>
      <w:r>
        <w:rPr>
          <w:spacing w:val="-27"/>
        </w:rPr>
        <w:t> </w:t>
      </w:r>
      <w:r>
        <w:rPr>
          <w:rFonts w:ascii="宋体" w:hAnsi="宋体" w:cs="宋体" w:eastAsia="宋体" w:hint="default"/>
        </w:rPr>
        <w:t>2019</w:t>
      </w:r>
      <w:r>
        <w:rPr>
          <w:rFonts w:ascii="宋体" w:hAnsi="宋体" w:cs="宋体" w:eastAsia="宋体" w:hint="default"/>
          <w:spacing w:val="-28"/>
        </w:rPr>
        <w:t> </w:t>
      </w:r>
      <w:r>
        <w:rPr/>
        <w:t>年</w:t>
      </w:r>
      <w:r>
        <w:rPr>
          <w:spacing w:val="-28"/>
        </w:rPr>
        <w:t> </w:t>
      </w:r>
      <w:r>
        <w:rPr>
          <w:rFonts w:ascii="宋体" w:hAnsi="宋体" w:cs="宋体" w:eastAsia="宋体" w:hint="default"/>
        </w:rPr>
        <w:t>4</w:t>
      </w:r>
    </w:p>
    <w:p>
      <w:pPr>
        <w:pStyle w:val="BodyText"/>
        <w:spacing w:line="240" w:lineRule="auto" w:before="38"/>
        <w:ind w:left="254" w:right="1032"/>
        <w:jc w:val="left"/>
      </w:pPr>
      <w:r>
        <w:rPr/>
        <w:t>月</w:t>
      </w:r>
      <w:r>
        <w:rPr>
          <w:spacing w:val="-41"/>
        </w:rPr>
        <w:t> </w:t>
      </w:r>
      <w:r>
        <w:rPr>
          <w:rFonts w:ascii="宋体" w:hAnsi="宋体" w:cs="宋体" w:eastAsia="宋体" w:hint="default"/>
        </w:rPr>
        <w:t>29</w:t>
      </w:r>
      <w:r>
        <w:rPr>
          <w:rFonts w:ascii="宋体" w:hAnsi="宋体" w:cs="宋体" w:eastAsia="宋体" w:hint="default"/>
          <w:spacing w:val="-41"/>
        </w:rPr>
        <w:t> </w:t>
      </w:r>
      <w:r>
        <w:rPr/>
        <w:t>日出具的《厦门安妮股份有限公司拟对合并北京畅元国讯科技有限公司股权形成的商誉进行减值测试项目资产评估报</w:t>
      </w:r>
    </w:p>
    <w:p>
      <w:pPr>
        <w:spacing w:line="240" w:lineRule="auto" w:before="7"/>
        <w:rPr>
          <w:rFonts w:ascii="宋体" w:hAnsi="宋体" w:cs="宋体" w:eastAsia="宋体" w:hint="default"/>
          <w:sz w:val="12"/>
          <w:szCs w:val="12"/>
        </w:rPr>
      </w:pPr>
    </w:p>
    <w:p>
      <w:pPr>
        <w:pStyle w:val="BodyText"/>
        <w:spacing w:line="240" w:lineRule="auto"/>
        <w:ind w:left="254" w:right="1032"/>
        <w:jc w:val="left"/>
      </w:pPr>
      <w:r>
        <w:rPr/>
        <w:t>告》中联评报字【</w:t>
      </w:r>
      <w:r>
        <w:rPr>
          <w:rFonts w:ascii="宋体" w:hAnsi="宋体" w:cs="宋体" w:eastAsia="宋体" w:hint="default"/>
        </w:rPr>
        <w:t>2019</w:t>
      </w:r>
      <w:r>
        <w:rPr/>
        <w:t>】第</w:t>
      </w:r>
      <w:r>
        <w:rPr>
          <w:spacing w:val="-46"/>
        </w:rPr>
        <w:t> </w:t>
      </w:r>
      <w:r>
        <w:rPr>
          <w:rFonts w:ascii="宋体" w:hAnsi="宋体" w:cs="宋体" w:eastAsia="宋体" w:hint="default"/>
        </w:rPr>
        <w:t>605</w:t>
      </w:r>
      <w:r>
        <w:rPr>
          <w:rFonts w:ascii="宋体" w:hAnsi="宋体" w:cs="宋体" w:eastAsia="宋体" w:hint="default"/>
          <w:spacing w:val="-46"/>
        </w:rPr>
        <w:t> </w:t>
      </w:r>
      <w:r>
        <w:rPr/>
        <w:t>号的评估结果。</w:t>
      </w:r>
    </w:p>
    <w:p>
      <w:pPr>
        <w:spacing w:line="240" w:lineRule="auto" w:before="8"/>
        <w:rPr>
          <w:rFonts w:ascii="宋体" w:hAnsi="宋体" w:cs="宋体" w:eastAsia="宋体" w:hint="default"/>
          <w:sz w:val="12"/>
          <w:szCs w:val="12"/>
        </w:rPr>
      </w:pPr>
    </w:p>
    <w:p>
      <w:pPr>
        <w:pStyle w:val="BodyText"/>
        <w:spacing w:line="240" w:lineRule="auto"/>
        <w:ind w:left="614" w:right="1032"/>
        <w:jc w:val="left"/>
      </w:pPr>
      <w:r>
        <w:rPr/>
        <w:t>（</w:t>
      </w:r>
      <w:r>
        <w:rPr>
          <w:rFonts w:ascii="宋体" w:hAnsi="宋体" w:cs="宋体" w:eastAsia="宋体" w:hint="default"/>
        </w:rPr>
        <w:t>3</w:t>
      </w:r>
      <w:r>
        <w:rPr/>
        <w:t>）商誉减值测试过程、参数及商誉减值损失的确认方法</w:t>
      </w:r>
    </w:p>
    <w:p>
      <w:pPr>
        <w:spacing w:line="240" w:lineRule="auto" w:before="7"/>
        <w:rPr>
          <w:rFonts w:ascii="宋体" w:hAnsi="宋体" w:cs="宋体" w:eastAsia="宋体" w:hint="default"/>
          <w:sz w:val="12"/>
          <w:szCs w:val="12"/>
        </w:rPr>
      </w:pPr>
    </w:p>
    <w:p>
      <w:pPr>
        <w:pStyle w:val="BodyText"/>
        <w:spacing w:line="240" w:lineRule="auto"/>
        <w:ind w:left="614" w:right="1032"/>
        <w:jc w:val="left"/>
      </w:pPr>
      <w:r>
        <w:rPr/>
        <w:t>（Ⅰ）重要假设及依据</w:t>
      </w:r>
    </w:p>
    <w:p>
      <w:pPr>
        <w:spacing w:line="240" w:lineRule="auto" w:before="7"/>
        <w:rPr>
          <w:rFonts w:ascii="宋体" w:hAnsi="宋体" w:cs="宋体" w:eastAsia="宋体" w:hint="default"/>
          <w:sz w:val="12"/>
          <w:szCs w:val="12"/>
        </w:rPr>
      </w:pPr>
    </w:p>
    <w:p>
      <w:pPr>
        <w:pStyle w:val="BodyText"/>
        <w:spacing w:line="240" w:lineRule="auto"/>
        <w:ind w:left="614" w:right="1032"/>
        <w:jc w:val="left"/>
      </w:pPr>
      <w:r>
        <w:rPr/>
        <w:t>①假设国家现行的宏观经济、金融以及产业等政策不发生重大变化；</w:t>
      </w:r>
    </w:p>
    <w:p>
      <w:pPr>
        <w:spacing w:line="240" w:lineRule="auto" w:before="8"/>
        <w:rPr>
          <w:rFonts w:ascii="宋体" w:hAnsi="宋体" w:cs="宋体" w:eastAsia="宋体" w:hint="default"/>
          <w:sz w:val="12"/>
          <w:szCs w:val="12"/>
        </w:rPr>
      </w:pPr>
    </w:p>
    <w:p>
      <w:pPr>
        <w:pStyle w:val="BodyText"/>
        <w:spacing w:line="240" w:lineRule="auto"/>
        <w:ind w:left="614" w:right="1032"/>
        <w:jc w:val="left"/>
      </w:pPr>
      <w:r>
        <w:rPr/>
        <w:t>②假设含商誉资产组所处的社会经济环境以及所执行的税赋、税率等政策无重大变化；</w:t>
      </w:r>
    </w:p>
    <w:p>
      <w:pPr>
        <w:spacing w:line="240" w:lineRule="auto" w:before="7"/>
        <w:rPr>
          <w:rFonts w:ascii="宋体" w:hAnsi="宋体" w:cs="宋体" w:eastAsia="宋体" w:hint="default"/>
          <w:sz w:val="12"/>
          <w:szCs w:val="12"/>
        </w:rPr>
      </w:pPr>
    </w:p>
    <w:p>
      <w:pPr>
        <w:pStyle w:val="BodyText"/>
        <w:spacing w:line="240" w:lineRule="auto"/>
        <w:ind w:left="614" w:right="1032"/>
        <w:jc w:val="left"/>
      </w:pPr>
      <w:r>
        <w:rPr/>
        <w:t>③假设含商誉资产组涉及的主要经营管理团队具备管理及经营必要的知识及能力，合法合规经营，勤勉尽责；</w:t>
      </w:r>
    </w:p>
    <w:p>
      <w:pPr>
        <w:spacing w:line="240" w:lineRule="auto" w:before="7"/>
        <w:rPr>
          <w:rFonts w:ascii="宋体" w:hAnsi="宋体" w:cs="宋体" w:eastAsia="宋体" w:hint="default"/>
          <w:sz w:val="12"/>
          <w:szCs w:val="12"/>
        </w:rPr>
      </w:pPr>
    </w:p>
    <w:p>
      <w:pPr>
        <w:pStyle w:val="BodyText"/>
        <w:spacing w:line="408" w:lineRule="auto"/>
        <w:ind w:left="254" w:right="1132" w:firstLine="360"/>
        <w:jc w:val="both"/>
      </w:pPr>
      <w:r>
        <w:rPr/>
        <w:t>④假设含商誉资产组在未来经营期内涉及的主营业务、收入与成本的构成以及经营策略等仍保持其最近几年的状态持 </w:t>
      </w:r>
      <w:r>
        <w:rPr>
          <w:spacing w:val="-2"/>
        </w:rPr>
        <w:t>续，而不发生较大变化。不考虑未来可能由于委托人或含商誉资产组涉及的主要经营管理团队的经营管理策略变化以及商业</w:t>
      </w:r>
      <w:r>
        <w:rPr>
          <w:spacing w:val="-64"/>
        </w:rPr>
        <w:t> </w:t>
      </w:r>
      <w:r>
        <w:rPr>
          <w:spacing w:val="-64"/>
        </w:rPr>
      </w:r>
      <w:r>
        <w:rPr/>
        <w:t>环境变化等导致的主营业务状况的变化所带来的损益；</w:t>
      </w:r>
    </w:p>
    <w:p>
      <w:pPr>
        <w:pStyle w:val="BodyText"/>
        <w:spacing w:line="408" w:lineRule="auto" w:before="38"/>
        <w:ind w:left="254" w:right="1032" w:firstLine="360"/>
        <w:jc w:val="left"/>
      </w:pPr>
      <w:r>
        <w:rPr>
          <w:spacing w:val="-2"/>
        </w:rPr>
        <w:t>⑤在未来的经营期内，含商誉资产组所涉及的各项管理费用、管理费用不会在现有基础上发生大幅的变化，仍将保持其</w:t>
      </w:r>
      <w:r>
        <w:rPr/>
        <w:t> 最近几年的变化趋势持续；</w:t>
      </w:r>
    </w:p>
    <w:p>
      <w:pPr>
        <w:spacing w:after="0" w:line="408" w:lineRule="auto"/>
        <w:jc w:val="left"/>
        <w:sectPr>
          <w:pgSz w:w="11910" w:h="16840"/>
          <w:pgMar w:header="0" w:footer="979" w:top="1100" w:bottom="1160" w:left="880" w:right="0"/>
        </w:sectPr>
      </w:pPr>
    </w:p>
    <w:p>
      <w:pPr>
        <w:spacing w:line="240" w:lineRule="auto" w:before="7"/>
        <w:rPr>
          <w:rFonts w:ascii="宋体" w:hAnsi="宋体" w:cs="宋体" w:eastAsia="宋体" w:hint="default"/>
          <w:sz w:val="29"/>
          <w:szCs w:val="29"/>
        </w:rPr>
      </w:pPr>
    </w:p>
    <w:p>
      <w:pPr>
        <w:pStyle w:val="BodyText"/>
        <w:spacing w:line="240" w:lineRule="auto" w:before="44"/>
        <w:ind w:left="614" w:right="1032"/>
        <w:jc w:val="left"/>
      </w:pPr>
      <w:r>
        <w:rPr/>
        <w:t>⑥假设评估基准日后无其他人力不可抗拒因素及不可预见因素对企业造成重大不利影响。</w:t>
      </w:r>
    </w:p>
    <w:p>
      <w:pPr>
        <w:spacing w:line="240" w:lineRule="auto" w:before="7"/>
        <w:rPr>
          <w:rFonts w:ascii="宋体" w:hAnsi="宋体" w:cs="宋体" w:eastAsia="宋体" w:hint="default"/>
          <w:sz w:val="12"/>
          <w:szCs w:val="12"/>
        </w:rPr>
      </w:pPr>
    </w:p>
    <w:p>
      <w:pPr>
        <w:pStyle w:val="BodyText"/>
        <w:spacing w:line="240" w:lineRule="auto"/>
        <w:ind w:left="614" w:right="1032"/>
        <w:jc w:val="left"/>
      </w:pPr>
      <w:r>
        <w:rPr/>
        <w:t>（Ⅱ）关键参数</w:t>
      </w:r>
    </w:p>
    <w:p>
      <w:pPr>
        <w:spacing w:line="240" w:lineRule="auto" w:before="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992"/>
        <w:gridCol w:w="1130"/>
        <w:gridCol w:w="1132"/>
        <w:gridCol w:w="1130"/>
        <w:gridCol w:w="1132"/>
        <w:gridCol w:w="1902"/>
        <w:gridCol w:w="1451"/>
      </w:tblGrid>
      <w:tr>
        <w:trPr>
          <w:trHeight w:val="419" w:hRule="exact"/>
        </w:trPr>
        <w:tc>
          <w:tcPr>
            <w:tcW w:w="199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78" w:type="dxa"/>
            <w:gridSpan w:val="6"/>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left="352"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1210" w:hRule="exact"/>
        </w:trPr>
        <w:tc>
          <w:tcPr>
            <w:tcW w:w="1992" w:type="dxa"/>
            <w:vMerge/>
            <w:tcBorders>
              <w:left w:val="nil" w:sz="6" w:space="0" w:color="auto"/>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预测期</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408" w:lineRule="auto"/>
              <w:ind w:left="470" w:right="111" w:hanging="360"/>
              <w:jc w:val="left"/>
              <w:rPr>
                <w:rFonts w:ascii="宋体" w:hAnsi="宋体" w:cs="宋体" w:eastAsia="宋体" w:hint="default"/>
                <w:sz w:val="18"/>
                <w:szCs w:val="18"/>
              </w:rPr>
            </w:pPr>
            <w:r>
              <w:rPr>
                <w:rFonts w:ascii="宋体" w:hAnsi="宋体" w:cs="宋体" w:eastAsia="宋体" w:hint="default"/>
                <w:sz w:val="18"/>
                <w:szCs w:val="18"/>
              </w:rPr>
              <w:t>预测期增长 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稳定期</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408" w:lineRule="auto"/>
              <w:ind w:left="470" w:right="109" w:hanging="360"/>
              <w:jc w:val="left"/>
              <w:rPr>
                <w:rFonts w:ascii="宋体" w:hAnsi="宋体" w:cs="宋体" w:eastAsia="宋体" w:hint="default"/>
                <w:sz w:val="18"/>
                <w:szCs w:val="18"/>
              </w:rPr>
            </w:pPr>
            <w:r>
              <w:rPr>
                <w:rFonts w:ascii="宋体" w:hAnsi="宋体" w:cs="宋体" w:eastAsia="宋体" w:hint="default"/>
                <w:sz w:val="18"/>
                <w:szCs w:val="18"/>
              </w:rPr>
              <w:t>稳定期增长 率</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利润率</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5"/>
              <w:jc w:val="center"/>
              <w:rPr>
                <w:rFonts w:ascii="宋体" w:hAnsi="宋体" w:cs="宋体" w:eastAsia="宋体" w:hint="default"/>
                <w:sz w:val="18"/>
                <w:szCs w:val="18"/>
              </w:rPr>
            </w:pPr>
            <w:r>
              <w:rPr>
                <w:rFonts w:ascii="宋体" w:hAnsi="宋体" w:cs="宋体" w:eastAsia="宋体" w:hint="default"/>
                <w:spacing w:val="-4"/>
                <w:sz w:val="18"/>
                <w:szCs w:val="18"/>
              </w:rPr>
              <w:t>折现率（税前加</w:t>
            </w:r>
          </w:p>
          <w:p>
            <w:pPr>
              <w:pStyle w:val="TableParagraph"/>
              <w:spacing w:line="400" w:lineRule="atLeast" w:before="1"/>
              <w:ind w:left="178" w:right="185"/>
              <w:jc w:val="center"/>
              <w:rPr>
                <w:rFonts w:ascii="宋体" w:hAnsi="宋体" w:cs="宋体" w:eastAsia="宋体" w:hint="default"/>
                <w:sz w:val="18"/>
                <w:szCs w:val="18"/>
              </w:rPr>
            </w:pPr>
            <w:r>
              <w:rPr>
                <w:rFonts w:ascii="宋体" w:hAnsi="宋体" w:cs="宋体" w:eastAsia="宋体" w:hint="default"/>
                <w:sz w:val="18"/>
                <w:szCs w:val="18"/>
              </w:rPr>
              <w:t>权平均资本成 本）</w:t>
            </w:r>
          </w:p>
        </w:tc>
      </w:tr>
      <w:tr>
        <w:trPr>
          <w:trHeight w:val="820" w:hRule="exact"/>
        </w:trPr>
        <w:tc>
          <w:tcPr>
            <w:tcW w:w="1992" w:type="dxa"/>
            <w:tcBorders>
              <w:top w:val="single" w:sz="4" w:space="0" w:color="000000"/>
              <w:left w:val="nil" w:sz="6" w:space="0" w:color="auto"/>
              <w:bottom w:val="single" w:sz="12" w:space="0" w:color="000000"/>
              <w:right w:val="single" w:sz="4" w:space="0" w:color="000000"/>
            </w:tcBorders>
          </w:tcPr>
          <w:p>
            <w:pPr>
              <w:pStyle w:val="TableParagraph"/>
              <w:spacing w:line="400" w:lineRule="exact" w:before="1"/>
              <w:ind w:left="122" w:right="243"/>
              <w:jc w:val="left"/>
              <w:rPr>
                <w:rFonts w:ascii="宋体" w:hAnsi="宋体" w:cs="宋体" w:eastAsia="宋体" w:hint="default"/>
                <w:sz w:val="18"/>
                <w:szCs w:val="18"/>
              </w:rPr>
            </w:pPr>
            <w:r>
              <w:rPr>
                <w:rFonts w:ascii="宋体" w:hAnsi="宋体" w:cs="宋体" w:eastAsia="宋体" w:hint="default"/>
                <w:sz w:val="18"/>
                <w:szCs w:val="18"/>
              </w:rPr>
              <w:t>北京畅元国讯科技有 限公司</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2019-2023</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400" w:lineRule="exact" w:before="1"/>
              <w:ind w:left="469" w:right="176" w:hanging="292"/>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年以 后</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902" w:type="dxa"/>
            <w:tcBorders>
              <w:top w:val="single" w:sz="4" w:space="0" w:color="000000"/>
              <w:left w:val="single" w:sz="4" w:space="0" w:color="000000"/>
              <w:bottom w:val="single" w:sz="12" w:space="0" w:color="000000"/>
              <w:right w:val="single" w:sz="4" w:space="0" w:color="000000"/>
            </w:tcBorders>
          </w:tcPr>
          <w:p>
            <w:pPr>
              <w:pStyle w:val="TableParagraph"/>
              <w:spacing w:line="400" w:lineRule="exact" w:before="1"/>
              <w:ind w:left="314" w:right="136" w:hanging="180"/>
              <w:jc w:val="left"/>
              <w:rPr>
                <w:rFonts w:ascii="宋体" w:hAnsi="宋体" w:cs="宋体" w:eastAsia="宋体" w:hint="default"/>
                <w:sz w:val="18"/>
                <w:szCs w:val="18"/>
              </w:rPr>
            </w:pPr>
            <w:r>
              <w:rPr>
                <w:rFonts w:ascii="宋体" w:hAnsi="宋体" w:cs="宋体" w:eastAsia="宋体" w:hint="default"/>
                <w:sz w:val="18"/>
                <w:szCs w:val="18"/>
              </w:rPr>
              <w:t>根据预测的收入、成 本、费用等计算</w:t>
            </w:r>
          </w:p>
        </w:tc>
        <w:tc>
          <w:tcPr>
            <w:tcW w:w="14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48" w:right="0"/>
              <w:jc w:val="left"/>
              <w:rPr>
                <w:rFonts w:ascii="宋体" w:hAnsi="宋体" w:cs="宋体" w:eastAsia="宋体" w:hint="default"/>
                <w:sz w:val="18"/>
                <w:szCs w:val="18"/>
              </w:rPr>
            </w:pPr>
            <w:r>
              <w:rPr>
                <w:rFonts w:ascii="宋体"/>
                <w:sz w:val="18"/>
              </w:rPr>
              <w:t>14.38%</w:t>
            </w:r>
          </w:p>
        </w:tc>
      </w:tr>
    </w:tbl>
    <w:p>
      <w:pPr>
        <w:spacing w:line="240" w:lineRule="auto" w:before="0"/>
        <w:rPr>
          <w:rFonts w:ascii="宋体" w:hAnsi="宋体" w:cs="宋体" w:eastAsia="宋体" w:hint="default"/>
          <w:sz w:val="5"/>
          <w:szCs w:val="5"/>
        </w:rPr>
      </w:pPr>
    </w:p>
    <w:p>
      <w:pPr>
        <w:pStyle w:val="BodyText"/>
        <w:spacing w:line="408" w:lineRule="auto" w:before="44"/>
        <w:ind w:left="254" w:right="1130" w:firstLine="360"/>
        <w:jc w:val="both"/>
      </w:pPr>
      <w:r>
        <w:rPr/>
        <w:t>注</w:t>
      </w:r>
      <w:r>
        <w:rPr>
          <w:spacing w:val="-57"/>
        </w:rPr>
        <w:t> </w:t>
      </w:r>
      <w:r>
        <w:rPr>
          <w:rFonts w:ascii="宋体" w:hAnsi="宋体" w:cs="宋体" w:eastAsia="宋体" w:hint="default"/>
        </w:rPr>
        <w:t>1</w:t>
      </w:r>
      <w:r>
        <w:rPr/>
        <w:t>：根据北京畅元已经签订的合同、协议、发展规划、历年经营趋势等因素综合分析，对预测日未来</w:t>
      </w:r>
      <w:r>
        <w:rPr>
          <w:spacing w:val="-57"/>
        </w:rPr>
        <w:t> </w:t>
      </w:r>
      <w:r>
        <w:rPr>
          <w:rFonts w:ascii="宋体" w:hAnsi="宋体" w:cs="宋体" w:eastAsia="宋体" w:hint="default"/>
        </w:rPr>
        <w:t>5</w:t>
      </w:r>
      <w:r>
        <w:rPr>
          <w:rFonts w:ascii="宋体" w:hAnsi="宋体" w:cs="宋体" w:eastAsia="宋体" w:hint="default"/>
          <w:spacing w:val="-57"/>
        </w:rPr>
        <w:t> </w:t>
      </w:r>
      <w:r>
        <w:rPr/>
        <w:t>年的收入、成 本、费用等进行预测。根据公司</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rFonts w:ascii="宋体" w:hAnsi="宋体" w:cs="宋体" w:eastAsia="宋体" w:hint="default"/>
        </w:rPr>
        <w:t>2018</w:t>
      </w:r>
      <w:r>
        <w:rPr>
          <w:rFonts w:ascii="宋体" w:hAnsi="宋体" w:cs="宋体" w:eastAsia="宋体" w:hint="default"/>
          <w:spacing w:val="-46"/>
        </w:rPr>
        <w:t> </w:t>
      </w:r>
      <w:r>
        <w:rPr/>
        <w:t>年的经营数据，参考各类业务板块的营业收入结构，并基于</w:t>
      </w:r>
      <w:r>
        <w:rPr>
          <w:spacing w:val="-45"/>
        </w:rPr>
        <w:t> </w:t>
      </w:r>
      <w:r>
        <w:rPr>
          <w:rFonts w:ascii="宋体" w:hAnsi="宋体" w:cs="宋体" w:eastAsia="宋体" w:hint="default"/>
        </w:rPr>
        <w:t>2018</w:t>
      </w:r>
      <w:r>
        <w:rPr>
          <w:rFonts w:ascii="宋体" w:hAnsi="宋体" w:cs="宋体" w:eastAsia="宋体" w:hint="default"/>
          <w:spacing w:val="-45"/>
        </w:rPr>
        <w:t> </w:t>
      </w:r>
      <w:r>
        <w:rPr/>
        <w:t>年公司的 实际运营情况，北京畅元</w:t>
      </w:r>
      <w:r>
        <w:rPr>
          <w:spacing w:val="-44"/>
        </w:rPr>
        <w:t> </w:t>
      </w:r>
      <w:r>
        <w:rPr>
          <w:rFonts w:ascii="宋体" w:hAnsi="宋体" w:cs="宋体" w:eastAsia="宋体" w:hint="default"/>
        </w:rPr>
        <w:t>2019</w:t>
      </w:r>
      <w:r>
        <w:rPr>
          <w:rFonts w:ascii="宋体" w:hAnsi="宋体" w:cs="宋体" w:eastAsia="宋体" w:hint="default"/>
          <w:spacing w:val="-44"/>
        </w:rPr>
        <w:t> </w:t>
      </w:r>
      <w:r>
        <w:rPr/>
        <w:t>年至</w:t>
      </w:r>
      <w:r>
        <w:rPr>
          <w:spacing w:val="-44"/>
        </w:rPr>
        <w:t> </w:t>
      </w:r>
      <w:r>
        <w:rPr>
          <w:rFonts w:ascii="宋体" w:hAnsi="宋体" w:cs="宋体" w:eastAsia="宋体" w:hint="default"/>
        </w:rPr>
        <w:t>2023</w:t>
      </w:r>
      <w:r>
        <w:rPr>
          <w:rFonts w:ascii="宋体" w:hAnsi="宋体" w:cs="宋体" w:eastAsia="宋体" w:hint="default"/>
          <w:spacing w:val="-44"/>
        </w:rPr>
        <w:t> </w:t>
      </w:r>
      <w:r>
        <w:rPr/>
        <w:t>年预计营业收入增长率分别为</w:t>
      </w:r>
      <w:r>
        <w:rPr>
          <w:spacing w:val="-44"/>
        </w:rPr>
        <w:t> </w:t>
      </w:r>
      <w:r>
        <w:rPr>
          <w:rFonts w:ascii="宋体" w:hAnsi="宋体" w:cs="宋体" w:eastAsia="宋体" w:hint="default"/>
          <w:spacing w:val="-3"/>
        </w:rPr>
        <w:t>6.68%</w:t>
      </w:r>
      <w:r>
        <w:rPr>
          <w:spacing w:val="-3"/>
        </w:rPr>
        <w:t>、</w:t>
      </w:r>
      <w:r>
        <w:rPr>
          <w:rFonts w:ascii="宋体" w:hAnsi="宋体" w:cs="宋体" w:eastAsia="宋体" w:hint="default"/>
          <w:spacing w:val="-3"/>
        </w:rPr>
        <w:t>9.61%</w:t>
      </w:r>
      <w:r>
        <w:rPr>
          <w:spacing w:val="-3"/>
        </w:rPr>
        <w:t>、</w:t>
      </w:r>
      <w:r>
        <w:rPr>
          <w:rFonts w:ascii="宋体" w:hAnsi="宋体" w:cs="宋体" w:eastAsia="宋体" w:hint="default"/>
          <w:spacing w:val="-3"/>
        </w:rPr>
        <w:t>8.08%</w:t>
      </w:r>
      <w:r>
        <w:rPr>
          <w:spacing w:val="-3"/>
        </w:rPr>
        <w:t>、</w:t>
      </w:r>
      <w:r>
        <w:rPr>
          <w:rFonts w:ascii="宋体" w:hAnsi="宋体" w:cs="宋体" w:eastAsia="宋体" w:hint="default"/>
          <w:spacing w:val="-3"/>
        </w:rPr>
        <w:t>7.31%</w:t>
      </w:r>
      <w:r>
        <w:rPr>
          <w:spacing w:val="-3"/>
        </w:rPr>
        <w:t>、</w:t>
      </w:r>
      <w:r>
        <w:rPr>
          <w:rFonts w:ascii="宋体" w:hAnsi="宋体" w:cs="宋体" w:eastAsia="宋体" w:hint="default"/>
          <w:spacing w:val="-3"/>
        </w:rPr>
        <w:t>7.61%</w:t>
      </w:r>
      <w:r>
        <w:rPr>
          <w:spacing w:val="-3"/>
        </w:rPr>
        <w:t>，</w:t>
      </w:r>
      <w:r>
        <w:rPr>
          <w:rFonts w:ascii="宋体" w:hAnsi="宋体" w:cs="宋体" w:eastAsia="宋体" w:hint="default"/>
          <w:spacing w:val="-3"/>
        </w:rPr>
        <w:t>2023</w:t>
      </w:r>
      <w:r>
        <w:rPr>
          <w:rFonts w:ascii="宋体" w:hAnsi="宋体" w:cs="宋体" w:eastAsia="宋体" w:hint="default"/>
          <w:spacing w:val="-44"/>
        </w:rPr>
        <w:t> </w:t>
      </w:r>
      <w:r>
        <w:rPr/>
        <w:t>年度以 后各年营业收入稳定在</w:t>
      </w:r>
      <w:r>
        <w:rPr>
          <w:spacing w:val="-46"/>
        </w:rPr>
        <w:t> </w:t>
      </w:r>
      <w:r>
        <w:rPr>
          <w:rFonts w:ascii="宋体" w:hAnsi="宋体" w:cs="宋体" w:eastAsia="宋体" w:hint="default"/>
        </w:rPr>
        <w:t>2023</w:t>
      </w:r>
      <w:r>
        <w:rPr>
          <w:rFonts w:ascii="宋体" w:hAnsi="宋体" w:cs="宋体" w:eastAsia="宋体" w:hint="default"/>
          <w:spacing w:val="-45"/>
        </w:rPr>
        <w:t> </w:t>
      </w:r>
      <w:r>
        <w:rPr/>
        <w:t>年的水平。</w:t>
      </w:r>
    </w:p>
    <w:p>
      <w:pPr>
        <w:spacing w:line="240" w:lineRule="auto" w:before="5"/>
        <w:rPr>
          <w:rFonts w:ascii="宋体" w:hAnsi="宋体" w:cs="宋体" w:eastAsia="宋体" w:hint="default"/>
          <w:sz w:val="25"/>
          <w:szCs w:val="25"/>
        </w:rPr>
      </w:pPr>
    </w:p>
    <w:p>
      <w:pPr>
        <w:pStyle w:val="BodyText"/>
        <w:spacing w:line="547" w:lineRule="auto"/>
        <w:ind w:left="614" w:right="5352" w:hanging="360"/>
        <w:jc w:val="left"/>
      </w:pPr>
      <w:r>
        <w:rPr/>
        <w:pict>
          <v:shape style="position:absolute;margin-left:49.830002pt;margin-top:47.831718pt;width:495.75pt;height:118.6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9"/>
                    <w:gridCol w:w="3285"/>
                    <w:gridCol w:w="3286"/>
                  </w:tblGrid>
                  <w:tr>
                    <w:trPr>
                      <w:trHeight w:val="725"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考核期</w:t>
                        </w:r>
                      </w:p>
                    </w:tc>
                    <w:tc>
                      <w:tcPr>
                        <w:tcW w:w="32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承诺金额（万元）</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1"/>
                          <w:ind w:left="737" w:right="112" w:hanging="631"/>
                          <w:jc w:val="left"/>
                          <w:rPr>
                            <w:rFonts w:ascii="宋体" w:hAnsi="宋体" w:cs="宋体" w:eastAsia="宋体" w:hint="default"/>
                            <w:sz w:val="18"/>
                            <w:szCs w:val="18"/>
                          </w:rPr>
                        </w:pPr>
                        <w:r>
                          <w:rPr>
                            <w:rFonts w:ascii="宋体" w:hAnsi="宋体" w:cs="宋体" w:eastAsia="宋体" w:hint="default"/>
                            <w:sz w:val="18"/>
                            <w:szCs w:val="18"/>
                          </w:rPr>
                          <w:t>实现金额（扣除非经常性损益后的年度 税后净利润）（万元）</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7,600.00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Arial Narrow" w:hAnsi="Arial Narrow" w:cs="Arial Narrow" w:eastAsia="Arial Narrow" w:hint="default"/>
                            <w:sz w:val="18"/>
                            <w:szCs w:val="18"/>
                          </w:rPr>
                        </w:pPr>
                        <w:r>
                          <w:rPr>
                            <w:rFonts w:ascii="Arial Narrow"/>
                            <w:spacing w:val="-1"/>
                            <w:sz w:val="18"/>
                          </w:rPr>
                          <w:t>7,924.75</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10,000.00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Arial Narrow" w:hAnsi="Arial Narrow" w:cs="Arial Narrow" w:eastAsia="Arial Narrow" w:hint="default"/>
                            <w:sz w:val="18"/>
                            <w:szCs w:val="18"/>
                          </w:rPr>
                        </w:pPr>
                        <w:r>
                          <w:rPr>
                            <w:rFonts w:ascii="Arial Narrow"/>
                            <w:spacing w:val="-1"/>
                            <w:sz w:val="18"/>
                          </w:rPr>
                          <w:t>6,155.71</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13,000.00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Arial Narrow" w:hAnsi="Arial Narrow" w:cs="Arial Narrow" w:eastAsia="Arial Narrow" w:hint="default"/>
                            <w:sz w:val="18"/>
                            <w:szCs w:val="18"/>
                          </w:rPr>
                        </w:pPr>
                        <w:r>
                          <w:rPr>
                            <w:rFonts w:ascii="Arial Narrow"/>
                            <w:spacing w:val="-1"/>
                            <w:sz w:val="18"/>
                          </w:rPr>
                          <w:t>9,229.69</w:t>
                        </w:r>
                      </w:p>
                    </w:tc>
                  </w:tr>
                  <w:tr>
                    <w:trPr>
                      <w:trHeight w:val="412"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30,600.00</w:t>
                        </w:r>
                      </w:p>
                    </w:tc>
                    <w:tc>
                      <w:tcPr>
                        <w:tcW w:w="3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23,310.15</w:t>
                        </w:r>
                      </w:p>
                    </w:tc>
                  </w:tr>
                </w:tbl>
                <w:p>
                  <w:pPr/>
                </w:p>
              </w:txbxContent>
            </v:textbox>
            <w10:wrap type="none"/>
          </v:shape>
        </w:pict>
      </w:r>
      <w:r>
        <w:rPr/>
        <w:t>商誉减值测试的影响 公司收购北京畅元国讯科技有限公司股权，业绩承诺情况如下：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408" w:lineRule="auto" w:before="44"/>
        <w:ind w:left="254" w:right="1032" w:firstLine="360"/>
        <w:jc w:val="left"/>
      </w:pPr>
      <w:r>
        <w:rPr>
          <w:spacing w:val="-2"/>
        </w:rPr>
        <w:t>根据公司与杨超、雷建、毛智才、江勇、陈兆滨、鲁武英（以下简称“交易方”）签订的《发行股份及支付现金购买资</w:t>
      </w:r>
      <w:r>
        <w:rPr/>
        <w:t> 产协议》（以下简称“购买协议”），交易方承诺畅元国讯在</w:t>
      </w:r>
      <w:r>
        <w:rPr>
          <w:rFonts w:ascii="宋体" w:hAnsi="宋体" w:cs="宋体" w:eastAsia="宋体" w:hint="default"/>
        </w:rPr>
        <w:t>2016</w:t>
      </w:r>
      <w:r>
        <w:rPr/>
        <w:t>年、</w:t>
      </w:r>
      <w:r>
        <w:rPr>
          <w:rFonts w:ascii="宋体" w:hAnsi="宋体" w:cs="宋体" w:eastAsia="宋体" w:hint="default"/>
        </w:rPr>
        <w:t>2017</w:t>
      </w:r>
      <w:r>
        <w:rPr/>
        <w:t>年、</w:t>
      </w:r>
      <w:r>
        <w:rPr>
          <w:rFonts w:ascii="宋体" w:hAnsi="宋体" w:cs="宋体" w:eastAsia="宋体" w:hint="default"/>
        </w:rPr>
        <w:t>2018</w:t>
      </w:r>
      <w:r>
        <w:rPr/>
        <w:t>年实现的净利润分别不低于</w:t>
      </w:r>
      <w:r>
        <w:rPr>
          <w:rFonts w:ascii="宋体" w:hAnsi="宋体" w:cs="宋体" w:eastAsia="宋体" w:hint="default"/>
        </w:rPr>
        <w:t>7600</w:t>
      </w:r>
      <w:r>
        <w:rPr/>
        <w:t>万元、 </w:t>
      </w:r>
      <w:r>
        <w:rPr>
          <w:rFonts w:ascii="宋体" w:hAnsi="宋体" w:cs="宋体" w:eastAsia="宋体" w:hint="default"/>
        </w:rPr>
        <w:t>10000</w:t>
      </w:r>
      <w:r>
        <w:rPr/>
        <w:t>万元、</w:t>
      </w:r>
      <w:r>
        <w:rPr>
          <w:rFonts w:ascii="宋体" w:hAnsi="宋体" w:cs="宋体" w:eastAsia="宋体" w:hint="default"/>
        </w:rPr>
        <w:t>13000</w:t>
      </w:r>
      <w:r>
        <w:rPr/>
        <w:t>万元。畅元国讯</w:t>
      </w:r>
      <w:r>
        <w:rPr>
          <w:rFonts w:ascii="宋体" w:hAnsi="宋体" w:cs="宋体" w:eastAsia="宋体" w:hint="default"/>
        </w:rPr>
        <w:t>2016</w:t>
      </w:r>
      <w:r>
        <w:rPr/>
        <w:t>年实现净利润为</w:t>
      </w:r>
      <w:r>
        <w:rPr>
          <w:rFonts w:ascii="宋体" w:hAnsi="宋体" w:cs="宋体" w:eastAsia="宋体" w:hint="default"/>
        </w:rPr>
        <w:t>7924.75</w:t>
      </w:r>
      <w:r>
        <w:rPr/>
        <w:t>万元、未出现商誉减值迹象；畅元国讯</w:t>
      </w:r>
      <w:r>
        <w:rPr>
          <w:rFonts w:ascii="宋体" w:hAnsi="宋体" w:cs="宋体" w:eastAsia="宋体" w:hint="default"/>
        </w:rPr>
        <w:t>2017</w:t>
      </w:r>
      <w:r>
        <w:rPr/>
        <w:t>年实现净利润为</w:t>
      </w:r>
    </w:p>
    <w:p>
      <w:pPr>
        <w:pStyle w:val="BodyText"/>
        <w:spacing w:line="408" w:lineRule="auto" w:before="39"/>
        <w:ind w:left="254" w:right="1139"/>
        <w:jc w:val="both"/>
      </w:pPr>
      <w:r>
        <w:rPr>
          <w:rFonts w:ascii="宋体" w:hAnsi="宋体" w:cs="宋体" w:eastAsia="宋体" w:hint="default"/>
        </w:rPr>
        <w:t>6155.71</w:t>
      </w:r>
      <w:r>
        <w:rPr/>
        <w:t>万元、存在商誉减值，根据商誉减值测试结果、公司</w:t>
      </w:r>
      <w:r>
        <w:rPr>
          <w:rFonts w:ascii="宋体" w:hAnsi="宋体" w:cs="宋体" w:eastAsia="宋体" w:hint="default"/>
        </w:rPr>
        <w:t>2017</w:t>
      </w:r>
      <w:r>
        <w:rPr/>
        <w:t>年度计提畅元国讯商誉减值准备</w:t>
      </w:r>
      <w:r>
        <w:rPr>
          <w:rFonts w:ascii="宋体" w:hAnsi="宋体" w:cs="宋体" w:eastAsia="宋体" w:hint="default"/>
        </w:rPr>
        <w:t>302976568.89</w:t>
      </w:r>
      <w:r>
        <w:rPr/>
        <w:t>元；畅元国 讯</w:t>
      </w:r>
      <w:r>
        <w:rPr>
          <w:rFonts w:ascii="宋体" w:hAnsi="宋体" w:cs="宋体" w:eastAsia="宋体" w:hint="default"/>
        </w:rPr>
        <w:t>2018</w:t>
      </w:r>
      <w:r>
        <w:rPr/>
        <w:t>年实现净利润为</w:t>
      </w:r>
      <w:r>
        <w:rPr>
          <w:rFonts w:ascii="宋体" w:hAnsi="宋体" w:cs="宋体" w:eastAsia="宋体" w:hint="default"/>
        </w:rPr>
        <w:t>9229.69</w:t>
      </w:r>
      <w:r>
        <w:rPr/>
        <w:t>万元，根据商誉减值测试结果，</w:t>
      </w:r>
      <w:r>
        <w:rPr>
          <w:rFonts w:ascii="宋体" w:hAnsi="宋体" w:cs="宋体" w:eastAsia="宋体" w:hint="default"/>
        </w:rPr>
        <w:t>2018</w:t>
      </w:r>
      <w:r>
        <w:rPr/>
        <w:t>年度未商誉未发生减值迹象，公司</w:t>
      </w:r>
      <w:r>
        <w:rPr>
          <w:rFonts w:ascii="宋体" w:hAnsi="宋体" w:cs="宋体" w:eastAsia="宋体" w:hint="default"/>
        </w:rPr>
        <w:t>2018</w:t>
      </w:r>
      <w:r>
        <w:rPr/>
        <w:t>年度未计提商誉 减值准备。</w:t>
      </w:r>
    </w:p>
    <w:p>
      <w:pPr>
        <w:spacing w:line="240" w:lineRule="auto" w:before="5"/>
        <w:rPr>
          <w:rFonts w:ascii="宋体" w:hAnsi="宋体" w:cs="宋体" w:eastAsia="宋体" w:hint="default"/>
          <w:sz w:val="25"/>
          <w:szCs w:val="25"/>
        </w:rPr>
      </w:pPr>
    </w:p>
    <w:p>
      <w:pPr>
        <w:pStyle w:val="BodyText"/>
        <w:spacing w:line="240" w:lineRule="auto"/>
        <w:ind w:left="254" w:right="0"/>
        <w:jc w:val="both"/>
      </w:pPr>
      <w:r>
        <w:rPr/>
        <w:t>其他说明</w:t>
      </w:r>
    </w:p>
    <w:p>
      <w:pPr>
        <w:spacing w:line="240" w:lineRule="auto" w:before="11"/>
        <w:rPr>
          <w:rFonts w:ascii="宋体" w:hAnsi="宋体" w:cs="宋体" w:eastAsia="宋体" w:hint="default"/>
          <w:sz w:val="26"/>
          <w:szCs w:val="26"/>
        </w:rPr>
      </w:pPr>
    </w:p>
    <w:p>
      <w:pPr>
        <w:pStyle w:val="Heading4"/>
        <w:spacing w:line="240" w:lineRule="auto"/>
        <w:ind w:left="254" w:right="0"/>
        <w:jc w:val="both"/>
        <w:rPr>
          <w:b w:val="0"/>
          <w:bCs w:val="0"/>
        </w:rPr>
      </w:pPr>
      <w:bookmarkStart w:name="16、长期待摊费用" w:id="283"/>
      <w:bookmarkEnd w:id="283"/>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5,822,536.19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365,427.19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3,617,473.03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2,570,490.35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8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发票防伪系统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115,306.20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35,138.52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80,167.68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1,327,266.07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625,647.65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701,618.42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7,265,108.46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365,427.19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4,278,259.20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3,352,276.45</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17、递延所得税资产/递延所得税负债" w:id="284"/>
      <w:bookmarkEnd w:id="284"/>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未经抵销的递延所得税资产" w:id="285"/>
      <w:bookmarkEnd w:id="28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2,084,474.63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9,158,229.52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1,264,648.31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8,137,972.92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171,922.25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687,689.01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207,609.31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830,437.23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1,293,910.59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210,094.59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840,378.36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2,579,874.53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11,139,829.12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1,682,352.21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9,808,788.51</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未经抵销的递延所得税负债" w:id="286"/>
      <w:bookmarkEnd w:id="28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33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指定为以公允价值计量 且其变动计入当期损益 的金融资产公允价值变 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176,013.89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704,055.56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145,172.55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580,690.16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176,013.89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704,055.56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145,172.55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580,690.16</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3）以抵销后净额列示的递延所得税资产或负债" w:id="287"/>
      <w:bookmarkEnd w:id="28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2,579,874.53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1,682,352.21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176,013.89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145,172.55</w:t>
            </w:r>
          </w:p>
        </w:tc>
      </w:tr>
    </w:tbl>
    <w:p>
      <w:pPr>
        <w:spacing w:line="240" w:lineRule="auto" w:before="3"/>
        <w:rPr>
          <w:rFonts w:ascii="宋体" w:hAnsi="宋体" w:cs="宋体" w:eastAsia="宋体" w:hint="default"/>
          <w:sz w:val="19"/>
          <w:szCs w:val="19"/>
        </w:rPr>
      </w:pPr>
    </w:p>
    <w:p>
      <w:pPr>
        <w:pStyle w:val="Heading4"/>
        <w:spacing w:line="240" w:lineRule="auto" w:before="35"/>
        <w:ind w:right="817"/>
        <w:jc w:val="left"/>
        <w:rPr>
          <w:b w:val="0"/>
          <w:bCs w:val="0"/>
        </w:rPr>
      </w:pPr>
      <w:bookmarkStart w:name="（4）未确认递延所得税资产明细" w:id="288"/>
      <w:bookmarkEnd w:id="28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2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468,631,476.46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429,249,071.69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201,462,329.05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192,907,875.92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670,093,805.51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622,156,947.61</w:t>
            </w:r>
          </w:p>
        </w:tc>
      </w:tr>
    </w:tbl>
    <w:p>
      <w:pPr>
        <w:spacing w:line="240" w:lineRule="auto" w:before="2"/>
        <w:rPr>
          <w:rFonts w:ascii="宋体" w:hAnsi="宋体" w:cs="宋体" w:eastAsia="宋体" w:hint="default"/>
          <w:sz w:val="19"/>
          <w:szCs w:val="19"/>
        </w:rPr>
      </w:pPr>
    </w:p>
    <w:p>
      <w:pPr>
        <w:pStyle w:val="Heading4"/>
        <w:spacing w:line="240" w:lineRule="auto" w:before="35"/>
        <w:ind w:left="254" w:right="1032"/>
        <w:jc w:val="left"/>
        <w:rPr>
          <w:b w:val="0"/>
          <w:bCs w:val="0"/>
        </w:rPr>
      </w:pPr>
      <w:bookmarkStart w:name="18、其他非流动资产" w:id="289"/>
      <w:bookmarkEnd w:id="289"/>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161,587.33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黑石号沉船文物一批（</w:t>
            </w:r>
            <w:r>
              <w:rPr>
                <w:rFonts w:ascii="Times New Roman" w:hAnsi="Times New Roman" w:cs="Times New Roman" w:eastAsia="Times New Roman" w:hint="default"/>
                <w:sz w:val="18"/>
                <w:szCs w:val="18"/>
              </w:rPr>
              <w:t>189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件）</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4,514,185.00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4,675,772.33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54" w:right="103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254" w:right="1032"/>
        <w:jc w:val="left"/>
        <w:rPr>
          <w:b w:val="0"/>
          <w:bCs w:val="0"/>
        </w:rPr>
      </w:pPr>
      <w:bookmarkStart w:name="19、短期借款" w:id="290"/>
      <w:bookmarkEnd w:id="290"/>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1032"/>
        <w:jc w:val="left"/>
        <w:rPr>
          <w:b w:val="0"/>
          <w:bCs w:val="0"/>
        </w:rPr>
      </w:pPr>
      <w:bookmarkStart w:name="（1）短期借款分类" w:id="291"/>
      <w:bookmarkEnd w:id="29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BodyText"/>
        <w:spacing w:line="240" w:lineRule="auto" w:before="51"/>
        <w:ind w:left="254" w:right="1032"/>
        <w:jc w:val="left"/>
      </w:pPr>
      <w:r>
        <w:rPr/>
        <w:t>短期借款分类的说明：</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662"/>
        <w:gridCol w:w="1647"/>
        <w:gridCol w:w="1520"/>
        <w:gridCol w:w="1522"/>
        <w:gridCol w:w="1519"/>
      </w:tblGrid>
      <w:tr>
        <w:trPr>
          <w:trHeight w:val="359" w:hRule="exact"/>
        </w:trPr>
        <w:tc>
          <w:tcPr>
            <w:tcW w:w="36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6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5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95"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借款开始日</w:t>
            </w:r>
          </w:p>
        </w:tc>
        <w:tc>
          <w:tcPr>
            <w:tcW w:w="15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402"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厦门银行股份有限公司海沧支行</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20,000,000.00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27"/>
              <w:jc w:val="right"/>
              <w:rPr>
                <w:rFonts w:ascii="Arial Narrow" w:hAnsi="Arial Narrow" w:cs="Arial Narrow" w:eastAsia="Arial Narrow" w:hint="default"/>
                <w:sz w:val="18"/>
                <w:szCs w:val="18"/>
              </w:rPr>
            </w:pPr>
            <w:r>
              <w:rPr>
                <w:rFonts w:ascii="Arial Narrow"/>
                <w:spacing w:val="-1"/>
                <w:sz w:val="18"/>
              </w:rPr>
              <w:t>2018/5/25</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25" w:right="0"/>
              <w:jc w:val="left"/>
              <w:rPr>
                <w:rFonts w:ascii="Arial Narrow" w:hAnsi="Arial Narrow" w:cs="Arial Narrow" w:eastAsia="Arial Narrow" w:hint="default"/>
                <w:sz w:val="18"/>
                <w:szCs w:val="18"/>
              </w:rPr>
            </w:pPr>
            <w:r>
              <w:rPr>
                <w:rFonts w:ascii="Arial Narrow"/>
                <w:sz w:val="18"/>
              </w:rPr>
              <w:t>2019/5/25</w:t>
            </w:r>
          </w:p>
        </w:tc>
      </w:tr>
      <w:tr>
        <w:trPr>
          <w:trHeight w:val="402"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厦门银行股份有限公司海沧支行</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10,000,000.00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27"/>
              <w:jc w:val="right"/>
              <w:rPr>
                <w:rFonts w:ascii="Arial Narrow" w:hAnsi="Arial Narrow" w:cs="Arial Narrow" w:eastAsia="Arial Narrow" w:hint="default"/>
                <w:sz w:val="18"/>
                <w:szCs w:val="18"/>
              </w:rPr>
            </w:pPr>
            <w:r>
              <w:rPr>
                <w:rFonts w:ascii="Arial Narrow"/>
                <w:spacing w:val="-1"/>
                <w:sz w:val="18"/>
              </w:rPr>
              <w:t>2018/1/19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25" w:right="0"/>
              <w:jc w:val="left"/>
              <w:rPr>
                <w:rFonts w:ascii="Arial Narrow" w:hAnsi="Arial Narrow" w:cs="Arial Narrow" w:eastAsia="Arial Narrow" w:hint="default"/>
                <w:sz w:val="18"/>
                <w:szCs w:val="18"/>
              </w:rPr>
            </w:pPr>
            <w:r>
              <w:rPr>
                <w:rFonts w:ascii="Arial Narrow"/>
                <w:sz w:val="18"/>
              </w:rPr>
              <w:t>2019/1/19</w:t>
            </w:r>
          </w:p>
        </w:tc>
      </w:tr>
      <w:tr>
        <w:trPr>
          <w:trHeight w:val="402"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厦门银行股份有限公司海沧支行</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20,000,000.00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27"/>
              <w:jc w:val="right"/>
              <w:rPr>
                <w:rFonts w:ascii="Arial Narrow" w:hAnsi="Arial Narrow" w:cs="Arial Narrow" w:eastAsia="Arial Narrow" w:hint="default"/>
                <w:sz w:val="18"/>
                <w:szCs w:val="18"/>
              </w:rPr>
            </w:pPr>
            <w:r>
              <w:rPr>
                <w:rFonts w:ascii="Arial Narrow"/>
                <w:spacing w:val="-1"/>
                <w:sz w:val="18"/>
              </w:rPr>
              <w:t>2018/9/14</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25" w:right="0"/>
              <w:jc w:val="left"/>
              <w:rPr>
                <w:rFonts w:ascii="Arial Narrow" w:hAnsi="Arial Narrow" w:cs="Arial Narrow" w:eastAsia="Arial Narrow" w:hint="default"/>
                <w:sz w:val="18"/>
                <w:szCs w:val="18"/>
              </w:rPr>
            </w:pPr>
            <w:r>
              <w:rPr>
                <w:rFonts w:ascii="Arial Narrow"/>
                <w:sz w:val="18"/>
              </w:rPr>
              <w:t>2019/9/14</w:t>
            </w:r>
          </w:p>
        </w:tc>
      </w:tr>
      <w:tr>
        <w:trPr>
          <w:trHeight w:val="402"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厦门银行股份有限公司海沧支行</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10,000,000.00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8" w:right="0"/>
              <w:jc w:val="left"/>
              <w:rPr>
                <w:rFonts w:ascii="Arial Narrow" w:hAnsi="Arial Narrow" w:cs="Arial Narrow" w:eastAsia="Arial Narrow" w:hint="default"/>
                <w:sz w:val="18"/>
                <w:szCs w:val="18"/>
              </w:rPr>
            </w:pPr>
            <w:r>
              <w:rPr>
                <w:rFonts w:ascii="Arial Narrow"/>
                <w:sz w:val="18"/>
              </w:rPr>
              <w:t>2018/8/2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66" w:right="0"/>
              <w:jc w:val="left"/>
              <w:rPr>
                <w:rFonts w:ascii="Arial Narrow" w:hAnsi="Arial Narrow" w:cs="Arial Narrow" w:eastAsia="Arial Narrow" w:hint="default"/>
                <w:sz w:val="18"/>
                <w:szCs w:val="18"/>
              </w:rPr>
            </w:pPr>
            <w:r>
              <w:rPr>
                <w:rFonts w:ascii="Arial Narrow"/>
                <w:sz w:val="18"/>
              </w:rPr>
              <w:t>2019/8/2</w:t>
            </w:r>
          </w:p>
        </w:tc>
      </w:tr>
      <w:tr>
        <w:trPr>
          <w:trHeight w:val="402"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兴业银行股份有限公司厦门湖里支行</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20,000,000.00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2"/>
              <w:jc w:val="right"/>
              <w:rPr>
                <w:rFonts w:ascii="Arial Narrow" w:hAnsi="Arial Narrow" w:cs="Arial Narrow" w:eastAsia="Arial Narrow" w:hint="default"/>
                <w:sz w:val="18"/>
                <w:szCs w:val="18"/>
              </w:rPr>
            </w:pPr>
            <w:r>
              <w:rPr>
                <w:rFonts w:ascii="Arial Narrow"/>
                <w:spacing w:val="-2"/>
                <w:sz w:val="18"/>
              </w:rPr>
              <w:t>2018/7/11</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25" w:right="0"/>
              <w:jc w:val="left"/>
              <w:rPr>
                <w:rFonts w:ascii="Arial Narrow" w:hAnsi="Arial Narrow" w:cs="Arial Narrow" w:eastAsia="Arial Narrow" w:hint="default"/>
                <w:sz w:val="18"/>
                <w:szCs w:val="18"/>
              </w:rPr>
            </w:pPr>
            <w:r>
              <w:rPr>
                <w:rFonts w:ascii="Arial Narrow"/>
                <w:sz w:val="18"/>
              </w:rPr>
              <w:t>2019/7/10</w:t>
            </w:r>
          </w:p>
        </w:tc>
      </w:tr>
      <w:tr>
        <w:trPr>
          <w:trHeight w:val="402"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兴业银行股份有限公司厦门湖里支行</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20,000,000.00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85"/>
              <w:jc w:val="right"/>
              <w:rPr>
                <w:rFonts w:ascii="Arial Narrow" w:hAnsi="Arial Narrow" w:cs="Arial Narrow" w:eastAsia="Arial Narrow" w:hint="default"/>
                <w:sz w:val="18"/>
                <w:szCs w:val="18"/>
              </w:rPr>
            </w:pPr>
            <w:r>
              <w:rPr>
                <w:rFonts w:ascii="Arial Narrow"/>
                <w:spacing w:val="-1"/>
                <w:sz w:val="18"/>
              </w:rPr>
              <w:t>2018/12/14</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85" w:right="0"/>
              <w:jc w:val="left"/>
              <w:rPr>
                <w:rFonts w:ascii="Arial Narrow" w:hAnsi="Arial Narrow" w:cs="Arial Narrow" w:eastAsia="Arial Narrow" w:hint="default"/>
                <w:sz w:val="18"/>
                <w:szCs w:val="18"/>
              </w:rPr>
            </w:pPr>
            <w:r>
              <w:rPr>
                <w:rFonts w:ascii="Arial Narrow"/>
                <w:sz w:val="18"/>
              </w:rPr>
              <w:t>2019/12/13</w:t>
            </w:r>
          </w:p>
        </w:tc>
      </w:tr>
      <w:tr>
        <w:trPr>
          <w:trHeight w:val="413" w:hRule="exact"/>
        </w:trPr>
        <w:tc>
          <w:tcPr>
            <w:tcW w:w="36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100,000,000.00</w:t>
            </w:r>
          </w:p>
        </w:tc>
        <w:tc>
          <w:tcPr>
            <w:tcW w:w="1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361" w:right="0"/>
              <w:jc w:val="center"/>
              <w:rPr>
                <w:rFonts w:ascii="Arial Narrow" w:hAnsi="Arial Narrow" w:cs="Arial Narrow" w:eastAsia="Arial Narrow" w:hint="default"/>
                <w:sz w:val="18"/>
                <w:szCs w:val="18"/>
              </w:rPr>
            </w:pPr>
            <w:r>
              <w:rPr>
                <w:rFonts w:ascii="Arial Narrow"/>
                <w:sz w:val="18"/>
              </w:rPr>
              <w:t>--</w:t>
            </w:r>
          </w:p>
        </w:tc>
        <w:tc>
          <w:tcPr>
            <w:tcW w:w="15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360" w:right="0"/>
              <w:jc w:val="center"/>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left="355" w:right="0"/>
              <w:jc w:val="center"/>
              <w:rPr>
                <w:rFonts w:ascii="Arial Narrow" w:hAnsi="Arial Narrow" w:cs="Arial Narrow" w:eastAsia="Arial Narrow" w:hint="default"/>
                <w:sz w:val="18"/>
                <w:szCs w:val="18"/>
              </w:rPr>
            </w:pPr>
            <w:r>
              <w:rPr>
                <w:rFonts w:ascii="Arial Narrow"/>
                <w:sz w:val="18"/>
              </w:rPr>
              <w:t>--</w:t>
            </w:r>
          </w:p>
        </w:tc>
      </w:tr>
    </w:tbl>
    <w:p>
      <w:pPr>
        <w:spacing w:line="240" w:lineRule="auto" w:before="7"/>
        <w:rPr>
          <w:rFonts w:ascii="宋体" w:hAnsi="宋体" w:cs="宋体" w:eastAsia="宋体" w:hint="default"/>
          <w:sz w:val="23"/>
          <w:szCs w:val="23"/>
        </w:rPr>
      </w:pPr>
    </w:p>
    <w:p>
      <w:pPr>
        <w:pStyle w:val="BodyText"/>
        <w:spacing w:line="240" w:lineRule="auto" w:before="44"/>
        <w:ind w:left="617" w:right="1032"/>
        <w:jc w:val="left"/>
      </w:pPr>
      <w:r>
        <w:rPr/>
        <w:t>续上表：</w:t>
      </w:r>
    </w:p>
    <w:p>
      <w:pPr>
        <w:spacing w:line="240" w:lineRule="auto" w:before="1"/>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99"/>
        <w:gridCol w:w="3285"/>
        <w:gridCol w:w="3286"/>
      </w:tblGrid>
      <w:tr>
        <w:trPr>
          <w:trHeight w:val="370" w:hRule="exact"/>
        </w:trPr>
        <w:tc>
          <w:tcPr>
            <w:tcW w:w="329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3"/>
              <w:ind w:left="846" w:right="0"/>
              <w:jc w:val="left"/>
              <w:rPr>
                <w:rFonts w:ascii="宋体" w:hAnsi="宋体" w:cs="宋体" w:eastAsia="宋体" w:hint="default"/>
                <w:sz w:val="18"/>
                <w:szCs w:val="18"/>
              </w:rPr>
            </w:pPr>
            <w:r>
              <w:rPr>
                <w:rFonts w:ascii="宋体" w:hAnsi="宋体" w:cs="宋体" w:eastAsia="宋体" w:hint="default"/>
                <w:sz w:val="18"/>
                <w:szCs w:val="18"/>
              </w:rPr>
              <w:t>担保或抵押合同编号</w:t>
            </w:r>
          </w:p>
        </w:tc>
        <w:tc>
          <w:tcPr>
            <w:tcW w:w="328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综合授信合同</w:t>
            </w:r>
          </w:p>
        </w:tc>
        <w:tc>
          <w:tcPr>
            <w:tcW w:w="328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担保或抵押人</w:t>
            </w:r>
          </w:p>
        </w:tc>
      </w:tr>
    </w:tbl>
    <w:p>
      <w:pPr>
        <w:spacing w:after="0" w:line="240" w:lineRule="auto"/>
        <w:jc w:val="center"/>
        <w:rPr>
          <w:rFonts w:ascii="宋体" w:hAnsi="宋体" w:cs="宋体" w:eastAsia="宋体" w:hint="default"/>
          <w:sz w:val="18"/>
          <w:szCs w:val="18"/>
        </w:rPr>
        <w:sectPr>
          <w:pgSz w:w="11910" w:h="16840"/>
          <w:pgMar w:header="0" w:footer="979" w:top="1100" w:bottom="1160" w:left="880" w:right="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299"/>
        <w:gridCol w:w="3285"/>
        <w:gridCol w:w="3286"/>
      </w:tblGrid>
      <w:tr>
        <w:trPr>
          <w:trHeight w:val="359"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846" w:right="0"/>
              <w:jc w:val="left"/>
              <w:rPr>
                <w:rFonts w:ascii="宋体" w:hAnsi="宋体" w:cs="宋体" w:eastAsia="宋体" w:hint="default"/>
                <w:sz w:val="18"/>
                <w:szCs w:val="18"/>
              </w:rPr>
            </w:pPr>
            <w:r>
              <w:rPr>
                <w:rFonts w:ascii="宋体" w:hAnsi="宋体" w:cs="宋体" w:eastAsia="宋体" w:hint="default"/>
                <w:sz w:val="18"/>
                <w:szCs w:val="18"/>
              </w:rPr>
              <w:t>担保或抵押合同编号</w:t>
            </w:r>
          </w:p>
        </w:tc>
        <w:tc>
          <w:tcPr>
            <w:tcW w:w="32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综合授信合同</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担保或抵押人</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GSHT2016110627</w:t>
            </w:r>
            <w:r>
              <w:rPr>
                <w:rFonts w:ascii="Arial Narrow" w:hAnsi="Arial Narrow" w:cs="Arial Narrow" w:eastAsia="Arial Narrow" w:hint="default"/>
                <w:spacing w:val="-2"/>
                <w:sz w:val="18"/>
                <w:szCs w:val="18"/>
              </w:rPr>
              <w:t> </w:t>
            </w:r>
            <w:r>
              <w:rPr>
                <w:rFonts w:ascii="宋体" w:hAnsi="宋体" w:cs="宋体" w:eastAsia="宋体" w:hint="default"/>
                <w:sz w:val="18"/>
                <w:szCs w:val="18"/>
              </w:rPr>
              <w:t>授权</w:t>
            </w:r>
            <w:r>
              <w:rPr>
                <w:rFonts w:ascii="宋体" w:hAnsi="宋体" w:cs="宋体" w:eastAsia="宋体" w:hint="default"/>
                <w:spacing w:val="-51"/>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4"/>
                <w:sz w:val="18"/>
                <w:szCs w:val="18"/>
              </w:rPr>
              <w:t> </w:t>
            </w:r>
            <w:r>
              <w:rPr>
                <w:rFonts w:ascii="宋体" w:hAnsi="宋体" w:cs="宋体" w:eastAsia="宋体" w:hint="default"/>
                <w:sz w:val="18"/>
                <w:szCs w:val="18"/>
              </w:rPr>
              <w:t>保</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GSHT2016110627 </w:t>
            </w:r>
            <w:r>
              <w:rPr>
                <w:rFonts w:ascii="宋体" w:hAnsi="宋体" w:cs="宋体" w:eastAsia="宋体" w:hint="default"/>
                <w:sz w:val="18"/>
                <w:szCs w:val="18"/>
              </w:rPr>
              <w:t>授权</w:t>
            </w:r>
            <w:r>
              <w:rPr>
                <w:rFonts w:ascii="宋体" w:hAnsi="宋体" w:cs="宋体" w:eastAsia="宋体" w:hint="default"/>
                <w:spacing w:val="-57"/>
                <w:sz w:val="18"/>
                <w:szCs w:val="18"/>
              </w:rPr>
              <w:t> </w:t>
            </w:r>
            <w:r>
              <w:rPr>
                <w:rFonts w:ascii="Arial Narrow" w:hAnsi="Arial Narrow" w:cs="Arial Narrow" w:eastAsia="Arial Narrow" w:hint="default"/>
                <w:sz w:val="18"/>
                <w:szCs w:val="18"/>
              </w:rPr>
              <w:t>6</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厦门安妮股份有限公司</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Arial Narrow" w:hAnsi="Arial Narrow" w:cs="Arial Narrow" w:eastAsia="Arial Narrow" w:hint="default"/>
                <w:sz w:val="18"/>
                <w:szCs w:val="18"/>
              </w:rPr>
            </w:pPr>
            <w:r>
              <w:rPr>
                <w:rFonts w:ascii="Arial Narrow"/>
                <w:sz w:val="18"/>
              </w:rPr>
              <w:t>--</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GSHT2016110627 </w:t>
            </w:r>
            <w:r>
              <w:rPr>
                <w:rFonts w:ascii="宋体" w:hAnsi="宋体" w:cs="宋体" w:eastAsia="宋体" w:hint="default"/>
                <w:sz w:val="18"/>
                <w:szCs w:val="18"/>
              </w:rPr>
              <w:t>授权</w:t>
            </w:r>
            <w:r>
              <w:rPr>
                <w:rFonts w:ascii="宋体" w:hAnsi="宋体" w:cs="宋体" w:eastAsia="宋体" w:hint="default"/>
                <w:spacing w:val="-57"/>
                <w:sz w:val="18"/>
                <w:szCs w:val="18"/>
              </w:rPr>
              <w:t> </w:t>
            </w:r>
            <w:r>
              <w:rPr>
                <w:rFonts w:ascii="Arial Narrow" w:hAnsi="Arial Narrow" w:cs="Arial Narrow" w:eastAsia="Arial Narrow" w:hint="default"/>
                <w:sz w:val="18"/>
                <w:szCs w:val="18"/>
              </w:rPr>
              <w:t>1</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63" w:right="0"/>
              <w:jc w:val="left"/>
              <w:rPr>
                <w:rFonts w:ascii="Arial Narrow" w:hAnsi="Arial Narrow" w:cs="Arial Narrow" w:eastAsia="Arial Narrow" w:hint="default"/>
                <w:sz w:val="18"/>
                <w:szCs w:val="18"/>
              </w:rPr>
            </w:pPr>
            <w:r>
              <w:rPr>
                <w:rFonts w:ascii="Arial Narrow"/>
                <w:sz w:val="18"/>
              </w:rPr>
              <w:t>--</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Arial Narrow" w:hAnsi="Arial Narrow" w:cs="Arial Narrow" w:eastAsia="Arial Narrow" w:hint="default"/>
                <w:sz w:val="18"/>
                <w:szCs w:val="18"/>
              </w:rPr>
            </w:pPr>
            <w:r>
              <w:rPr>
                <w:rFonts w:ascii="Arial Narrow"/>
                <w:sz w:val="18"/>
              </w:rPr>
              <w:t>--</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GSHT2016110627 </w:t>
            </w:r>
            <w:r>
              <w:rPr>
                <w:rFonts w:ascii="宋体" w:hAnsi="宋体" w:cs="宋体" w:eastAsia="宋体" w:hint="default"/>
                <w:sz w:val="18"/>
                <w:szCs w:val="18"/>
              </w:rPr>
              <w:t>授权</w:t>
            </w:r>
            <w:r>
              <w:rPr>
                <w:rFonts w:ascii="宋体" w:hAnsi="宋体" w:cs="宋体" w:eastAsia="宋体" w:hint="default"/>
                <w:spacing w:val="-57"/>
                <w:sz w:val="18"/>
                <w:szCs w:val="18"/>
              </w:rPr>
              <w:t> </w:t>
            </w:r>
            <w:r>
              <w:rPr>
                <w:rFonts w:ascii="Arial Narrow" w:hAnsi="Arial Narrow" w:cs="Arial Narrow" w:eastAsia="Arial Narrow" w:hint="default"/>
                <w:sz w:val="18"/>
                <w:szCs w:val="18"/>
              </w:rPr>
              <w:t>1</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63" w:right="0"/>
              <w:jc w:val="left"/>
              <w:rPr>
                <w:rFonts w:ascii="Arial Narrow" w:hAnsi="Arial Narrow" w:cs="Arial Narrow" w:eastAsia="Arial Narrow" w:hint="default"/>
                <w:sz w:val="18"/>
                <w:szCs w:val="18"/>
              </w:rPr>
            </w:pPr>
            <w:r>
              <w:rPr>
                <w:rFonts w:ascii="Arial Narrow"/>
                <w:sz w:val="18"/>
              </w:rPr>
              <w:t>--</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GSHT2016110627</w:t>
            </w:r>
            <w:r>
              <w:rPr>
                <w:rFonts w:ascii="Arial Narrow" w:hAnsi="Arial Narrow" w:cs="Arial Narrow" w:eastAsia="Arial Narrow" w:hint="default"/>
                <w:spacing w:val="-2"/>
                <w:sz w:val="18"/>
                <w:szCs w:val="18"/>
              </w:rPr>
              <w:t> </w:t>
            </w:r>
            <w:r>
              <w:rPr>
                <w:rFonts w:ascii="宋体" w:hAnsi="宋体" w:cs="宋体" w:eastAsia="宋体" w:hint="default"/>
                <w:sz w:val="18"/>
                <w:szCs w:val="18"/>
              </w:rPr>
              <w:t>授</w:t>
            </w:r>
            <w:r>
              <w:rPr>
                <w:rFonts w:ascii="宋体" w:hAnsi="宋体" w:cs="宋体" w:eastAsia="宋体" w:hint="default"/>
                <w:spacing w:val="-51"/>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保</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GSHT2016110627 </w:t>
            </w:r>
            <w:r>
              <w:rPr>
                <w:rFonts w:ascii="宋体" w:hAnsi="宋体" w:cs="宋体" w:eastAsia="宋体" w:hint="default"/>
                <w:sz w:val="18"/>
                <w:szCs w:val="18"/>
              </w:rPr>
              <w:t>授</w:t>
            </w:r>
            <w:r>
              <w:rPr>
                <w:rFonts w:ascii="宋体" w:hAnsi="宋体" w:cs="宋体" w:eastAsia="宋体" w:hint="default"/>
                <w:spacing w:val="-57"/>
                <w:sz w:val="18"/>
                <w:szCs w:val="18"/>
              </w:rPr>
              <w:t> </w:t>
            </w:r>
            <w:r>
              <w:rPr>
                <w:rFonts w:ascii="Arial Narrow" w:hAnsi="Arial Narrow" w:cs="Arial Narrow" w:eastAsia="Arial Narrow" w:hint="default"/>
                <w:sz w:val="18"/>
                <w:szCs w:val="18"/>
              </w:rPr>
              <w:t>2</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厦门安妮股份有限公司</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兴银厦湖业额保字</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2017303</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兴银厦湖业额字</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2017303</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厦门安妮股份有限公司</w:t>
            </w:r>
          </w:p>
        </w:tc>
      </w:tr>
      <w:tr>
        <w:trPr>
          <w:trHeight w:val="412"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兴银厦湖业额保字</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2018310</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3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兴银厦湖业额字</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2018310</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3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厦门安妮股份有限公司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254" w:right="1032"/>
        <w:jc w:val="left"/>
        <w:rPr>
          <w:b w:val="0"/>
          <w:bCs w:val="0"/>
        </w:rPr>
      </w:pPr>
      <w:bookmarkStart w:name="20、应付票据及应付账款" w:id="292"/>
      <w:bookmarkEnd w:id="292"/>
      <w:r>
        <w:rPr>
          <w:b w:val="0"/>
          <w:bCs w:val="0"/>
        </w:rPr>
      </w:r>
      <w:r>
        <w:rPr>
          <w:rFonts w:ascii="Times New Roman" w:hAnsi="Times New Roman" w:cs="Times New Roman" w:eastAsia="Times New Roman" w:hint="default"/>
        </w:rPr>
        <w:t>20</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49,568,333.48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34,916,807.73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66,908,556.22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70,224,980.62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116,476,889.70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105,141,788.35</w:t>
            </w:r>
          </w:p>
        </w:tc>
      </w:tr>
    </w:tbl>
    <w:p>
      <w:pPr>
        <w:spacing w:line="240" w:lineRule="auto" w:before="2"/>
        <w:rPr>
          <w:rFonts w:ascii="宋体" w:hAnsi="宋体" w:cs="宋体" w:eastAsia="宋体" w:hint="default"/>
          <w:sz w:val="19"/>
          <w:szCs w:val="19"/>
        </w:rPr>
      </w:pPr>
    </w:p>
    <w:p>
      <w:pPr>
        <w:pStyle w:val="Heading4"/>
        <w:spacing w:line="240" w:lineRule="auto" w:before="35"/>
        <w:ind w:left="254" w:right="1032"/>
        <w:jc w:val="left"/>
        <w:rPr>
          <w:b w:val="0"/>
          <w:bCs w:val="0"/>
        </w:rPr>
      </w:pPr>
      <w:bookmarkStart w:name="（1）应付票据分类列示" w:id="293"/>
      <w:bookmarkEnd w:id="293"/>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34,568,333.48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34,916,807.73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49,568,333.48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34,916,807.73</w:t>
            </w:r>
          </w:p>
        </w:tc>
      </w:tr>
    </w:tbl>
    <w:p>
      <w:pPr>
        <w:spacing w:line="240" w:lineRule="auto" w:before="2"/>
        <w:rPr>
          <w:rFonts w:ascii="宋体" w:hAnsi="宋体" w:cs="宋体" w:eastAsia="宋体" w:hint="default"/>
          <w:sz w:val="19"/>
          <w:szCs w:val="19"/>
        </w:rPr>
      </w:pPr>
    </w:p>
    <w:p>
      <w:pPr>
        <w:pStyle w:val="Heading4"/>
        <w:spacing w:line="240" w:lineRule="auto" w:before="35"/>
        <w:ind w:left="254" w:right="1032"/>
        <w:jc w:val="left"/>
        <w:rPr>
          <w:b w:val="0"/>
          <w:bCs w:val="0"/>
        </w:rPr>
      </w:pPr>
      <w:bookmarkStart w:name="（2）应付账款列示" w:id="294"/>
      <w:bookmarkEnd w:id="294"/>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61,279,174.95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60,404,897.81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5,179,774.41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8,860,583.93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103,156.95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250,646.14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346,449.91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708,852.74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66,908,556.22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70,224,980.62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880" w:right="0"/>
        </w:sectPr>
      </w:pPr>
    </w:p>
    <w:p>
      <w:pPr>
        <w:spacing w:line="240" w:lineRule="auto" w:before="10"/>
        <w:rPr>
          <w:rFonts w:ascii="宋体" w:hAnsi="宋体" w:cs="宋体" w:eastAsia="宋体" w:hint="default"/>
          <w:sz w:val="20"/>
          <w:szCs w:val="20"/>
        </w:rPr>
      </w:pPr>
    </w:p>
    <w:p>
      <w:pPr>
        <w:pStyle w:val="Heading4"/>
        <w:spacing w:line="240" w:lineRule="auto" w:before="35"/>
        <w:ind w:right="817"/>
        <w:jc w:val="left"/>
        <w:rPr>
          <w:b w:val="0"/>
          <w:bCs w:val="0"/>
        </w:rPr>
      </w:pPr>
      <w:bookmarkStart w:name="21、预收款项" w:id="295"/>
      <w:bookmarkEnd w:id="295"/>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预收款项列示" w:id="296"/>
      <w:bookmarkEnd w:id="29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18,979,822.46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26,423,102.97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4,570,654.40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377,217.34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18,436.75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17,722.38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24,090.14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101,419.28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23,593,003.75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26,919,461.97</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2、应付职工薪酬" w:id="297"/>
      <w:bookmarkEnd w:id="297"/>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应付职工薪酬列示" w:id="298"/>
      <w:bookmarkEnd w:id="29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10,738,075.52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83,566,334.30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83,226,005.34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11,078,404.48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391,766.83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5,720,251.49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5,680,981.76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431,036.55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1,077,321.36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620,471.36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456,850.00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11,129,842.35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90,363,907.15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89,527,458.46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11,966,291.03</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短期薪酬列示" w:id="299"/>
      <w:bookmarkEnd w:id="29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6"/>
        <w:gridCol w:w="1572"/>
        <w:gridCol w:w="1914"/>
        <w:gridCol w:w="1914"/>
        <w:gridCol w:w="1914"/>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、工资、奖金、津贴和补贴</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10,132,692.39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73,815,677.95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73,220,439.54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10,727,930.80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3,002,391.49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3,018,891.49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214,144.48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3,372,625.87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3,352,531.55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234,238.80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193,868.60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2,994,981.90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2,980,085.49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208,765.01</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104,755.86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10,953.27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14,594.90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267,615.83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267,690.21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14,520.52</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15,279.60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2,815,785.80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2,830,135.40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930.00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359,459.05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559,853.19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804,007.36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115,304.88</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10,738,075.52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83,566,334.30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83,226,005.34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11,078,404.48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817"/>
        <w:jc w:val="left"/>
        <w:rPr>
          <w:b w:val="0"/>
          <w:bCs w:val="0"/>
        </w:rPr>
      </w:pPr>
      <w:bookmarkStart w:name="（3）设定提存计划列示" w:id="300"/>
      <w:bookmarkEnd w:id="30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378,635.34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5,500,125.58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5,473,470.66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405,290.26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13,131.49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220,125.91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207,511.10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25,746.29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391,766.83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5,720,251.49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5,680,981.76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431,036.55</w:t>
            </w:r>
          </w:p>
        </w:tc>
      </w:tr>
    </w:tbl>
    <w:p>
      <w:pPr>
        <w:pStyle w:val="BodyText"/>
        <w:spacing w:line="240" w:lineRule="auto" w:before="51"/>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23、应交税费" w:id="301"/>
      <w:bookmarkEnd w:id="301"/>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11,696,957.63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13,547,527.97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152,937.29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280,567.50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449,418.20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509,333.86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170,724.86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467,484.62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103,507.97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179,274.16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101,936.34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100,683.02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教育附件税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119,530.45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331,552.87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72,790.85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415,434.92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12,867,803.59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15,831,858.92</w:t>
            </w:r>
          </w:p>
        </w:tc>
      </w:tr>
    </w:tbl>
    <w:p>
      <w:pPr>
        <w:pStyle w:val="BodyText"/>
        <w:spacing w:line="240" w:lineRule="auto" w:before="51"/>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24、其他应付款" w:id="302"/>
      <w:bookmarkEnd w:id="302"/>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70,808.34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49,484,702.66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80,799,370.68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49,555,511.00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80,799,370.68</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1）应付利息" w:id="303"/>
      <w:bookmarkEnd w:id="30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70,808.34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234" w:right="6432"/>
        <w:jc w:val="left"/>
        <w:rPr>
          <w:b w:val="0"/>
          <w:bCs w:val="0"/>
        </w:rPr>
      </w:pPr>
      <w:bookmarkStart w:name="（2）其他应付款" w:id="304"/>
      <w:bookmarkEnd w:id="304"/>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234" w:right="6432"/>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2,133,630.93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1,556,130.63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10,426,739.21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60,144,172.00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34,830,016.11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16,671,796.84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2,094,316.41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2,427,271.21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49,484,702.66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80,799,370.68</w:t>
            </w:r>
          </w:p>
        </w:tc>
      </w:tr>
    </w:tbl>
    <w:p>
      <w:pPr>
        <w:spacing w:line="240" w:lineRule="auto" w:before="2"/>
        <w:rPr>
          <w:rFonts w:ascii="宋体" w:hAnsi="宋体" w:cs="宋体" w:eastAsia="宋体" w:hint="default"/>
          <w:sz w:val="19"/>
          <w:szCs w:val="19"/>
        </w:rPr>
      </w:pPr>
    </w:p>
    <w:p>
      <w:pPr>
        <w:pStyle w:val="Heading4"/>
        <w:spacing w:line="240" w:lineRule="auto" w:before="35"/>
        <w:ind w:left="234" w:right="6432"/>
        <w:jc w:val="left"/>
        <w:rPr>
          <w:b w:val="0"/>
          <w:bCs w:val="0"/>
        </w:rPr>
      </w:pPr>
      <w:bookmarkStart w:name="25、一年内到期的非流动负债" w:id="305"/>
      <w:bookmarkEnd w:id="305"/>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34" w:right="643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234" w:right="6432"/>
        <w:jc w:val="left"/>
        <w:rPr>
          <w:b w:val="0"/>
          <w:bCs w:val="0"/>
        </w:rPr>
      </w:pPr>
      <w:bookmarkStart w:name="26、其他流动负债" w:id="306"/>
      <w:bookmarkEnd w:id="306"/>
      <w:r>
        <w:rPr>
          <w:b w:val="0"/>
          <w:bCs w:val="0"/>
        </w:rPr>
      </w:r>
      <w:r>
        <w:rPr>
          <w:rFonts w:ascii="Times New Roman" w:hAnsi="Times New Roman" w:cs="Times New Roman" w:eastAsia="Times New Roman" w:hint="default"/>
        </w:rPr>
        <w:t>26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加工费、租金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20,766.64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运费、维修费及其他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3,777,680.90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2,638,014.18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3,789,680.90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2,658,780.82</w:t>
            </w:r>
          </w:p>
        </w:tc>
      </w:tr>
    </w:tbl>
    <w:p>
      <w:pPr>
        <w:spacing w:line="240" w:lineRule="auto" w:before="2"/>
        <w:rPr>
          <w:rFonts w:ascii="宋体" w:hAnsi="宋体" w:cs="宋体" w:eastAsia="宋体" w:hint="default"/>
          <w:sz w:val="19"/>
          <w:szCs w:val="19"/>
        </w:rPr>
      </w:pPr>
    </w:p>
    <w:p>
      <w:pPr>
        <w:pStyle w:val="Heading4"/>
        <w:spacing w:line="240" w:lineRule="auto" w:before="35"/>
        <w:ind w:left="234" w:right="6432"/>
        <w:jc w:val="left"/>
        <w:rPr>
          <w:b w:val="0"/>
          <w:bCs w:val="0"/>
        </w:rPr>
      </w:pPr>
      <w:bookmarkStart w:name="27、长期借款" w:id="307"/>
      <w:bookmarkEnd w:id="307"/>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34" w:right="6432"/>
        <w:jc w:val="left"/>
        <w:rPr>
          <w:b w:val="0"/>
          <w:bCs w:val="0"/>
        </w:rPr>
      </w:pPr>
      <w:bookmarkStart w:name="（1）长期借款分类" w:id="308"/>
      <w:bookmarkEnd w:id="30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34" w:right="6432"/>
        <w:jc w:val="left"/>
      </w:pPr>
      <w:r>
        <w:rPr/>
        <w:t>长期借款分类的说明：</w:t>
      </w:r>
    </w:p>
    <w:p>
      <w:pPr>
        <w:spacing w:line="240" w:lineRule="auto" w:before="13"/>
        <w:rPr>
          <w:rFonts w:ascii="宋体" w:hAnsi="宋体" w:cs="宋体" w:eastAsia="宋体" w:hint="default"/>
          <w:sz w:val="12"/>
          <w:szCs w:val="12"/>
        </w:rPr>
      </w:pPr>
    </w:p>
    <w:p>
      <w:pPr>
        <w:pStyle w:val="Heading5"/>
        <w:spacing w:line="240" w:lineRule="auto" w:before="0"/>
        <w:ind w:left="657" w:right="6432"/>
        <w:jc w:val="left"/>
      </w:pPr>
      <w:r>
        <w:rPr>
          <w:rFonts w:ascii="Times New Roman" w:hAnsi="Times New Roman" w:cs="Times New Roman" w:eastAsia="Times New Roman" w:hint="default"/>
        </w:rPr>
        <w:t>2</w:t>
      </w:r>
      <w:r>
        <w:rPr/>
        <w:t>、长期借款明细</w:t>
      </w:r>
    </w:p>
    <w:p>
      <w:pPr>
        <w:spacing w:line="240" w:lineRule="auto" w:before="12"/>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183"/>
        <w:gridCol w:w="1672"/>
        <w:gridCol w:w="1670"/>
        <w:gridCol w:w="1672"/>
        <w:gridCol w:w="1673"/>
      </w:tblGrid>
      <w:tr>
        <w:trPr>
          <w:trHeight w:val="370" w:hRule="exact"/>
        </w:trPr>
        <w:tc>
          <w:tcPr>
            <w:tcW w:w="318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67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47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67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469"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167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借款开始日</w:t>
            </w:r>
          </w:p>
        </w:tc>
        <w:tc>
          <w:tcPr>
            <w:tcW w:w="1673"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3"/>
              <w:ind w:left="380"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bl>
    <w:p>
      <w:pPr>
        <w:spacing w:after="0" w:line="240" w:lineRule="auto"/>
        <w:jc w:val="left"/>
        <w:rPr>
          <w:rFonts w:ascii="宋体" w:hAnsi="宋体" w:cs="宋体" w:eastAsia="宋体" w:hint="default"/>
          <w:sz w:val="18"/>
          <w:szCs w:val="18"/>
        </w:rPr>
        <w:sectPr>
          <w:pgSz w:w="11910" w:h="16840"/>
          <w:pgMar w:header="0"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183"/>
        <w:gridCol w:w="1672"/>
        <w:gridCol w:w="1670"/>
        <w:gridCol w:w="1672"/>
        <w:gridCol w:w="1673"/>
      </w:tblGrid>
      <w:tr>
        <w:trPr>
          <w:trHeight w:val="359" w:hRule="exact"/>
        </w:trPr>
        <w:tc>
          <w:tcPr>
            <w:tcW w:w="31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6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7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6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469"/>
              <w:jc w:val="right"/>
              <w:rPr>
                <w:rFonts w:ascii="宋体" w:hAnsi="宋体" w:cs="宋体" w:eastAsia="宋体" w:hint="default"/>
                <w:sz w:val="18"/>
                <w:szCs w:val="18"/>
              </w:rPr>
            </w:pPr>
            <w:r>
              <w:rPr>
                <w:rFonts w:ascii="宋体" w:hAnsi="宋体" w:cs="宋体" w:eastAsia="宋体" w:hint="default"/>
                <w:sz w:val="18"/>
                <w:szCs w:val="18"/>
              </w:rPr>
              <w:t>借款条件</w:t>
            </w:r>
          </w:p>
        </w:tc>
        <w:tc>
          <w:tcPr>
            <w:tcW w:w="16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借款开始日</w:t>
            </w:r>
          </w:p>
        </w:tc>
        <w:tc>
          <w:tcPr>
            <w:tcW w:w="167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380"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402"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厦门银行股份有限公司海沧支行</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17,000,000.00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6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02"/>
              <w:jc w:val="right"/>
              <w:rPr>
                <w:rFonts w:ascii="Arial Narrow" w:hAnsi="Arial Narrow" w:cs="Arial Narrow" w:eastAsia="Arial Narrow" w:hint="default"/>
                <w:sz w:val="18"/>
                <w:szCs w:val="18"/>
              </w:rPr>
            </w:pPr>
            <w:r>
              <w:rPr>
                <w:rFonts w:ascii="Arial Narrow"/>
                <w:spacing w:val="-1"/>
                <w:sz w:val="18"/>
              </w:rPr>
              <w:t>2018/6/20</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542" w:right="0"/>
              <w:jc w:val="left"/>
              <w:rPr>
                <w:rFonts w:ascii="Arial Narrow" w:hAnsi="Arial Narrow" w:cs="Arial Narrow" w:eastAsia="Arial Narrow" w:hint="default"/>
                <w:sz w:val="18"/>
                <w:szCs w:val="18"/>
              </w:rPr>
            </w:pPr>
            <w:r>
              <w:rPr>
                <w:rFonts w:ascii="Arial Narrow"/>
                <w:sz w:val="18"/>
              </w:rPr>
              <w:t>2020/6/1</w:t>
            </w:r>
          </w:p>
        </w:tc>
      </w:tr>
      <w:tr>
        <w:trPr>
          <w:trHeight w:val="412" w:hRule="exact"/>
        </w:trPr>
        <w:tc>
          <w:tcPr>
            <w:tcW w:w="31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17,000,000.00</w:t>
            </w:r>
          </w:p>
        </w:tc>
        <w:tc>
          <w:tcPr>
            <w:tcW w:w="16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600"/>
              <w:jc w:val="right"/>
              <w:rPr>
                <w:rFonts w:ascii="Arial Narrow" w:hAnsi="Arial Narrow" w:cs="Arial Narrow" w:eastAsia="Arial Narrow" w:hint="default"/>
                <w:sz w:val="18"/>
                <w:szCs w:val="18"/>
              </w:rPr>
            </w:pPr>
            <w:r>
              <w:rPr>
                <w:rFonts w:ascii="Arial Narrow"/>
                <w:sz w:val="18"/>
              </w:rPr>
              <w:t>--</w:t>
            </w:r>
          </w:p>
        </w:tc>
        <w:tc>
          <w:tcPr>
            <w:tcW w:w="16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600"/>
              <w:jc w:val="right"/>
              <w:rPr>
                <w:rFonts w:ascii="Arial Narrow" w:hAnsi="Arial Narrow" w:cs="Arial Narrow" w:eastAsia="Arial Narrow" w:hint="default"/>
                <w:sz w:val="18"/>
                <w:szCs w:val="18"/>
              </w:rPr>
            </w:pPr>
            <w:r>
              <w:rPr>
                <w:rFonts w:ascii="Arial Narrow"/>
                <w:sz w:val="18"/>
              </w:rPr>
              <w:t>--</w:t>
            </w:r>
          </w:p>
        </w:tc>
        <w:tc>
          <w:tcPr>
            <w:tcW w:w="16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left="352" w:right="0"/>
              <w:jc w:val="center"/>
              <w:rPr>
                <w:rFonts w:ascii="Arial Narrow" w:hAnsi="Arial Narrow" w:cs="Arial Narrow" w:eastAsia="Arial Narrow" w:hint="default"/>
                <w:sz w:val="18"/>
                <w:szCs w:val="18"/>
              </w:rPr>
            </w:pPr>
            <w:r>
              <w:rPr>
                <w:rFonts w:ascii="Arial Narrow"/>
                <w:sz w:val="18"/>
              </w:rPr>
              <w:t>--</w:t>
            </w:r>
          </w:p>
        </w:tc>
      </w:tr>
    </w:tbl>
    <w:p>
      <w:pPr>
        <w:spacing w:line="240" w:lineRule="auto" w:before="9"/>
        <w:rPr>
          <w:rFonts w:ascii="宋体" w:hAnsi="宋体" w:cs="宋体" w:eastAsia="宋体" w:hint="default"/>
          <w:sz w:val="14"/>
          <w:szCs w:val="14"/>
        </w:rPr>
      </w:pPr>
    </w:p>
    <w:p>
      <w:pPr>
        <w:pStyle w:val="BodyText"/>
        <w:spacing w:line="240" w:lineRule="auto" w:before="44"/>
        <w:ind w:left="617" w:right="1032"/>
        <w:jc w:val="left"/>
      </w:pPr>
      <w:r>
        <w:rPr/>
        <w:t>续上表：</w:t>
      </w:r>
    </w:p>
    <w:p>
      <w:pPr>
        <w:spacing w:line="240" w:lineRule="auto" w:before="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183"/>
        <w:gridCol w:w="3342"/>
        <w:gridCol w:w="3345"/>
      </w:tblGrid>
      <w:tr>
        <w:trPr>
          <w:trHeight w:val="359" w:hRule="exact"/>
        </w:trPr>
        <w:tc>
          <w:tcPr>
            <w:tcW w:w="31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788" w:right="0"/>
              <w:jc w:val="left"/>
              <w:rPr>
                <w:rFonts w:ascii="宋体" w:hAnsi="宋体" w:cs="宋体" w:eastAsia="宋体" w:hint="default"/>
                <w:sz w:val="18"/>
                <w:szCs w:val="18"/>
              </w:rPr>
            </w:pPr>
            <w:r>
              <w:rPr>
                <w:rFonts w:ascii="宋体" w:hAnsi="宋体" w:cs="宋体" w:eastAsia="宋体" w:hint="default"/>
                <w:sz w:val="18"/>
                <w:szCs w:val="18"/>
              </w:rPr>
              <w:t>担保或抵押合同编号</w:t>
            </w:r>
          </w:p>
        </w:tc>
        <w:tc>
          <w:tcPr>
            <w:tcW w:w="33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综合授信合同</w:t>
            </w:r>
          </w:p>
        </w:tc>
        <w:tc>
          <w:tcPr>
            <w:tcW w:w="33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担保或抵押人</w:t>
            </w:r>
          </w:p>
        </w:tc>
      </w:tr>
      <w:tr>
        <w:trPr>
          <w:trHeight w:val="402"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Arial Narrow" w:hAnsi="Arial Narrow" w:cs="Arial Narrow" w:eastAsia="Arial Narrow" w:hint="default"/>
                <w:sz w:val="18"/>
                <w:szCs w:val="18"/>
              </w:rPr>
            </w:pPr>
            <w:r>
              <w:rPr>
                <w:rFonts w:ascii="Arial Narrow"/>
                <w:sz w:val="18"/>
              </w:rPr>
              <w:t>--</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GSHT2016110627 </w:t>
            </w:r>
            <w:r>
              <w:rPr>
                <w:rFonts w:ascii="宋体" w:hAnsi="宋体" w:cs="宋体" w:eastAsia="宋体" w:hint="default"/>
                <w:sz w:val="18"/>
                <w:szCs w:val="18"/>
              </w:rPr>
              <w:t>授权</w:t>
            </w:r>
            <w:r>
              <w:rPr>
                <w:rFonts w:ascii="宋体" w:hAnsi="宋体" w:cs="宋体" w:eastAsia="宋体" w:hint="default"/>
                <w:spacing w:val="-58"/>
                <w:sz w:val="18"/>
                <w:szCs w:val="18"/>
              </w:rPr>
              <w:t> </w:t>
            </w:r>
            <w:r>
              <w:rPr>
                <w:rFonts w:ascii="Arial Narrow" w:hAnsi="Arial Narrow" w:cs="Arial Narrow" w:eastAsia="Arial Narrow" w:hint="default"/>
                <w:sz w:val="18"/>
                <w:szCs w:val="18"/>
              </w:rPr>
              <w:t>1</w:t>
            </w:r>
          </w:p>
        </w:tc>
        <w:tc>
          <w:tcPr>
            <w:tcW w:w="3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54" w:right="0"/>
              <w:jc w:val="center"/>
              <w:rPr>
                <w:rFonts w:ascii="Arial Narrow" w:hAnsi="Arial Narrow" w:cs="Arial Narrow" w:eastAsia="Arial Narrow" w:hint="default"/>
                <w:sz w:val="18"/>
                <w:szCs w:val="18"/>
              </w:rPr>
            </w:pPr>
            <w:r>
              <w:rPr>
                <w:rFonts w:ascii="Arial Narrow"/>
                <w:sz w:val="18"/>
              </w:rPr>
              <w:t>--</w:t>
            </w:r>
          </w:p>
        </w:tc>
      </w:tr>
      <w:tr>
        <w:trPr>
          <w:trHeight w:val="412" w:hRule="exact"/>
        </w:trPr>
        <w:tc>
          <w:tcPr>
            <w:tcW w:w="31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3"/>
              <w:ind w:left="122" w:right="0"/>
              <w:jc w:val="left"/>
              <w:rPr>
                <w:rFonts w:ascii="Arial Narrow" w:hAnsi="Arial Narrow" w:cs="Arial Narrow" w:eastAsia="Arial Narrow" w:hint="default"/>
                <w:sz w:val="18"/>
                <w:szCs w:val="18"/>
              </w:rPr>
            </w:pPr>
            <w:r>
              <w:rPr>
                <w:rFonts w:ascii="Arial Narrow"/>
                <w:sz w:val="18"/>
              </w:rPr>
              <w:t>--</w:t>
            </w:r>
          </w:p>
        </w:tc>
        <w:tc>
          <w:tcPr>
            <w:tcW w:w="3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03" w:right="0"/>
              <w:jc w:val="left"/>
              <w:rPr>
                <w:rFonts w:ascii="Arial Narrow" w:hAnsi="Arial Narrow" w:cs="Arial Narrow" w:eastAsia="Arial Narrow" w:hint="default"/>
                <w:sz w:val="18"/>
                <w:szCs w:val="18"/>
              </w:rPr>
            </w:pPr>
            <w:r>
              <w:rPr>
                <w:rFonts w:ascii="Arial Narrow"/>
                <w:sz w:val="18"/>
              </w:rPr>
              <w:t>--</w:t>
            </w:r>
          </w:p>
        </w:tc>
        <w:tc>
          <w:tcPr>
            <w:tcW w:w="33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left="354" w:right="0"/>
              <w:jc w:val="center"/>
              <w:rPr>
                <w:rFonts w:ascii="Arial Narrow" w:hAnsi="Arial Narrow" w:cs="Arial Narrow" w:eastAsia="Arial Narrow" w:hint="default"/>
                <w:sz w:val="18"/>
                <w:szCs w:val="18"/>
              </w:rPr>
            </w:pPr>
            <w:r>
              <w:rPr>
                <w:rFonts w:ascii="Arial Narrow"/>
                <w:sz w:val="18"/>
              </w:rPr>
              <w:t>--</w:t>
            </w:r>
          </w:p>
        </w:tc>
      </w:tr>
    </w:tbl>
    <w:p>
      <w:pPr>
        <w:spacing w:line="240" w:lineRule="auto" w:before="11"/>
        <w:rPr>
          <w:rFonts w:ascii="宋体" w:hAnsi="宋体" w:cs="宋体" w:eastAsia="宋体" w:hint="default"/>
          <w:sz w:val="8"/>
          <w:szCs w:val="8"/>
        </w:rPr>
      </w:pPr>
    </w:p>
    <w:p>
      <w:pPr>
        <w:spacing w:before="50"/>
        <w:ind w:left="0" w:right="1133" w:firstLine="0"/>
        <w:jc w:val="right"/>
        <w:rPr>
          <w:rFonts w:ascii="宋体" w:hAnsi="宋体" w:cs="宋体" w:eastAsia="宋体" w:hint="default"/>
          <w:sz w:val="16"/>
          <w:szCs w:val="16"/>
        </w:rPr>
      </w:pPr>
      <w:r>
        <w:rPr>
          <w:rFonts w:ascii="宋体" w:hAnsi="宋体" w:cs="宋体" w:eastAsia="宋体" w:hint="default"/>
          <w:sz w:val="16"/>
          <w:szCs w:val="16"/>
        </w:rPr>
        <w:t>注：截止报告期末，本公司长期借款余额</w:t>
      </w:r>
      <w:r>
        <w:rPr>
          <w:rFonts w:ascii="宋体" w:hAnsi="宋体" w:cs="宋体" w:eastAsia="宋体" w:hint="default"/>
          <w:spacing w:val="-54"/>
          <w:sz w:val="16"/>
          <w:szCs w:val="16"/>
        </w:rPr>
        <w:t> </w:t>
      </w:r>
      <w:r>
        <w:rPr>
          <w:rFonts w:ascii="宋体" w:hAnsi="宋体" w:cs="宋体" w:eastAsia="宋体" w:hint="default"/>
          <w:sz w:val="16"/>
          <w:szCs w:val="16"/>
        </w:rPr>
        <w:t>1700</w:t>
      </w:r>
      <w:r>
        <w:rPr>
          <w:rFonts w:ascii="宋体" w:hAnsi="宋体" w:cs="宋体" w:eastAsia="宋体" w:hint="default"/>
          <w:spacing w:val="-54"/>
          <w:sz w:val="16"/>
          <w:szCs w:val="16"/>
        </w:rPr>
        <w:t> </w:t>
      </w:r>
      <w:r>
        <w:rPr>
          <w:rFonts w:ascii="宋体" w:hAnsi="宋体" w:cs="宋体" w:eastAsia="宋体" w:hint="default"/>
          <w:sz w:val="16"/>
          <w:szCs w:val="16"/>
        </w:rPr>
        <w:t>万元；根据本公司与银行签订的协议约定，本公司于每个季度还款本金</w:t>
      </w:r>
      <w:r>
        <w:rPr>
          <w:rFonts w:ascii="宋体" w:hAnsi="宋体" w:cs="宋体" w:eastAsia="宋体" w:hint="default"/>
          <w:spacing w:val="-54"/>
          <w:sz w:val="16"/>
          <w:szCs w:val="16"/>
        </w:rPr>
        <w:t> </w:t>
      </w:r>
      <w:r>
        <w:rPr>
          <w:rFonts w:ascii="宋体" w:hAnsi="宋体" w:cs="宋体" w:eastAsia="宋体" w:hint="default"/>
          <w:sz w:val="16"/>
          <w:szCs w:val="16"/>
        </w:rPr>
        <w:t>150</w:t>
      </w:r>
      <w:r>
        <w:rPr>
          <w:rFonts w:ascii="宋体" w:hAnsi="宋体" w:cs="宋体" w:eastAsia="宋体" w:hint="default"/>
          <w:spacing w:val="-54"/>
          <w:sz w:val="16"/>
          <w:szCs w:val="16"/>
        </w:rPr>
        <w:t> </w:t>
      </w:r>
      <w:r>
        <w:rPr>
          <w:rFonts w:ascii="宋体" w:hAnsi="宋体" w:cs="宋体" w:eastAsia="宋体" w:hint="default"/>
          <w:sz w:val="16"/>
          <w:szCs w:val="16"/>
        </w:rPr>
        <w:t>万元，故本</w:t>
      </w:r>
    </w:p>
    <w:p>
      <w:pPr>
        <w:spacing w:line="240" w:lineRule="auto" w:before="8"/>
        <w:rPr>
          <w:rFonts w:ascii="宋体" w:hAnsi="宋体" w:cs="宋体" w:eastAsia="宋体" w:hint="default"/>
          <w:sz w:val="11"/>
          <w:szCs w:val="11"/>
        </w:rPr>
      </w:pPr>
    </w:p>
    <w:p>
      <w:pPr>
        <w:spacing w:before="0"/>
        <w:ind w:left="254" w:right="1032" w:firstLine="0"/>
        <w:jc w:val="left"/>
        <w:rPr>
          <w:rFonts w:ascii="宋体" w:hAnsi="宋体" w:cs="宋体" w:eastAsia="宋体" w:hint="default"/>
          <w:sz w:val="16"/>
          <w:szCs w:val="16"/>
        </w:rPr>
      </w:pPr>
      <w:r>
        <w:rPr>
          <w:rFonts w:ascii="宋体" w:hAnsi="宋体" w:cs="宋体" w:eastAsia="宋体" w:hint="default"/>
          <w:sz w:val="16"/>
          <w:szCs w:val="16"/>
        </w:rPr>
        <w:t>公司将报告期后一年内需要偿还银行的长期借款</w:t>
      </w:r>
      <w:r>
        <w:rPr>
          <w:rFonts w:ascii="宋体" w:hAnsi="宋体" w:cs="宋体" w:eastAsia="宋体" w:hint="default"/>
          <w:spacing w:val="-44"/>
          <w:sz w:val="16"/>
          <w:szCs w:val="16"/>
        </w:rPr>
        <w:t> </w:t>
      </w:r>
      <w:r>
        <w:rPr>
          <w:rFonts w:ascii="宋体" w:hAnsi="宋体" w:cs="宋体" w:eastAsia="宋体" w:hint="default"/>
          <w:sz w:val="16"/>
          <w:szCs w:val="16"/>
        </w:rPr>
        <w:t>600</w:t>
      </w:r>
      <w:r>
        <w:rPr>
          <w:rFonts w:ascii="宋体" w:hAnsi="宋体" w:cs="宋体" w:eastAsia="宋体" w:hint="default"/>
          <w:spacing w:val="-44"/>
          <w:sz w:val="16"/>
          <w:szCs w:val="16"/>
        </w:rPr>
        <w:t> </w:t>
      </w:r>
      <w:r>
        <w:rPr>
          <w:rFonts w:ascii="宋体" w:hAnsi="宋体" w:cs="宋体" w:eastAsia="宋体" w:hint="default"/>
          <w:sz w:val="16"/>
          <w:szCs w:val="16"/>
        </w:rPr>
        <w:t>万元重分类至一年内到期的非流动负债科目列示。</w:t>
      </w:r>
    </w:p>
    <w:p>
      <w:pPr>
        <w:spacing w:line="240" w:lineRule="auto" w:before="8"/>
        <w:rPr>
          <w:rFonts w:ascii="宋体" w:hAnsi="宋体" w:cs="宋体" w:eastAsia="宋体" w:hint="default"/>
          <w:sz w:val="23"/>
          <w:szCs w:val="23"/>
        </w:rPr>
      </w:pPr>
    </w:p>
    <w:p>
      <w:pPr>
        <w:pStyle w:val="Heading4"/>
        <w:spacing w:line="240" w:lineRule="auto"/>
        <w:ind w:left="254" w:right="1032"/>
        <w:jc w:val="left"/>
        <w:rPr>
          <w:b w:val="0"/>
          <w:bCs w:val="0"/>
        </w:rPr>
      </w:pPr>
      <w:bookmarkStart w:name="28、股本" w:id="309"/>
      <w:bookmarkEnd w:id="309"/>
      <w:r>
        <w:rPr>
          <w:b w:val="0"/>
          <w:bCs w:val="0"/>
        </w:rPr>
      </w:r>
      <w:r>
        <w:rPr>
          <w:rFonts w:ascii="Times New Roman" w:hAnsi="Times New Roman" w:cs="Times New Roman" w:eastAsia="Times New Roman" w:hint="default"/>
        </w:rPr>
        <w:t>28</w:t>
      </w:r>
      <w:r>
        <w:rPr/>
        <w:t>、股本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415,976,540.00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207,988,270.00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207,988,270.00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623,964,810.00</w:t>
            </w:r>
          </w:p>
        </w:tc>
      </w:tr>
    </w:tbl>
    <w:p>
      <w:pPr>
        <w:pStyle w:val="BodyText"/>
        <w:spacing w:line="240" w:lineRule="auto" w:before="51"/>
        <w:ind w:left="254" w:right="1032"/>
        <w:jc w:val="left"/>
      </w:pPr>
      <w:r>
        <w:rPr/>
        <w:t>其他说明：</w:t>
      </w:r>
    </w:p>
    <w:p>
      <w:pPr>
        <w:spacing w:line="338" w:lineRule="auto" w:before="131"/>
        <w:ind w:left="254" w:right="1032" w:firstLine="320"/>
        <w:jc w:val="left"/>
        <w:rPr>
          <w:rFonts w:ascii="宋体" w:hAnsi="宋体" w:cs="宋体" w:eastAsia="宋体" w:hint="default"/>
          <w:sz w:val="16"/>
          <w:szCs w:val="16"/>
        </w:rPr>
      </w:pPr>
      <w:r>
        <w:rPr>
          <w:rFonts w:ascii="宋体" w:hAnsi="宋体" w:cs="宋体" w:eastAsia="宋体" w:hint="default"/>
          <w:w w:val="95"/>
          <w:sz w:val="16"/>
          <w:szCs w:val="16"/>
        </w:rPr>
        <w:t>注</w:t>
      </w:r>
      <w:r>
        <w:rPr>
          <w:rFonts w:ascii="Times New Roman" w:hAnsi="Times New Roman" w:cs="Times New Roman" w:eastAsia="Times New Roman" w:hint="default"/>
          <w:w w:val="95"/>
          <w:sz w:val="16"/>
          <w:szCs w:val="16"/>
        </w:rPr>
        <w:t>1</w:t>
      </w:r>
      <w:r>
        <w:rPr>
          <w:rFonts w:ascii="宋体" w:hAnsi="宋体" w:cs="宋体" w:eastAsia="宋体" w:hint="default"/>
          <w:w w:val="95"/>
          <w:sz w:val="16"/>
          <w:szCs w:val="16"/>
        </w:rPr>
        <w:t>：</w:t>
      </w:r>
      <w:r>
        <w:rPr>
          <w:rFonts w:ascii="Times New Roman" w:hAnsi="Times New Roman" w:cs="Times New Roman" w:eastAsia="Times New Roman" w:hint="default"/>
          <w:w w:val="95"/>
          <w:sz w:val="16"/>
          <w:szCs w:val="16"/>
        </w:rPr>
        <w:t>2018</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5</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24</w:t>
      </w:r>
      <w:r>
        <w:rPr>
          <w:rFonts w:ascii="宋体" w:hAnsi="宋体" w:cs="宋体" w:eastAsia="宋体" w:hint="default"/>
          <w:w w:val="95"/>
          <w:sz w:val="16"/>
          <w:szCs w:val="16"/>
        </w:rPr>
        <w:t>日，本公司股东大会决议审议批准以截止</w:t>
      </w:r>
      <w:r>
        <w:rPr>
          <w:rFonts w:ascii="Times New Roman" w:hAnsi="Times New Roman" w:cs="Times New Roman" w:eastAsia="Times New Roman" w:hint="default"/>
          <w:w w:val="95"/>
          <w:sz w:val="16"/>
          <w:szCs w:val="16"/>
        </w:rPr>
        <w:t>2017</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12</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31</w:t>
      </w:r>
      <w:r>
        <w:rPr>
          <w:rFonts w:ascii="宋体" w:hAnsi="宋体" w:cs="宋体" w:eastAsia="宋体" w:hint="default"/>
          <w:w w:val="95"/>
          <w:sz w:val="16"/>
          <w:szCs w:val="16"/>
        </w:rPr>
        <w:t>日总股本</w:t>
      </w:r>
      <w:r>
        <w:rPr>
          <w:rFonts w:ascii="Times New Roman" w:hAnsi="Times New Roman" w:cs="Times New Roman" w:eastAsia="Times New Roman" w:hint="default"/>
          <w:w w:val="95"/>
          <w:sz w:val="16"/>
          <w:szCs w:val="16"/>
        </w:rPr>
        <w:t>415,976,540</w:t>
      </w:r>
      <w:r>
        <w:rPr>
          <w:rFonts w:ascii="宋体" w:hAnsi="宋体" w:cs="宋体" w:eastAsia="宋体" w:hint="default"/>
          <w:w w:val="95"/>
          <w:sz w:val="16"/>
          <w:szCs w:val="16"/>
        </w:rPr>
        <w:t>股为基数，以资本公积转增股本，拟向</w:t>
      </w:r>
      <w:r>
        <w:rPr>
          <w:rFonts w:ascii="宋体" w:hAnsi="宋体" w:cs="宋体" w:eastAsia="宋体" w:hint="default"/>
          <w:spacing w:val="51"/>
          <w:w w:val="95"/>
          <w:sz w:val="16"/>
          <w:szCs w:val="16"/>
        </w:rPr>
        <w:t> </w:t>
      </w:r>
      <w:r>
        <w:rPr>
          <w:rFonts w:ascii="宋体" w:hAnsi="宋体" w:cs="宋体" w:eastAsia="宋体" w:hint="default"/>
          <w:spacing w:val="51"/>
          <w:w w:val="95"/>
          <w:sz w:val="16"/>
          <w:szCs w:val="16"/>
        </w:rPr>
      </w:r>
      <w:r>
        <w:rPr>
          <w:rFonts w:ascii="宋体" w:hAnsi="宋体" w:cs="宋体" w:eastAsia="宋体" w:hint="default"/>
          <w:sz w:val="16"/>
          <w:szCs w:val="16"/>
        </w:rPr>
        <w:t>全体股东每</w:t>
      </w:r>
      <w:r>
        <w:rPr>
          <w:rFonts w:ascii="Times New Roman" w:hAnsi="Times New Roman" w:cs="Times New Roman" w:eastAsia="Times New Roman" w:hint="default"/>
          <w:sz w:val="16"/>
          <w:szCs w:val="16"/>
        </w:rPr>
        <w:t>10</w:t>
      </w:r>
      <w:r>
        <w:rPr>
          <w:rFonts w:ascii="宋体" w:hAnsi="宋体" w:cs="宋体" w:eastAsia="宋体" w:hint="default"/>
          <w:sz w:val="16"/>
          <w:szCs w:val="16"/>
        </w:rPr>
        <w:t>股转增</w:t>
      </w:r>
      <w:r>
        <w:rPr>
          <w:rFonts w:ascii="Times New Roman" w:hAnsi="Times New Roman" w:cs="Times New Roman" w:eastAsia="Times New Roman" w:hint="default"/>
          <w:sz w:val="16"/>
          <w:szCs w:val="16"/>
        </w:rPr>
        <w:t>5</w:t>
      </w:r>
      <w:r>
        <w:rPr>
          <w:rFonts w:ascii="宋体" w:hAnsi="宋体" w:cs="宋体" w:eastAsia="宋体" w:hint="default"/>
          <w:sz w:val="16"/>
          <w:szCs w:val="16"/>
        </w:rPr>
        <w:t>股，共计转增</w:t>
      </w:r>
      <w:r>
        <w:rPr>
          <w:rFonts w:ascii="Times New Roman" w:hAnsi="Times New Roman" w:cs="Times New Roman" w:eastAsia="Times New Roman" w:hint="default"/>
          <w:sz w:val="16"/>
          <w:szCs w:val="16"/>
        </w:rPr>
        <w:t>207,988,270</w:t>
      </w:r>
      <w:r>
        <w:rPr>
          <w:rFonts w:ascii="宋体" w:hAnsi="宋体" w:cs="宋体" w:eastAsia="宋体" w:hint="default"/>
          <w:sz w:val="16"/>
          <w:szCs w:val="16"/>
        </w:rPr>
        <w:t>股。</w:t>
      </w:r>
    </w:p>
    <w:p>
      <w:pPr>
        <w:spacing w:line="240" w:lineRule="auto" w:before="4"/>
        <w:rPr>
          <w:rFonts w:ascii="宋体" w:hAnsi="宋体" w:cs="宋体" w:eastAsia="宋体" w:hint="default"/>
          <w:sz w:val="21"/>
          <w:szCs w:val="21"/>
        </w:rPr>
      </w:pPr>
    </w:p>
    <w:p>
      <w:pPr>
        <w:pStyle w:val="Heading4"/>
        <w:spacing w:line="240" w:lineRule="auto"/>
        <w:ind w:left="254" w:right="1032"/>
        <w:jc w:val="left"/>
        <w:rPr>
          <w:b w:val="0"/>
          <w:bCs w:val="0"/>
        </w:rPr>
      </w:pPr>
      <w:bookmarkStart w:name="29、资本公积" w:id="310"/>
      <w:bookmarkEnd w:id="310"/>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1,961,091,292.98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207,988,270.00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1,753,103,022.98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15,044,730.12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2,990,944.01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4,099,384.73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13,936,289.40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1,976,136,023.10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2,990,944.01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212,087,654.73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1,767,039,312.38</w:t>
            </w:r>
          </w:p>
        </w:tc>
      </w:tr>
    </w:tbl>
    <w:p>
      <w:pPr>
        <w:pStyle w:val="BodyText"/>
        <w:spacing w:line="240" w:lineRule="auto" w:before="51"/>
        <w:ind w:left="254" w:right="1032"/>
        <w:jc w:val="left"/>
      </w:pPr>
      <w:r>
        <w:rPr/>
        <w:t>其他说明，包括本期增减变动情况、变动原因说明：</w:t>
      </w:r>
    </w:p>
    <w:p>
      <w:pPr>
        <w:spacing w:line="338" w:lineRule="auto" w:before="130"/>
        <w:ind w:left="254" w:right="1032" w:firstLine="320"/>
        <w:jc w:val="left"/>
        <w:rPr>
          <w:rFonts w:ascii="宋体" w:hAnsi="宋体" w:cs="宋体" w:eastAsia="宋体" w:hint="default"/>
          <w:sz w:val="16"/>
          <w:szCs w:val="16"/>
        </w:rPr>
      </w:pPr>
      <w:r>
        <w:rPr>
          <w:rFonts w:ascii="宋体" w:hAnsi="宋体" w:cs="宋体" w:eastAsia="宋体" w:hint="default"/>
          <w:w w:val="95"/>
          <w:sz w:val="16"/>
          <w:szCs w:val="16"/>
        </w:rPr>
        <w:t>注</w:t>
      </w:r>
      <w:r>
        <w:rPr>
          <w:rFonts w:ascii="Times New Roman" w:hAnsi="Times New Roman" w:cs="Times New Roman" w:eastAsia="Times New Roman" w:hint="default"/>
          <w:w w:val="95"/>
          <w:sz w:val="16"/>
          <w:szCs w:val="16"/>
        </w:rPr>
        <w:t>1</w:t>
      </w:r>
      <w:r>
        <w:rPr>
          <w:rFonts w:ascii="宋体" w:hAnsi="宋体" w:cs="宋体" w:eastAsia="宋体" w:hint="default"/>
          <w:w w:val="95"/>
          <w:sz w:val="16"/>
          <w:szCs w:val="16"/>
        </w:rPr>
        <w:t>：</w:t>
      </w:r>
      <w:r>
        <w:rPr>
          <w:rFonts w:ascii="Times New Roman" w:hAnsi="Times New Roman" w:cs="Times New Roman" w:eastAsia="Times New Roman" w:hint="default"/>
          <w:w w:val="95"/>
          <w:sz w:val="16"/>
          <w:szCs w:val="16"/>
        </w:rPr>
        <w:t>2018</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5</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24</w:t>
      </w:r>
      <w:r>
        <w:rPr>
          <w:rFonts w:ascii="宋体" w:hAnsi="宋体" w:cs="宋体" w:eastAsia="宋体" w:hint="default"/>
          <w:w w:val="95"/>
          <w:sz w:val="16"/>
          <w:szCs w:val="16"/>
        </w:rPr>
        <w:t>日，本公司股东大会决议审议批准以截止</w:t>
      </w:r>
      <w:r>
        <w:rPr>
          <w:rFonts w:ascii="Times New Roman" w:hAnsi="Times New Roman" w:cs="Times New Roman" w:eastAsia="Times New Roman" w:hint="default"/>
          <w:w w:val="95"/>
          <w:sz w:val="16"/>
          <w:szCs w:val="16"/>
        </w:rPr>
        <w:t>2017</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12</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31</w:t>
      </w:r>
      <w:r>
        <w:rPr>
          <w:rFonts w:ascii="宋体" w:hAnsi="宋体" w:cs="宋体" w:eastAsia="宋体" w:hint="default"/>
          <w:w w:val="95"/>
          <w:sz w:val="16"/>
          <w:szCs w:val="16"/>
        </w:rPr>
        <w:t>日总股本</w:t>
      </w:r>
      <w:r>
        <w:rPr>
          <w:rFonts w:ascii="Times New Roman" w:hAnsi="Times New Roman" w:cs="Times New Roman" w:eastAsia="Times New Roman" w:hint="default"/>
          <w:w w:val="95"/>
          <w:sz w:val="16"/>
          <w:szCs w:val="16"/>
        </w:rPr>
        <w:t>415,976,540</w:t>
      </w:r>
      <w:r>
        <w:rPr>
          <w:rFonts w:ascii="宋体" w:hAnsi="宋体" w:cs="宋体" w:eastAsia="宋体" w:hint="default"/>
          <w:w w:val="95"/>
          <w:sz w:val="16"/>
          <w:szCs w:val="16"/>
        </w:rPr>
        <w:t>股为基数，以资本公积转增股本，拟向</w:t>
      </w:r>
      <w:r>
        <w:rPr>
          <w:rFonts w:ascii="宋体" w:hAnsi="宋体" w:cs="宋体" w:eastAsia="宋体" w:hint="default"/>
          <w:spacing w:val="51"/>
          <w:w w:val="95"/>
          <w:sz w:val="16"/>
          <w:szCs w:val="16"/>
        </w:rPr>
        <w:t> </w:t>
      </w:r>
      <w:r>
        <w:rPr>
          <w:rFonts w:ascii="宋体" w:hAnsi="宋体" w:cs="宋体" w:eastAsia="宋体" w:hint="default"/>
          <w:spacing w:val="51"/>
          <w:w w:val="95"/>
          <w:sz w:val="16"/>
          <w:szCs w:val="16"/>
        </w:rPr>
      </w:r>
      <w:r>
        <w:rPr>
          <w:rFonts w:ascii="宋体" w:hAnsi="宋体" w:cs="宋体" w:eastAsia="宋体" w:hint="default"/>
          <w:sz w:val="16"/>
          <w:szCs w:val="16"/>
        </w:rPr>
        <w:t>全体股东每</w:t>
      </w:r>
      <w:r>
        <w:rPr>
          <w:rFonts w:ascii="Times New Roman" w:hAnsi="Times New Roman" w:cs="Times New Roman" w:eastAsia="Times New Roman" w:hint="default"/>
          <w:sz w:val="16"/>
          <w:szCs w:val="16"/>
        </w:rPr>
        <w:t>10</w:t>
      </w:r>
      <w:r>
        <w:rPr>
          <w:rFonts w:ascii="宋体" w:hAnsi="宋体" w:cs="宋体" w:eastAsia="宋体" w:hint="default"/>
          <w:sz w:val="16"/>
          <w:szCs w:val="16"/>
        </w:rPr>
        <w:t>股转增</w:t>
      </w:r>
      <w:r>
        <w:rPr>
          <w:rFonts w:ascii="Times New Roman" w:hAnsi="Times New Roman" w:cs="Times New Roman" w:eastAsia="Times New Roman" w:hint="default"/>
          <w:sz w:val="16"/>
          <w:szCs w:val="16"/>
        </w:rPr>
        <w:t>5</w:t>
      </w:r>
      <w:r>
        <w:rPr>
          <w:rFonts w:ascii="宋体" w:hAnsi="宋体" w:cs="宋体" w:eastAsia="宋体" w:hint="default"/>
          <w:sz w:val="16"/>
          <w:szCs w:val="16"/>
        </w:rPr>
        <w:t>股，共计转增</w:t>
      </w:r>
      <w:r>
        <w:rPr>
          <w:rFonts w:ascii="Times New Roman" w:hAnsi="Times New Roman" w:cs="Times New Roman" w:eastAsia="Times New Roman" w:hint="default"/>
          <w:sz w:val="16"/>
          <w:szCs w:val="16"/>
        </w:rPr>
        <w:t>207,988,270</w:t>
      </w:r>
      <w:r>
        <w:rPr>
          <w:rFonts w:ascii="宋体" w:hAnsi="宋体" w:cs="宋体" w:eastAsia="宋体" w:hint="default"/>
          <w:sz w:val="16"/>
          <w:szCs w:val="16"/>
        </w:rPr>
        <w:t>股，转增后公司股本为</w:t>
      </w:r>
      <w:r>
        <w:rPr>
          <w:rFonts w:ascii="Times New Roman" w:hAnsi="Times New Roman" w:cs="Times New Roman" w:eastAsia="Times New Roman" w:hint="default"/>
          <w:sz w:val="16"/>
          <w:szCs w:val="16"/>
        </w:rPr>
        <w:t>623,964,810</w:t>
      </w:r>
      <w:r>
        <w:rPr>
          <w:rFonts w:ascii="宋体" w:hAnsi="宋体" w:cs="宋体" w:eastAsia="宋体" w:hint="default"/>
          <w:sz w:val="16"/>
          <w:szCs w:val="16"/>
        </w:rPr>
        <w:t>股，资本公积减少</w:t>
      </w:r>
      <w:r>
        <w:rPr>
          <w:rFonts w:ascii="Times New Roman" w:hAnsi="Times New Roman" w:cs="Times New Roman" w:eastAsia="Times New Roman" w:hint="default"/>
          <w:sz w:val="16"/>
          <w:szCs w:val="16"/>
        </w:rPr>
        <w:t>207,988,270.00</w:t>
      </w:r>
      <w:r>
        <w:rPr>
          <w:rFonts w:ascii="宋体" w:hAnsi="宋体" w:cs="宋体" w:eastAsia="宋体" w:hint="default"/>
          <w:sz w:val="16"/>
          <w:szCs w:val="16"/>
        </w:rPr>
        <w:t>元。</w:t>
      </w:r>
    </w:p>
    <w:p>
      <w:pPr>
        <w:spacing w:line="338" w:lineRule="auto" w:before="18"/>
        <w:ind w:left="574" w:right="1032"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2</w:t>
      </w:r>
      <w:r>
        <w:rPr>
          <w:rFonts w:ascii="宋体" w:hAnsi="宋体" w:cs="宋体" w:eastAsia="宋体" w:hint="default"/>
          <w:sz w:val="16"/>
          <w:szCs w:val="16"/>
        </w:rPr>
        <w:t>：其他资本公积本期增加</w:t>
      </w:r>
      <w:r>
        <w:rPr>
          <w:rFonts w:ascii="Times New Roman" w:hAnsi="Times New Roman" w:cs="Times New Roman" w:eastAsia="Times New Roman" w:hint="default"/>
          <w:sz w:val="16"/>
          <w:szCs w:val="16"/>
        </w:rPr>
        <w:t>2,990,944.01</w:t>
      </w:r>
      <w:r>
        <w:rPr>
          <w:rFonts w:ascii="宋体" w:hAnsi="宋体" w:cs="宋体" w:eastAsia="宋体" w:hint="default"/>
          <w:sz w:val="16"/>
          <w:szCs w:val="16"/>
        </w:rPr>
        <w:t>元为以权益结算的股份支付确认的费用总额。</w:t>
      </w:r>
      <w:r>
        <w:rPr>
          <w:rFonts w:ascii="宋体" w:hAnsi="宋体" w:cs="宋体" w:eastAsia="宋体" w:hint="default"/>
          <w:w w:val="99"/>
          <w:sz w:val="16"/>
          <w:szCs w:val="16"/>
        </w:rPr>
        <w:t> </w:t>
      </w:r>
      <w:r>
        <w:rPr>
          <w:rFonts w:ascii="宋体" w:hAnsi="宋体" w:cs="宋体" w:eastAsia="宋体" w:hint="default"/>
          <w:w w:val="95"/>
          <w:sz w:val="16"/>
          <w:szCs w:val="16"/>
        </w:rPr>
        <w:t>注</w:t>
      </w:r>
      <w:r>
        <w:rPr>
          <w:rFonts w:ascii="Times New Roman" w:hAnsi="Times New Roman" w:cs="Times New Roman" w:eastAsia="Times New Roman" w:hint="default"/>
          <w:w w:val="95"/>
          <w:sz w:val="16"/>
          <w:szCs w:val="16"/>
        </w:rPr>
        <w:t>3</w:t>
      </w:r>
      <w:r>
        <w:rPr>
          <w:rFonts w:ascii="宋体" w:hAnsi="宋体" w:cs="宋体" w:eastAsia="宋体" w:hint="default"/>
          <w:w w:val="95"/>
          <w:sz w:val="16"/>
          <w:szCs w:val="16"/>
        </w:rPr>
        <w:t>：其他资本公积本期减少金额</w:t>
      </w:r>
      <w:r>
        <w:rPr>
          <w:rFonts w:ascii="Times New Roman" w:hAnsi="Times New Roman" w:cs="Times New Roman" w:eastAsia="Times New Roman" w:hint="default"/>
          <w:w w:val="95"/>
          <w:sz w:val="16"/>
          <w:szCs w:val="16"/>
        </w:rPr>
        <w:t>4,099,384.73</w:t>
      </w:r>
      <w:r>
        <w:rPr>
          <w:rFonts w:ascii="宋体" w:hAnsi="宋体" w:cs="宋体" w:eastAsia="宋体" w:hint="default"/>
          <w:w w:val="95"/>
          <w:sz w:val="16"/>
          <w:szCs w:val="16"/>
        </w:rPr>
        <w:t>元，为收购微梦想</w:t>
      </w:r>
      <w:r>
        <w:rPr>
          <w:rFonts w:ascii="Times New Roman" w:hAnsi="Times New Roman" w:cs="Times New Roman" w:eastAsia="Times New Roman" w:hint="default"/>
          <w:w w:val="95"/>
          <w:sz w:val="16"/>
          <w:szCs w:val="16"/>
        </w:rPr>
        <w:t>5%</w:t>
      </w:r>
      <w:r>
        <w:rPr>
          <w:rFonts w:ascii="宋体" w:hAnsi="宋体" w:cs="宋体" w:eastAsia="宋体" w:hint="default"/>
          <w:w w:val="95"/>
          <w:sz w:val="16"/>
          <w:szCs w:val="16"/>
        </w:rPr>
        <w:t>的少数股东权益冲减其他资本公积</w:t>
      </w:r>
      <w:r>
        <w:rPr>
          <w:rFonts w:ascii="Times New Roman" w:hAnsi="Times New Roman" w:cs="Times New Roman" w:eastAsia="Times New Roman" w:hint="default"/>
          <w:w w:val="95"/>
          <w:sz w:val="16"/>
          <w:szCs w:val="16"/>
        </w:rPr>
        <w:t>98,133.94</w:t>
      </w:r>
      <w:r>
        <w:rPr>
          <w:rFonts w:ascii="宋体" w:hAnsi="宋体" w:cs="宋体" w:eastAsia="宋体" w:hint="default"/>
          <w:w w:val="95"/>
          <w:sz w:val="16"/>
          <w:szCs w:val="16"/>
        </w:rPr>
        <w:t>元；收购北京至美</w:t>
      </w:r>
      <w:r>
        <w:rPr>
          <w:rFonts w:ascii="Times New Roman" w:hAnsi="Times New Roman" w:cs="Times New Roman" w:eastAsia="Times New Roman" w:hint="default"/>
          <w:w w:val="95"/>
          <w:sz w:val="16"/>
          <w:szCs w:val="16"/>
        </w:rPr>
        <w:t>15%</w:t>
      </w:r>
      <w:r>
        <w:rPr>
          <w:rFonts w:ascii="Times New Roman" w:hAnsi="Times New Roman" w:cs="Times New Roman" w:eastAsia="Times New Roman" w:hint="default"/>
          <w:sz w:val="16"/>
          <w:szCs w:val="16"/>
        </w:rPr>
      </w:r>
    </w:p>
    <w:p>
      <w:pPr>
        <w:spacing w:before="18"/>
        <w:ind w:left="254" w:right="1032" w:firstLine="0"/>
        <w:jc w:val="left"/>
        <w:rPr>
          <w:rFonts w:ascii="宋体" w:hAnsi="宋体" w:cs="宋体" w:eastAsia="宋体" w:hint="default"/>
          <w:sz w:val="16"/>
          <w:szCs w:val="16"/>
        </w:rPr>
      </w:pPr>
      <w:r>
        <w:rPr>
          <w:rFonts w:ascii="宋体" w:hAnsi="宋体" w:cs="宋体" w:eastAsia="宋体" w:hint="default"/>
          <w:sz w:val="16"/>
          <w:szCs w:val="16"/>
        </w:rPr>
        <w:t>的少数股东权益冲减资本公积</w:t>
      </w:r>
      <w:r>
        <w:rPr>
          <w:rFonts w:ascii="Times New Roman" w:hAnsi="Times New Roman" w:cs="Times New Roman" w:eastAsia="Times New Roman" w:hint="default"/>
          <w:sz w:val="16"/>
          <w:szCs w:val="16"/>
        </w:rPr>
        <w:t>4,001,250.79</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pStyle w:val="Heading4"/>
        <w:spacing w:line="240" w:lineRule="auto" w:before="142"/>
        <w:ind w:left="254" w:right="1032"/>
        <w:jc w:val="left"/>
        <w:rPr>
          <w:b w:val="0"/>
          <w:bCs w:val="0"/>
        </w:rPr>
      </w:pPr>
      <w:bookmarkStart w:name="30、库存股" w:id="311"/>
      <w:bookmarkEnd w:id="311"/>
      <w:r>
        <w:rPr>
          <w:b w:val="0"/>
          <w:bCs w:val="0"/>
        </w:rPr>
      </w:r>
      <w:r>
        <w:rPr>
          <w:rFonts w:ascii="Times New Roman" w:hAnsi="Times New Roman" w:cs="Times New Roman" w:eastAsia="Times New Roman" w:hint="default"/>
        </w:rPr>
        <w:t>30</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0" w:footer="979" w:top="1100" w:bottom="1160" w:left="8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17,248,000.00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业绩赔偿股份</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28,367,168.20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28,367,168.20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28,367,168.20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45,615,168.20</w:t>
            </w:r>
          </w:p>
        </w:tc>
      </w:tr>
    </w:tbl>
    <w:p>
      <w:pPr>
        <w:pStyle w:val="BodyText"/>
        <w:spacing w:line="240" w:lineRule="auto" w:before="51"/>
        <w:ind w:right="817"/>
        <w:jc w:val="left"/>
      </w:pPr>
      <w:r>
        <w:rPr/>
        <w:t>其他说明，包括本期增减变动情况、变动原因说明：</w:t>
      </w:r>
    </w:p>
    <w:p>
      <w:pPr>
        <w:spacing w:line="338" w:lineRule="auto" w:before="131"/>
        <w:ind w:left="154" w:right="1129" w:firstLine="320"/>
        <w:jc w:val="both"/>
        <w:rPr>
          <w:rFonts w:ascii="宋体" w:hAnsi="宋体" w:cs="宋体" w:eastAsia="宋体" w:hint="default"/>
          <w:sz w:val="16"/>
          <w:szCs w:val="16"/>
        </w:rPr>
      </w:pPr>
      <w:r>
        <w:rPr>
          <w:rFonts w:ascii="宋体" w:hAnsi="宋体" w:cs="宋体" w:eastAsia="宋体" w:hint="default"/>
          <w:sz w:val="16"/>
          <w:szCs w:val="16"/>
        </w:rPr>
        <w:t>注：根据《发行股份及支付现金购买资产协议》规定：畅元国讯原实际控制人杨超等承诺畅元国讯</w:t>
      </w:r>
      <w:r>
        <w:rPr>
          <w:rFonts w:ascii="Times New Roman" w:hAnsi="Times New Roman" w:cs="Times New Roman" w:eastAsia="Times New Roman" w:hint="default"/>
          <w:sz w:val="16"/>
          <w:szCs w:val="16"/>
        </w:rPr>
        <w:t>2016</w:t>
      </w:r>
      <w:r>
        <w:rPr>
          <w:rFonts w:ascii="宋体" w:hAnsi="宋体" w:cs="宋体" w:eastAsia="宋体" w:hint="default"/>
          <w:sz w:val="16"/>
          <w:szCs w:val="16"/>
        </w:rPr>
        <w:t>年、</w:t>
      </w: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年经审计的</w:t>
      </w:r>
      <w:r>
        <w:rPr>
          <w:rFonts w:ascii="宋体" w:hAnsi="宋体" w:cs="宋体" w:eastAsia="宋体" w:hint="default"/>
          <w:w w:val="99"/>
          <w:sz w:val="16"/>
          <w:szCs w:val="16"/>
        </w:rPr>
        <w:t> </w:t>
      </w:r>
      <w:r>
        <w:rPr>
          <w:rFonts w:ascii="宋体" w:hAnsi="宋体" w:cs="宋体" w:eastAsia="宋体" w:hint="default"/>
          <w:sz w:val="16"/>
          <w:szCs w:val="16"/>
        </w:rPr>
        <w:t>归属于母公司股东的扣除非经常性损益后的净利润分别不低于人民币</w:t>
      </w:r>
      <w:r>
        <w:rPr>
          <w:rFonts w:ascii="Times New Roman" w:hAnsi="Times New Roman" w:cs="Times New Roman" w:eastAsia="Times New Roman" w:hint="default"/>
          <w:sz w:val="16"/>
          <w:szCs w:val="16"/>
        </w:rPr>
        <w:t>7,600</w:t>
      </w:r>
      <w:r>
        <w:rPr>
          <w:rFonts w:ascii="宋体" w:hAnsi="宋体" w:cs="宋体" w:eastAsia="宋体" w:hint="default"/>
          <w:sz w:val="16"/>
          <w:szCs w:val="16"/>
        </w:rPr>
        <w:t>万元、</w:t>
      </w:r>
      <w:r>
        <w:rPr>
          <w:rFonts w:ascii="Times New Roman" w:hAnsi="Times New Roman" w:cs="Times New Roman" w:eastAsia="Times New Roman" w:hint="default"/>
          <w:sz w:val="16"/>
          <w:szCs w:val="16"/>
        </w:rPr>
        <w:t>10,000</w:t>
      </w:r>
      <w:r>
        <w:rPr>
          <w:rFonts w:ascii="宋体" w:hAnsi="宋体" w:cs="宋体" w:eastAsia="宋体" w:hint="default"/>
          <w:sz w:val="16"/>
          <w:szCs w:val="16"/>
        </w:rPr>
        <w:t>万元、</w:t>
      </w:r>
      <w:r>
        <w:rPr>
          <w:rFonts w:ascii="Times New Roman" w:hAnsi="Times New Roman" w:cs="Times New Roman" w:eastAsia="Times New Roman" w:hint="default"/>
          <w:sz w:val="16"/>
          <w:szCs w:val="16"/>
        </w:rPr>
        <w:t>13,000</w:t>
      </w:r>
      <w:r>
        <w:rPr>
          <w:rFonts w:ascii="宋体" w:hAnsi="宋体" w:cs="宋体" w:eastAsia="宋体" w:hint="default"/>
          <w:sz w:val="16"/>
          <w:szCs w:val="16"/>
        </w:rPr>
        <w:t>万元。因畅元国讯未完成</w:t>
      </w:r>
      <w:r>
        <w:rPr>
          <w:rFonts w:ascii="Times New Roman" w:hAnsi="Times New Roman" w:cs="Times New Roman" w:eastAsia="Times New Roman" w:hint="default"/>
          <w:sz w:val="16"/>
          <w:szCs w:val="16"/>
        </w:rPr>
        <w:t>2017</w:t>
      </w:r>
      <w:r>
        <w:rPr>
          <w:rFonts w:ascii="宋体" w:hAnsi="宋体" w:cs="宋体" w:eastAsia="宋体" w:hint="default"/>
          <w:sz w:val="16"/>
          <w:szCs w:val="16"/>
        </w:rPr>
        <w:t>年的业</w:t>
      </w:r>
      <w:r>
        <w:rPr>
          <w:rFonts w:ascii="宋体" w:hAnsi="宋体" w:cs="宋体" w:eastAsia="宋体" w:hint="default"/>
          <w:spacing w:val="-20"/>
          <w:sz w:val="16"/>
          <w:szCs w:val="16"/>
        </w:rPr>
        <w:t> </w:t>
      </w:r>
      <w:r>
        <w:rPr>
          <w:rFonts w:ascii="宋体" w:hAnsi="宋体" w:cs="宋体" w:eastAsia="宋体" w:hint="default"/>
          <w:w w:val="95"/>
          <w:sz w:val="16"/>
          <w:szCs w:val="16"/>
        </w:rPr>
        <w:t>绩承诺，应补偿股份</w:t>
      </w:r>
      <w:r>
        <w:rPr>
          <w:rFonts w:ascii="Times New Roman" w:hAnsi="Times New Roman" w:cs="Times New Roman" w:eastAsia="Times New Roman" w:hint="default"/>
          <w:w w:val="95"/>
          <w:sz w:val="16"/>
          <w:szCs w:val="16"/>
        </w:rPr>
        <w:t>9,071,523.00</w:t>
      </w:r>
      <w:r>
        <w:rPr>
          <w:rFonts w:ascii="宋体" w:hAnsi="宋体" w:cs="宋体" w:eastAsia="宋体" w:hint="default"/>
          <w:w w:val="95"/>
          <w:sz w:val="16"/>
          <w:szCs w:val="16"/>
        </w:rPr>
        <w:t>股；因畅元国讯商誉减值，应补偿股份</w:t>
      </w:r>
      <w:r>
        <w:rPr>
          <w:rFonts w:ascii="Times New Roman" w:hAnsi="Times New Roman" w:cs="Times New Roman" w:eastAsia="Times New Roman" w:hint="default"/>
          <w:w w:val="95"/>
          <w:sz w:val="16"/>
          <w:szCs w:val="16"/>
        </w:rPr>
        <w:t>10,152,879.00</w:t>
      </w:r>
      <w:r>
        <w:rPr>
          <w:rFonts w:ascii="宋体" w:hAnsi="宋体" w:cs="宋体" w:eastAsia="宋体" w:hint="default"/>
          <w:w w:val="95"/>
          <w:sz w:val="16"/>
          <w:szCs w:val="16"/>
        </w:rPr>
        <w:t>股。其中陈兆滨、鲁武英将业绩赔偿股份</w:t>
      </w:r>
      <w:r>
        <w:rPr>
          <w:rFonts w:ascii="Times New Roman" w:hAnsi="Times New Roman" w:cs="Times New Roman" w:eastAsia="Times New Roman" w:hint="default"/>
          <w:w w:val="95"/>
          <w:sz w:val="16"/>
          <w:szCs w:val="16"/>
        </w:rPr>
        <w:t>3,316,606.00</w:t>
      </w:r>
      <w:r>
        <w:rPr>
          <w:rFonts w:ascii="Times New Roman" w:hAnsi="Times New Roman" w:cs="Times New Roman" w:eastAsia="Times New Roman" w:hint="default"/>
          <w:spacing w:val="11"/>
          <w:w w:val="95"/>
          <w:sz w:val="16"/>
          <w:szCs w:val="16"/>
        </w:rPr>
        <w:t> </w:t>
      </w:r>
      <w:r>
        <w:rPr>
          <w:rFonts w:ascii="宋体" w:hAnsi="宋体" w:cs="宋体" w:eastAsia="宋体" w:hint="default"/>
          <w:sz w:val="16"/>
          <w:szCs w:val="16"/>
        </w:rPr>
        <w:t>股、</w:t>
      </w:r>
      <w:r>
        <w:rPr>
          <w:rFonts w:ascii="Times New Roman" w:hAnsi="Times New Roman" w:cs="Times New Roman" w:eastAsia="Times New Roman" w:hint="default"/>
          <w:sz w:val="16"/>
          <w:szCs w:val="16"/>
        </w:rPr>
        <w:t>2,191,582.00</w:t>
      </w:r>
      <w:r>
        <w:rPr>
          <w:rFonts w:ascii="宋体" w:hAnsi="宋体" w:cs="宋体" w:eastAsia="宋体" w:hint="default"/>
          <w:sz w:val="16"/>
          <w:szCs w:val="16"/>
        </w:rPr>
        <w:t>股合计</w:t>
      </w:r>
      <w:r>
        <w:rPr>
          <w:rFonts w:ascii="Times New Roman" w:hAnsi="Times New Roman" w:cs="Times New Roman" w:eastAsia="Times New Roman" w:hint="default"/>
          <w:sz w:val="16"/>
          <w:szCs w:val="16"/>
        </w:rPr>
        <w:t>5,508,188.00</w:t>
      </w:r>
      <w:r>
        <w:rPr>
          <w:rFonts w:ascii="宋体" w:hAnsi="宋体" w:cs="宋体" w:eastAsia="宋体" w:hint="default"/>
          <w:sz w:val="16"/>
          <w:szCs w:val="16"/>
        </w:rPr>
        <w:t>股移交给本公司，并于</w:t>
      </w: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6</w:t>
      </w:r>
      <w:r>
        <w:rPr>
          <w:rFonts w:ascii="宋体" w:hAnsi="宋体" w:cs="宋体" w:eastAsia="宋体" w:hint="default"/>
          <w:sz w:val="16"/>
          <w:szCs w:val="16"/>
        </w:rPr>
        <w:t>日、</w:t>
      </w: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25</w:t>
      </w:r>
      <w:r>
        <w:rPr>
          <w:rFonts w:ascii="宋体" w:hAnsi="宋体" w:cs="宋体" w:eastAsia="宋体" w:hint="default"/>
          <w:sz w:val="16"/>
          <w:szCs w:val="16"/>
        </w:rPr>
        <w:t>日出具承诺书，承诺其本次回购注销产生的一切</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法律责任由其本人承担，本公司按照截止</w:t>
      </w: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28</w:t>
      </w:r>
      <w:r>
        <w:rPr>
          <w:rFonts w:ascii="宋体" w:hAnsi="宋体" w:cs="宋体" w:eastAsia="宋体" w:hint="default"/>
          <w:sz w:val="16"/>
          <w:szCs w:val="16"/>
        </w:rPr>
        <w:t>日收盘价</w:t>
      </w:r>
      <w:r>
        <w:rPr>
          <w:rFonts w:ascii="Times New Roman" w:hAnsi="Times New Roman" w:cs="Times New Roman" w:eastAsia="Times New Roman" w:hint="default"/>
          <w:sz w:val="16"/>
          <w:szCs w:val="16"/>
        </w:rPr>
        <w:t>5.15</w:t>
      </w:r>
      <w:r>
        <w:rPr>
          <w:rFonts w:ascii="宋体" w:hAnsi="宋体" w:cs="宋体" w:eastAsia="宋体" w:hint="default"/>
          <w:sz w:val="16"/>
          <w:szCs w:val="16"/>
        </w:rPr>
        <w:t>元</w:t>
      </w:r>
      <w:r>
        <w:rPr>
          <w:rFonts w:ascii="Times New Roman" w:hAnsi="Times New Roman" w:cs="Times New Roman" w:eastAsia="Times New Roman" w:hint="default"/>
          <w:sz w:val="16"/>
          <w:szCs w:val="16"/>
        </w:rPr>
        <w:t>/</w:t>
      </w:r>
      <w:r>
        <w:rPr>
          <w:rFonts w:ascii="宋体" w:hAnsi="宋体" w:cs="宋体" w:eastAsia="宋体" w:hint="default"/>
          <w:sz w:val="16"/>
          <w:szCs w:val="16"/>
        </w:rPr>
        <w:t>股确认业绩赔偿收入</w:t>
      </w:r>
      <w:r>
        <w:rPr>
          <w:rFonts w:ascii="Times New Roman" w:hAnsi="Times New Roman" w:cs="Times New Roman" w:eastAsia="Times New Roman" w:hint="default"/>
          <w:sz w:val="16"/>
          <w:szCs w:val="16"/>
        </w:rPr>
        <w:t>28,367,168.20</w:t>
      </w:r>
      <w:r>
        <w:rPr>
          <w:rFonts w:ascii="宋体" w:hAnsi="宋体" w:cs="宋体" w:eastAsia="宋体" w:hint="default"/>
          <w:sz w:val="16"/>
          <w:szCs w:val="16"/>
        </w:rPr>
        <w:t>元。</w:t>
      </w:r>
    </w:p>
    <w:p>
      <w:pPr>
        <w:spacing w:line="240" w:lineRule="auto" w:before="4"/>
        <w:rPr>
          <w:rFonts w:ascii="宋体" w:hAnsi="宋体" w:cs="宋体" w:eastAsia="宋体" w:hint="default"/>
          <w:sz w:val="21"/>
          <w:szCs w:val="21"/>
        </w:rPr>
      </w:pPr>
    </w:p>
    <w:p>
      <w:pPr>
        <w:pStyle w:val="Heading4"/>
        <w:spacing w:line="240" w:lineRule="auto"/>
        <w:ind w:right="817"/>
        <w:jc w:val="left"/>
        <w:rPr>
          <w:b w:val="0"/>
          <w:bCs w:val="0"/>
        </w:rPr>
      </w:pPr>
      <w:bookmarkStart w:name="31、其他综合收益" w:id="312"/>
      <w:bookmarkEnd w:id="312"/>
      <w:r>
        <w:rPr>
          <w:b w:val="0"/>
          <w:bCs w:val="0"/>
        </w:rPr>
      </w:r>
      <w:r>
        <w:rPr>
          <w:rFonts w:ascii="Times New Roman" w:hAnsi="Times New Roman" w:cs="Times New Roman" w:eastAsia="Times New Roman" w:hint="default"/>
        </w:rPr>
        <w:t>31</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41"/>
        <w:gridCol w:w="1328"/>
        <w:gridCol w:w="935"/>
        <w:gridCol w:w="1152"/>
        <w:gridCol w:w="935"/>
        <w:gridCol w:w="936"/>
        <w:gridCol w:w="935"/>
        <w:gridCol w:w="796"/>
      </w:tblGrid>
      <w:tr>
        <w:trPr>
          <w:trHeight w:val="403" w:hRule="exact"/>
        </w:trPr>
        <w:tc>
          <w:tcPr>
            <w:tcW w:w="2541" w:type="dxa"/>
            <w:vMerge w:val="restart"/>
            <w:tcBorders>
              <w:top w:val="single" w:sz="4" w:space="0" w:color="000000"/>
              <w:left w:val="single" w:sz="4" w:space="0" w:color="000000"/>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541"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5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91"/>
              <w:jc w:val="right"/>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541" w:type="dxa"/>
            <w:vMerge w:val="restart"/>
            <w:tcBorders>
              <w:top w:val="nil" w:sz="6" w:space="0" w:color="auto"/>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541"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197,242,364.52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-48,733,859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28,367,168.20</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-77,101,027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120,141,3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37.25</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79"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价值变动损益</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197,242,364.52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-48,733,859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28,367,168.20</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-77,101,027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120,141,3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37.20</w:t>
            </w:r>
          </w:p>
        </w:tc>
      </w:tr>
      <w:tr>
        <w:trPr>
          <w:trHeight w:val="162" w:hRule="exact"/>
        </w:trPr>
        <w:tc>
          <w:tcPr>
            <w:tcW w:w="2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197,242,364.52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-48,733,859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28,367,168.20</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-77,101,027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120,141,3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37.25</w:t>
            </w:r>
          </w:p>
        </w:tc>
      </w:tr>
      <w:tr>
        <w:trPr>
          <w:trHeight w:val="391" w:hRule="exact"/>
        </w:trPr>
        <w:tc>
          <w:tcPr>
            <w:tcW w:w="25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78"/>
              <w:jc w:val="righ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28" w:type="dxa"/>
            <w:vMerge/>
            <w:tcBorders>
              <w:left w:val="single" w:sz="10"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10"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97"/>
        <w:ind w:left="514" w:right="817"/>
        <w:jc w:val="left"/>
        <w:rPr>
          <w:rFonts w:ascii="宋体" w:hAnsi="宋体" w:cs="宋体" w:eastAsia="宋体" w:hint="default"/>
        </w:rPr>
      </w:pPr>
      <w:r>
        <w:rPr/>
        <w:t>其他说明，注：详见本附注五</w:t>
      </w:r>
      <w:r>
        <w:rPr>
          <w:spacing w:val="-90"/>
        </w:rPr>
        <w:t>、</w:t>
      </w:r>
      <w:r>
        <w:rPr/>
        <w:t>（九）可供出售金融资产注</w:t>
      </w:r>
      <w:r>
        <w:rPr>
          <w:spacing w:val="-46"/>
        </w:rPr>
        <w:t> </w:t>
      </w:r>
      <w:r>
        <w:rPr>
          <w:rFonts w:ascii="宋体" w:hAnsi="宋体" w:cs="宋体" w:eastAsia="宋体" w:hint="default"/>
        </w:rPr>
        <w:t>2</w:t>
      </w:r>
      <w:r>
        <w:rPr/>
        <w:t>、注</w:t>
      </w:r>
      <w:r>
        <w:rPr>
          <w:spacing w:val="-46"/>
        </w:rPr>
        <w:t> </w:t>
      </w:r>
      <w:r>
        <w:rPr>
          <w:rFonts w:ascii="宋体" w:hAnsi="宋体" w:cs="宋体" w:eastAsia="宋体" w:hint="default"/>
        </w:rPr>
        <w:t>3.</w:t>
      </w:r>
    </w:p>
    <w:p>
      <w:pPr>
        <w:spacing w:line="240" w:lineRule="auto" w:before="13"/>
        <w:rPr>
          <w:rFonts w:ascii="宋体" w:hAnsi="宋体" w:cs="宋体" w:eastAsia="宋体" w:hint="default"/>
          <w:sz w:val="23"/>
          <w:szCs w:val="23"/>
        </w:rPr>
      </w:pPr>
    </w:p>
    <w:p>
      <w:pPr>
        <w:pStyle w:val="Heading4"/>
        <w:spacing w:line="240" w:lineRule="auto"/>
        <w:ind w:right="817"/>
        <w:jc w:val="left"/>
        <w:rPr>
          <w:b w:val="0"/>
          <w:bCs w:val="0"/>
        </w:rPr>
      </w:pPr>
      <w:bookmarkStart w:name="32、盈余公积" w:id="313"/>
      <w:bookmarkEnd w:id="313"/>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19,602,961.52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19,602,961.52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19,602,961.52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19,602,961.52</w:t>
            </w:r>
          </w:p>
        </w:tc>
      </w:tr>
    </w:tbl>
    <w:p>
      <w:pPr>
        <w:pStyle w:val="BodyText"/>
        <w:spacing w:line="240" w:lineRule="auto" w:before="51"/>
        <w:ind w:right="817"/>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33、未分配利润" w:id="314"/>
      <w:bookmarkEnd w:id="314"/>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-374,014,590.67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-374,014,590.67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75,525,209.45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-298,489,381.22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0" w:right="0"/>
              <w:jc w:val="left"/>
              <w:rPr>
                <w:rFonts w:ascii="Times New Roman" w:hAnsi="Times New Roman" w:cs="Times New Roman" w:eastAsia="Times New Roman" w:hint="default"/>
                <w:sz w:val="18"/>
                <w:szCs w:val="18"/>
              </w:rPr>
            </w:pPr>
            <w:r>
              <w:rPr>
                <w:rFonts w:ascii="Times New Roman"/>
                <w:sz w:val="18"/>
              </w:rPr>
              <w:t>-374,014,590.67</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34、营业收入和营业成本" w:id="315"/>
      <w:bookmarkEnd w:id="315"/>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708,571,278.99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526,124,042.27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651,605,843.10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488,786,367.87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6,301,207.12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4,090,730.71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6,814,629.66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7,558,375.53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714,872,486.11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530,214,772.98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658,420,472.76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496,344,743.40</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35、税金及附加" w:id="316"/>
      <w:bookmarkEnd w:id="316"/>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1,138,655.05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1,809,527.03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815,201.21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1,368,663.10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1,468,767.54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1,365,797.29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550,428.56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589,425.89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32,528.77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60,458.75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359,041.01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789,810.69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70,967.89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20,496.10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4,435,590.03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6,004,178.85</w:t>
            </w:r>
          </w:p>
        </w:tc>
      </w:tr>
    </w:tbl>
    <w:p>
      <w:pPr>
        <w:pStyle w:val="BodyText"/>
        <w:spacing w:line="240" w:lineRule="auto" w:before="51"/>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36、销售费用" w:id="317"/>
      <w:bookmarkEnd w:id="317"/>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23,726,292.66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18,840,994.65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7,463,067.92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7,406,324.25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1,183,919.28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994,996.04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600,740.91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850,799.31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7,168,479.13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3,538,976.01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3,371,532.05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2,343,692.73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1,184,052.39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1,416,970.18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1,146,625.29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1,636,702.05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8,885,224.01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4,342,513.78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1,413,361.15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4,876,195.01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703,279.37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61,019,489.80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42,075,248.37</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37、管理费用" w:id="318"/>
      <w:bookmarkEnd w:id="318"/>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18,419,290.48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26,486,462.66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4,464,072.59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4,698,494.95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291,613.20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395,797.08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8,454,343.83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27,250,989.07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7,122,313.84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9,385,719.30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2,308,327.39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3,583,244.28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6,127,845.57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8,715,203.39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3,842,717.84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2,370,867.05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739,739.55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998,303.56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1,125,401.52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1,148,820.02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1,865,723.81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2,303,100.16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290,214.72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321,360.63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1,404,618.10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1,305,055.92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2,990,944.01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5,363,755.55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4,000,723.18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2,977,677.50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3,843,409.24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66,425,567.13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98,170,582.86</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38、研发费用" w:id="319"/>
      <w:bookmarkEnd w:id="319"/>
      <w:r>
        <w:rPr>
          <w:b w:val="0"/>
          <w:bCs w:val="0"/>
        </w:rPr>
      </w:r>
      <w:r>
        <w:rPr>
          <w:rFonts w:ascii="Times New Roman" w:hAnsi="Times New Roman" w:cs="Times New Roman" w:eastAsia="Times New Roman" w:hint="default"/>
        </w:rPr>
        <w:t>38</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职工薪酬及福利等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19,438,691.74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12,750,106.66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3,342,880.02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4,068,651.46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委外研发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2,692,358.27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155,660.38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363,717.51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46,817.93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228,495.57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122,912.15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55,989.65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45,487.98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34,813.51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873,788.16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111,321.87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27,030,291.64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17,346,273.61</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39、财务费用" w:id="320"/>
      <w:bookmarkEnd w:id="320"/>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3,595,945.86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1,549,187.34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2,681,398.03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3,000,760.33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538,317.58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363,581.02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513,170.73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517,962.93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359,409.22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1,428,446.66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-402,566.82</w:t>
            </w:r>
            <w:r>
              <w:rPr>
                <w:rFonts w:ascii="Times New Roman"/>
                <w:sz w:val="18"/>
              </w:rPr>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40、资产减值损失" w:id="321"/>
      <w:bookmarkEnd w:id="321"/>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7,123,644.37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8,215,192.84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1,569,960.03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3,257,662.84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12,605,000.00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8,430,387.27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2,628,752.93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3,318,890.13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362,647,573.88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13,522,357.33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398,474,706.96</w:t>
            </w:r>
          </w:p>
        </w:tc>
      </w:tr>
    </w:tbl>
    <w:p>
      <w:pPr>
        <w:pStyle w:val="BodyText"/>
        <w:spacing w:line="240" w:lineRule="auto" w:before="51"/>
        <w:ind w:right="817"/>
        <w:jc w:val="left"/>
      </w:pPr>
      <w:r>
        <w:rPr/>
        <w:t>其他说明：</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817"/>
        <w:jc w:val="left"/>
        <w:rPr>
          <w:b w:val="0"/>
          <w:bCs w:val="0"/>
        </w:rPr>
      </w:pPr>
      <w:bookmarkStart w:name="41、其他收益" w:id="322"/>
      <w:bookmarkEnd w:id="322"/>
      <w:r>
        <w:rPr>
          <w:b w:val="0"/>
          <w:bCs w:val="0"/>
        </w:rPr>
      </w:r>
      <w:r>
        <w:rPr>
          <w:rFonts w:ascii="Times New Roman" w:hAnsi="Times New Roman" w:cs="Times New Roman" w:eastAsia="Times New Roman" w:hint="default"/>
        </w:rPr>
        <w:t>41</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北京市科学技术委员会关于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年北京 市高新技术成果转化项目经费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厦门市集美区经济和信息化局工业企业 灾后重建固投项目补助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177,700.00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厦门市环境保护局关于挥发性有机物污 染防治</w:t>
            </w:r>
            <w:r>
              <w:rPr>
                <w:rFonts w:ascii="Times New Roman" w:hAnsi="Times New Roman" w:cs="Times New Roman" w:eastAsia="Times New Roman" w:hint="default"/>
                <w:sz w:val="18"/>
                <w:szCs w:val="18"/>
              </w:rPr>
              <w:t>(</w:t>
            </w:r>
            <w:r>
              <w:rPr>
                <w:rFonts w:ascii="宋体" w:hAnsi="宋体" w:cs="宋体" w:eastAsia="宋体" w:hint="default"/>
                <w:sz w:val="18"/>
                <w:szCs w:val="18"/>
              </w:rPr>
              <w:t>第一阶段</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专项资金补助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2,345,298.85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2,345,739.11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977,700.00</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42、投资收益" w:id="323"/>
      <w:bookmarkEnd w:id="323"/>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21,496.43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-3,557.00</w:t>
            </w:r>
            <w:r>
              <w:rPr>
                <w:rFonts w:ascii="Times New Roman"/>
                <w:sz w:val="18"/>
              </w:rPr>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17,647,653.04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9,127,875.92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536,163.52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852,933.58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银行理财收益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15,797,843.83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14,482,708.70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34,003,156.82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24,459,961.20</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43、公允价值变动收益" w:id="324"/>
      <w:bookmarkEnd w:id="324"/>
      <w:r>
        <w:rPr>
          <w:b w:val="0"/>
          <w:bCs w:val="0"/>
        </w:rPr>
      </w:r>
      <w:r>
        <w:rPr>
          <w:rFonts w:ascii="Times New Roman" w:hAnsi="Times New Roman" w:cs="Times New Roman" w:eastAsia="Times New Roman" w:hint="default"/>
        </w:rPr>
        <w:t>43</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172,680.47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580,690.16</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172,680.47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580,690.16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172,680.47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580,690.16</w:t>
            </w:r>
          </w:p>
        </w:tc>
      </w:tr>
    </w:tbl>
    <w:p>
      <w:pPr>
        <w:pStyle w:val="BodyText"/>
        <w:spacing w:line="240" w:lineRule="auto" w:before="51"/>
        <w:ind w:right="817"/>
        <w:jc w:val="left"/>
      </w:pPr>
      <w:r>
        <w:rPr/>
        <w:t>其他说明：</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817"/>
        <w:jc w:val="left"/>
        <w:rPr>
          <w:b w:val="0"/>
          <w:bCs w:val="0"/>
        </w:rPr>
      </w:pPr>
      <w:bookmarkStart w:name="44、资产处置收益" w:id="325"/>
      <w:bookmarkEnd w:id="325"/>
      <w:r>
        <w:rPr>
          <w:b w:val="0"/>
          <w:bCs w:val="0"/>
        </w:rPr>
      </w:r>
      <w:r>
        <w:rPr>
          <w:rFonts w:ascii="Times New Roman" w:hAnsi="Times New Roman" w:cs="Times New Roman" w:eastAsia="Times New Roman" w:hint="default"/>
        </w:rPr>
        <w:t>44</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58,335.34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17,176.58</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45、营业外收入" w:id="326"/>
      <w:bookmarkEnd w:id="326"/>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213,792.08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7,456,844.67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213,792.08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34,488.69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31,650.40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34,488.69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132,135.84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28,367,168.20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28,367,168.20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314,789.72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22,715.79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314,789.72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28,930,238.72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7,643,346.70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817"/>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1277"/>
        <w:gridCol w:w="991"/>
        <w:gridCol w:w="709"/>
        <w:gridCol w:w="923"/>
        <w:gridCol w:w="1062"/>
        <w:gridCol w:w="1063"/>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5" w:right="9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北京市科学技 术委员会关于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 高新技术成果 转化项目经费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北京市财政局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21"/>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术更新及改造 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厦门市集美区 经济和信息化 局工业企业灾 后重建固投项 目补助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集美区财政局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厦门市环境保 护局关于挥发 性有机物污染 防治</w:t>
            </w:r>
            <w:r>
              <w:rPr>
                <w:rFonts w:ascii="Times New Roman" w:hAnsi="Times New Roman" w:cs="Times New Roman" w:eastAsia="Times New Roman" w:hint="default"/>
                <w:sz w:val="18"/>
                <w:szCs w:val="18"/>
              </w:rPr>
              <w:t>(</w:t>
            </w:r>
            <w:r>
              <w:rPr>
                <w:rFonts w:ascii="宋体" w:hAnsi="宋体" w:cs="宋体" w:eastAsia="宋体" w:hint="default"/>
                <w:sz w:val="18"/>
                <w:szCs w:val="18"/>
              </w:rPr>
              <w:t>第一阶段</w:t>
            </w:r>
            <w:r>
              <w:rPr>
                <w:rFonts w:ascii="Times New Roman" w:hAnsi="Times New Roman" w:cs="Times New Roman" w:eastAsia="Times New Roman" w:hint="default"/>
                <w:sz w:val="18"/>
                <w:szCs w:val="18"/>
              </w:rPr>
              <w:t>) </w:t>
            </w:r>
            <w:r>
              <w:rPr>
                <w:rFonts w:ascii="宋体" w:hAnsi="宋体" w:cs="宋体" w:eastAsia="宋体" w:hint="default"/>
                <w:sz w:val="18"/>
                <w:szCs w:val="18"/>
              </w:rPr>
              <w:t>专项资金补助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增值税即征即 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61"/>
              <w:jc w:val="left"/>
              <w:rPr>
                <w:rFonts w:ascii="宋体" w:hAnsi="宋体" w:cs="宋体" w:eastAsia="宋体" w:hint="default"/>
                <w:sz w:val="18"/>
                <w:szCs w:val="18"/>
              </w:rPr>
            </w:pPr>
            <w:r>
              <w:rPr>
                <w:rFonts w:ascii="宋体" w:hAnsi="宋体" w:cs="宋体" w:eastAsia="宋体" w:hint="default"/>
                <w:sz w:val="18"/>
                <w:szCs w:val="18"/>
              </w:rPr>
              <w:t>北京市海淀区 财政局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2,345,298.8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4" w:right="0"/>
              <w:jc w:val="left"/>
              <w:rPr>
                <w:rFonts w:ascii="Times New Roman" w:hAnsi="Times New Roman" w:cs="Times New Roman" w:eastAsia="Times New Roman" w:hint="default"/>
                <w:sz w:val="18"/>
                <w:szCs w:val="18"/>
              </w:rPr>
            </w:pPr>
            <w:r>
              <w:rPr>
                <w:rFonts w:ascii="Times New Roman"/>
                <w:sz w:val="18"/>
              </w:rPr>
              <w:t>440.26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46、营业外支出" w:id="327"/>
      <w:bookmarkEnd w:id="327"/>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非流动资产损坏报废损失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108,055.78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108,055.78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533,527.08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263,755.59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533,527.08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641,582.86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272,155.59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641,582.86</w:t>
            </w:r>
          </w:p>
        </w:tc>
      </w:tr>
    </w:tbl>
    <w:p>
      <w:pPr>
        <w:pStyle w:val="BodyText"/>
        <w:spacing w:line="240" w:lineRule="auto" w:before="51"/>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47、所得税费用" w:id="328"/>
      <w:bookmarkEnd w:id="328"/>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所得税费用表" w:id="329"/>
      <w:bookmarkEnd w:id="32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648,397.70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1,196,913.51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-866,680.98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-670,298.34</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292,426.45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74,143.17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526,615.17</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会计利润与所得税费用调整过程" w:id="330"/>
      <w:bookmarkEnd w:id="33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75,664,538.14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18,916,134.54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-15,327,321.13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292,426.45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282,660.62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-24,668,254.72</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20,849,474.39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税率变动导致期初递延所得税资产的变化（微梦想）</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-270,976.98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74,143.17</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48、现金流量表项目" w:id="331"/>
      <w:bookmarkEnd w:id="331"/>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收到的其他与经营活动有关的现金" w:id="332"/>
      <w:bookmarkEnd w:id="33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2,559,531.19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8,434,544.67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2,681,398.03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2,946,722.30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北京太和华融投资管理有限公司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收到的往来款项及其他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12,960,097.52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17,280,631.40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48,201,026.74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28,661,898.37</w:t>
            </w:r>
          </w:p>
        </w:tc>
      </w:tr>
    </w:tbl>
    <w:p>
      <w:pPr>
        <w:pStyle w:val="BodyText"/>
        <w:spacing w:line="240" w:lineRule="auto" w:before="51"/>
        <w:ind w:right="817"/>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2）支付的其他与经营活动有关的现金" w:id="333"/>
      <w:bookmarkEnd w:id="33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影视剧联合拍摄及宣发款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年销售本期退货款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付现管理费用和销售费用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45,027,209.55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63,104,805.11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支付的往来款项及其他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9,136,593.35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15,390,470.29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193,203,802.90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78,495,275.40</w:t>
            </w:r>
          </w:p>
        </w:tc>
      </w:tr>
    </w:tbl>
    <w:p>
      <w:pPr>
        <w:pStyle w:val="BodyText"/>
        <w:spacing w:line="240" w:lineRule="auto" w:before="51"/>
        <w:ind w:right="817"/>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3）支付的其他与筹资活动有关的现金" w:id="334"/>
      <w:bookmarkEnd w:id="334"/>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其中：限制性股票回购支付的现金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6,835,910.00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支付收购微梦想及北京至美少数股东股 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8,064,100.00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14,900,010.00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3"/>
        <w:rPr>
          <w:rFonts w:ascii="宋体" w:hAnsi="宋体" w:cs="宋体" w:eastAsia="宋体" w:hint="default"/>
          <w:sz w:val="21"/>
          <w:szCs w:val="21"/>
        </w:rPr>
      </w:pPr>
      <w:r>
        <w:rPr/>
        <w:pict>
          <v:group style="position:absolute;margin-left:223.339996pt;margin-top:453.909973pt;width:151.25pt;height:40.8pt;mso-position-horizontal-relative:page;mso-position-vertical-relative:page;z-index:-898120" coordorigin="4467,9078" coordsize="3025,816">
            <v:group style="position:absolute;left:4478;top:9090;width:2;height:392" coordorigin="4478,9090" coordsize="2,392">
              <v:shape style="position:absolute;left:4478;top:9090;width:2;height:392" coordorigin="4478,9090" coordsize="0,392" path="m4478,9090l4478,9481e" filled="false" stroked="true" strokeweight="1.140pt" strokecolor="#ffffff">
                <v:path arrowok="t"/>
              </v:shape>
            </v:group>
            <v:group style="position:absolute;left:4490;top:9090;width:3002;height:392" coordorigin="4490,9090" coordsize="3002,392">
              <v:shape style="position:absolute;left:4490;top:9090;width:3002;height:392" coordorigin="4490,9090" coordsize="3002,392" path="m4490,9481l7491,9481,7491,9090,4490,9090,4490,9481xe" filled="true" fillcolor="#ffffff" stroked="false">
                <v:path arrowok="t"/>
                <v:fill type="solid"/>
              </v:shape>
            </v:group>
            <v:group style="position:absolute;left:4478;top:9492;width:2;height:392" coordorigin="4478,9492" coordsize="2,392">
              <v:shape style="position:absolute;left:4478;top:9492;width:2;height:392" coordorigin="4478,9492" coordsize="0,392" path="m4478,9492l4478,9883e" filled="false" stroked="true" strokeweight="1.140pt" strokecolor="#ffffff">
                <v:path arrowok="t"/>
              </v:shape>
            </v:group>
            <v:group style="position:absolute;left:4490;top:9492;width:3002;height:392" coordorigin="4490,9492" coordsize="3002,392">
              <v:shape style="position:absolute;left:4490;top:9492;width:3002;height:392" coordorigin="4490,9492" coordsize="3002,392" path="m4490,9883l7491,9883,7491,9492,4490,9492,4490,9883xe" filled="true" fillcolor="#ffffff" stroked="false">
                <v:path arrowok="t"/>
                <v:fill type="solid"/>
              </v:shape>
            </v:group>
            <w10:wrap type="none"/>
          </v:group>
        </w:pict>
      </w:r>
    </w:p>
    <w:p>
      <w:pPr>
        <w:pStyle w:val="BodyText"/>
        <w:spacing w:line="240" w:lineRule="auto" w:before="44"/>
        <w:ind w:right="817"/>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49、现金流量表补充资料" w:id="335"/>
      <w:bookmarkEnd w:id="335"/>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现金流量表补充资料" w:id="336"/>
      <w:bookmarkEnd w:id="33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75,590,394.97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-366,712,590.59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13,522,357.33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398,474,706.96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15,483,251.62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17,641,055.00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12,886,630.18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14,395,728.60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4,278,259.20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1,480,364.92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-58,335.34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-17,176.58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108,055.78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-172,680.47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-580,690.16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3,595,945.86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1,901,364.11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-34,003,156.82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-24,459,961.20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-897,522.32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-815,470.89</w:t>
            </w:r>
            <w:r>
              <w:rPr>
                <w:rFonts w:ascii="Times New Roman"/>
                <w:sz w:val="18"/>
              </w:rPr>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30,841.34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145,172.55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-8,587,817.68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-16,575,065.04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-209,176,087.44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-66,810,940.54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1,790,367.92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14,259,854.95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-12,131,289.62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5,363,755.55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-137,740,785.49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-22,309,892.36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169,814,227.69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299,974,578.12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300,250,908.75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557,229,560.57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-130,436,681.06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-257,254,982.45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817"/>
        <w:jc w:val="left"/>
        <w:rPr>
          <w:b w:val="0"/>
          <w:bCs w:val="0"/>
        </w:rPr>
      </w:pPr>
      <w:bookmarkStart w:name="（2）现金和现金等价物的构成" w:id="337"/>
      <w:bookmarkEnd w:id="337"/>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169,814,227.69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300,250,908.75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134,302.50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311,125.02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165,026,033.68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299,644,609.13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4,653,891.52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18,843.97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169,814,227.69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300,250,908.75</w:t>
            </w:r>
          </w:p>
        </w:tc>
      </w:tr>
    </w:tbl>
    <w:p>
      <w:pPr>
        <w:pStyle w:val="BodyText"/>
        <w:spacing w:line="240" w:lineRule="auto" w:before="51"/>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50、所有权或使用权受到限制的资产" w:id="338"/>
      <w:bookmarkEnd w:id="338"/>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8,633,073.05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8,633,073.05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51、外币货币性项目" w:id="339"/>
      <w:bookmarkEnd w:id="339"/>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外币货币性项目" w:id="340"/>
      <w:bookmarkEnd w:id="34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561,470.60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3,853,485.03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1,027.79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48,191,620.00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2,982,434.79</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39,829.20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273,355.77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31,787,207.21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1,967,214.89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817"/>
        <w:jc w:val="left"/>
        <w:rPr>
          <w:b w:val="0"/>
          <w:bCs w:val="0"/>
        </w:rPr>
      </w:pPr>
      <w:bookmarkStart w:name="（2）境外经营实体说明，包括对于重要的境外经营实体，应披露其境外主要经营地、记账" w:id="341"/>
      <w:bookmarkEnd w:id="34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2"/>
        </w:rPr>
        <w:t> </w:t>
      </w:r>
      <w:r>
        <w:rPr>
          <w:spacing w:val="-7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八、合并范围的变更" w:id="342"/>
      <w:bookmarkEnd w:id="34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非同一控制下企业合并" w:id="343"/>
      <w:bookmarkEnd w:id="34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本期发生的非同一控制下企业合并" w:id="344"/>
      <w:bookmarkEnd w:id="34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北京市淘智 惠电子商务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工商变更日 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w:t>
            </w:r>
          </w:p>
        </w:tc>
      </w:tr>
    </w:tbl>
    <w:p>
      <w:pPr>
        <w:pStyle w:val="BodyText"/>
        <w:spacing w:line="240" w:lineRule="auto" w:before="51"/>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2）合并成本及商誉" w:id="345"/>
      <w:bookmarkEnd w:id="34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27" w:right="0"/>
              <w:jc w:val="left"/>
              <w:rPr>
                <w:rFonts w:ascii="宋体" w:hAnsi="宋体" w:cs="宋体" w:eastAsia="宋体" w:hint="default"/>
                <w:sz w:val="18"/>
                <w:szCs w:val="18"/>
              </w:rPr>
            </w:pPr>
            <w:r>
              <w:rPr>
                <w:rFonts w:ascii="宋体" w:hAnsi="宋体" w:cs="宋体" w:eastAsia="宋体" w:hint="default"/>
                <w:sz w:val="18"/>
                <w:szCs w:val="18"/>
              </w:rPr>
              <w:t>北京市淘智惠电子商务有限公司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250,000.68</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2,549,999.32</w:t>
            </w:r>
          </w:p>
        </w:tc>
      </w:tr>
    </w:tbl>
    <w:p>
      <w:pPr>
        <w:spacing w:line="240" w:lineRule="auto" w:before="5"/>
        <w:rPr>
          <w:rFonts w:ascii="宋体" w:hAnsi="宋体" w:cs="宋体" w:eastAsia="宋体" w:hint="default"/>
          <w:sz w:val="27"/>
          <w:szCs w:val="27"/>
        </w:rPr>
      </w:pPr>
    </w:p>
    <w:p>
      <w:pPr>
        <w:pStyle w:val="BodyText"/>
        <w:spacing w:line="240" w:lineRule="auto" w:before="44"/>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3）被购买方于购买日可辨认资产、负债" w:id="346"/>
      <w:bookmarkEnd w:id="34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26" w:right="0"/>
              <w:jc w:val="left"/>
              <w:rPr>
                <w:rFonts w:ascii="宋体" w:hAnsi="宋体" w:cs="宋体" w:eastAsia="宋体" w:hint="default"/>
                <w:sz w:val="18"/>
                <w:szCs w:val="18"/>
              </w:rPr>
            </w:pPr>
            <w:r>
              <w:rPr>
                <w:rFonts w:ascii="宋体" w:hAnsi="宋体" w:cs="宋体" w:eastAsia="宋体" w:hint="default"/>
                <w:sz w:val="18"/>
                <w:szCs w:val="18"/>
              </w:rPr>
              <w:t>北京市淘智惠电子商务有限公司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257,381.26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257,381.26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250,000.68</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4）购买日之前持有的股权按照公允价值重新计量产生的利得或损失" w:id="347"/>
      <w:bookmarkEnd w:id="34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是否存在通过多次交易分步实现企业合并且在报告期内取得控制权的交易</w:t>
      </w:r>
    </w:p>
    <w:p>
      <w:pPr>
        <w:pStyle w:val="BodyText"/>
        <w:spacing w:line="240" w:lineRule="auto" w:before="116"/>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5）购买日或合并当期期末无法合理确定合并对价或被购买方可辨认资产、负债公允价值" w:id="348"/>
      <w:bookmarkEnd w:id="34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无</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6）其他说明" w:id="349"/>
      <w:bookmarkEnd w:id="34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无</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2、同一控制下企业合并" w:id="350"/>
      <w:bookmarkEnd w:id="35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本期发生的同一控制下企业合并" w:id="351"/>
      <w:bookmarkEnd w:id="35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t>无</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3、反向购买" w:id="352"/>
      <w:bookmarkEnd w:id="35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7"/>
        <w:jc w:val="left"/>
      </w:pPr>
      <w:r>
        <w:rPr/>
        <w:t>无</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4、处置子公司" w:id="353"/>
      <w:bookmarkEnd w:id="35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是否存在单次处置对子公司投资即丧失控制权的情形</w:t>
      </w:r>
    </w:p>
    <w:p>
      <w:pPr>
        <w:pStyle w:val="BodyText"/>
        <w:spacing w:line="338"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8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817"/>
        <w:jc w:val="left"/>
        <w:rPr>
          <w:b w:val="0"/>
          <w:bCs w:val="0"/>
        </w:rPr>
      </w:pPr>
      <w:bookmarkStart w:name="5、其他原因的合并范围变动" w:id="354"/>
      <w:bookmarkEnd w:id="35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说明其他原因导致的合并范围变动（如，新设子公司、清算子公司等）及其相关情况：</w:t>
      </w:r>
    </w:p>
    <w:p>
      <w:pPr>
        <w:spacing w:line="240" w:lineRule="auto" w:before="6"/>
        <w:rPr>
          <w:rFonts w:ascii="宋体" w:hAnsi="宋体" w:cs="宋体" w:eastAsia="宋体" w:hint="default"/>
          <w:sz w:val="20"/>
          <w:szCs w:val="20"/>
        </w:rPr>
      </w:pPr>
    </w:p>
    <w:p>
      <w:pPr>
        <w:pStyle w:val="Heading5"/>
        <w:spacing w:line="410" w:lineRule="auto" w:before="0"/>
        <w:ind w:right="1132" w:firstLine="420"/>
        <w:jc w:val="both"/>
      </w:pPr>
      <w:r>
        <w:rPr>
          <w:rFonts w:ascii="宋体" w:hAnsi="宋体" w:cs="宋体" w:eastAsia="宋体" w:hint="default"/>
          <w:spacing w:val="-7"/>
        </w:rPr>
        <w:t>1</w:t>
      </w:r>
      <w:r>
        <w:rPr>
          <w:spacing w:val="-7"/>
        </w:rPr>
        <w:t>、</w:t>
      </w:r>
      <w:r>
        <w:rPr>
          <w:rFonts w:ascii="宋体" w:hAnsi="宋体" w:cs="宋体" w:eastAsia="宋体" w:hint="default"/>
          <w:spacing w:val="-7"/>
        </w:rPr>
        <w:t>2018</w:t>
      </w:r>
      <w:r>
        <w:rPr>
          <w:rFonts w:ascii="宋体" w:hAnsi="宋体" w:cs="宋体" w:eastAsia="宋体" w:hint="default"/>
          <w:spacing w:val="-60"/>
        </w:rPr>
        <w:t> </w:t>
      </w:r>
      <w:r>
        <w:rPr/>
        <w:t>年</w:t>
      </w:r>
      <w:r>
        <w:rPr>
          <w:spacing w:val="-61"/>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59"/>
        </w:rPr>
        <w:t> </w:t>
      </w:r>
      <w:r>
        <w:rPr/>
        <w:t>日，本公司全资子公司北京畅元国讯科技有限公司与九次方大数据信息集团有限公 司合作设立厦门安妮大数据科技有限公司，其中北京畅元国讯科技有限公司持股</w:t>
      </w:r>
      <w:r>
        <w:rPr>
          <w:spacing w:val="-23"/>
        </w:rPr>
        <w:t> </w:t>
      </w:r>
      <w:r>
        <w:rPr>
          <w:rFonts w:ascii="宋体" w:hAnsi="宋体" w:cs="宋体" w:eastAsia="宋体" w:hint="default"/>
        </w:rPr>
        <w:t>51%</w:t>
      </w:r>
      <w:r>
        <w:rPr/>
        <w:t>，九次方大数据信息 集团有限公司持股</w:t>
      </w:r>
      <w:r>
        <w:rPr>
          <w:spacing w:val="-54"/>
        </w:rPr>
        <w:t> </w:t>
      </w:r>
      <w:r>
        <w:rPr>
          <w:rFonts w:ascii="宋体" w:hAnsi="宋体" w:cs="宋体" w:eastAsia="宋体" w:hint="default"/>
        </w:rPr>
        <w:t>49%</w:t>
      </w:r>
      <w:r>
        <w:rPr/>
        <w:t>，本期纳入合并范围。</w:t>
      </w:r>
    </w:p>
    <w:p>
      <w:pPr>
        <w:pStyle w:val="Heading5"/>
        <w:spacing w:line="410" w:lineRule="auto" w:before="45"/>
        <w:ind w:right="1131" w:firstLine="420"/>
        <w:jc w:val="both"/>
      </w:pPr>
      <w:r>
        <w:rPr>
          <w:rFonts w:ascii="宋体" w:hAnsi="宋体" w:cs="宋体" w:eastAsia="宋体" w:hint="default"/>
          <w:spacing w:val="-5"/>
        </w:rPr>
        <w:t>2</w:t>
      </w:r>
      <w:r>
        <w:rPr>
          <w:spacing w:val="-5"/>
        </w:rPr>
        <w:t>、</w:t>
      </w:r>
      <w:r>
        <w:rPr>
          <w:rFonts w:ascii="宋体" w:hAnsi="宋体" w:cs="宋体" w:eastAsia="宋体" w:hint="default"/>
          <w:spacing w:val="-5"/>
        </w:rPr>
        <w:t>2018</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26</w:t>
      </w:r>
      <w:r>
        <w:rPr>
          <w:rFonts w:ascii="宋体" w:hAnsi="宋体" w:cs="宋体" w:eastAsia="宋体" w:hint="default"/>
          <w:spacing w:val="-62"/>
        </w:rPr>
        <w:t> </w:t>
      </w:r>
      <w:r>
        <w:rPr/>
        <w:t>日，本公司全资子公司泉州安妮贸易有限公司办理工商注销手续，导致本报告期及 以后合并范围变更。</w:t>
      </w:r>
    </w:p>
    <w:p>
      <w:pPr>
        <w:spacing w:line="487" w:lineRule="auto" w:before="170"/>
        <w:ind w:left="154" w:right="7692" w:firstLine="0"/>
        <w:jc w:val="left"/>
        <w:rPr>
          <w:rFonts w:ascii="宋体" w:hAnsi="宋体" w:cs="宋体" w:eastAsia="宋体" w:hint="default"/>
          <w:sz w:val="21"/>
          <w:szCs w:val="21"/>
        </w:rPr>
      </w:pPr>
      <w:bookmarkStart w:name="6、其他" w:id="355"/>
      <w:bookmarkEnd w:id="35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56"/>
      <w:bookmarkEnd w:id="35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57"/>
      <w:bookmarkEnd w:id="35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817"/>
        <w:jc w:val="left"/>
        <w:rPr>
          <w:b w:val="0"/>
          <w:bCs w:val="0"/>
        </w:rPr>
      </w:pPr>
      <w:bookmarkStart w:name="（1）企业集团的构成" w:id="358"/>
      <w:bookmarkEnd w:id="35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安妮企业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造纸和纸制品业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造纸和纸制品业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造纸和纸制品业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纸制品贸易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纸制品贸易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造纸和纸制品业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纸制品贸易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上海超级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生产、销售印刷 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泉州安妮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纸制品贸易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北京至美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印刷和记录媒介 复制业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北京联移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微梦想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微推客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微广盟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新疆安云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畅元国讯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华云在线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华迪希艾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新疆安讯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天津畅元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北京畅华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成都博艾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恒千物业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厦门千实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全版权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版权家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厦门版全家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安妮大数据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淘智惠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240" w:lineRule="auto" w:before="51"/>
        <w:ind w:right="817"/>
        <w:jc w:val="left"/>
      </w:pPr>
      <w:r>
        <w:rPr/>
        <w:t>其他说明：</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817"/>
        <w:jc w:val="left"/>
        <w:rPr>
          <w:b w:val="0"/>
          <w:bCs w:val="0"/>
        </w:rPr>
      </w:pPr>
      <w:bookmarkStart w:name="（2）重要的非全资子公司" w:id="359"/>
      <w:bookmarkEnd w:id="35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无</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2、在子公司的所有者权益份额发生变化且仍控制子公司的交易" w:id="360"/>
      <w:bookmarkEnd w:id="36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在子公司所有者权益份额发生变化的情况说明" w:id="361"/>
      <w:bookmarkEnd w:id="36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宋体" w:hAnsi="宋体" w:cs="宋体" w:eastAsia="宋体" w:hint="default"/>
          <w:b/>
          <w:bCs/>
          <w:sz w:val="31"/>
          <w:szCs w:val="31"/>
        </w:rPr>
      </w:pPr>
    </w:p>
    <w:p>
      <w:pPr>
        <w:pStyle w:val="Heading5"/>
        <w:spacing w:line="240" w:lineRule="auto" w:before="0"/>
        <w:ind w:left="577" w:right="817"/>
        <w:jc w:val="left"/>
      </w:pPr>
      <w:r>
        <w:rPr>
          <w:rFonts w:ascii="宋体" w:hAnsi="宋体" w:cs="宋体" w:eastAsia="宋体" w:hint="default"/>
        </w:rPr>
        <w:t>1.</w:t>
      </w:r>
      <w:r>
        <w:rPr>
          <w:rFonts w:ascii="宋体" w:hAnsi="宋体" w:cs="宋体" w:eastAsia="宋体" w:hint="default"/>
          <w:spacing w:val="44"/>
        </w:rPr>
        <w:t> </w:t>
      </w:r>
      <w:r>
        <w:rPr/>
        <w:t>在子公司所有者权益份额发生变化的情况说明</w:t>
      </w:r>
    </w:p>
    <w:p>
      <w:pPr>
        <w:pStyle w:val="Heading5"/>
        <w:spacing w:line="350" w:lineRule="auto" w:before="126"/>
        <w:ind w:right="1132" w:firstLine="420"/>
        <w:jc w:val="both"/>
      </w:pPr>
      <w:r>
        <w:rPr>
          <w:spacing w:val="-1"/>
        </w:rPr>
        <w:t>（</w:t>
      </w:r>
      <w:r>
        <w:rPr>
          <w:rFonts w:ascii="宋体" w:hAnsi="宋体" w:cs="宋体" w:eastAsia="宋体" w:hint="default"/>
          <w:spacing w:val="-1"/>
        </w:rPr>
        <w:t>1</w:t>
      </w:r>
      <w:r>
        <w:rPr>
          <w:spacing w:val="-1"/>
        </w:rPr>
        <w:t>）因北京安慧腾达科技有限公司持有北京至美</w:t>
      </w:r>
      <w:r>
        <w:rPr>
          <w:rFonts w:ascii="宋体" w:hAnsi="宋体" w:cs="宋体" w:eastAsia="宋体" w:hint="default"/>
          <w:spacing w:val="-1"/>
        </w:rPr>
        <w:t>15%</w:t>
      </w:r>
      <w:r>
        <w:rPr>
          <w:spacing w:val="-1"/>
        </w:rPr>
        <w:t>的股权，且长期未参与公司经营，北京安慧腾达</w:t>
      </w:r>
      <w:r>
        <w:rPr/>
        <w:t> </w:t>
      </w:r>
      <w:r>
        <w:rPr>
          <w:spacing w:val="5"/>
        </w:rPr>
        <w:t>科技有限公司要求公司将其持有的</w:t>
      </w:r>
      <w:r>
        <w:rPr>
          <w:rFonts w:ascii="宋体" w:hAnsi="宋体" w:cs="宋体" w:eastAsia="宋体" w:hint="default"/>
          <w:spacing w:val="5"/>
        </w:rPr>
        <w:t>15%</w:t>
      </w:r>
      <w:r>
        <w:rPr>
          <w:spacing w:val="5"/>
        </w:rPr>
        <w:t>股权按照公司注册资本收购，经公司总经理会议决议，同意拟以</w:t>
      </w:r>
      <w:r>
        <w:rPr>
          <w:spacing w:val="-85"/>
        </w:rPr>
        <w:t> </w:t>
      </w:r>
      <w:r>
        <w:rPr>
          <w:spacing w:val="-85"/>
        </w:rPr>
      </w:r>
      <w:r>
        <w:rPr>
          <w:rFonts w:ascii="宋体" w:hAnsi="宋体" w:cs="宋体" w:eastAsia="宋体" w:hint="default"/>
          <w:spacing w:val="-1"/>
        </w:rPr>
        <w:t>757.5</w:t>
      </w:r>
      <w:r>
        <w:rPr>
          <w:spacing w:val="-1"/>
        </w:rPr>
        <w:t>万元收购其持有的</w:t>
      </w:r>
      <w:r>
        <w:rPr>
          <w:rFonts w:ascii="宋体" w:hAnsi="宋体" w:cs="宋体" w:eastAsia="宋体" w:hint="default"/>
          <w:spacing w:val="-1"/>
        </w:rPr>
        <w:t>15%</w:t>
      </w:r>
      <w:r>
        <w:rPr>
          <w:spacing w:val="-1"/>
        </w:rPr>
        <w:t>股权，该交易本质属于收购少数股东股权，属于权益性交易，根据收购时点北</w:t>
      </w:r>
      <w:r>
        <w:rPr>
          <w:spacing w:val="-82"/>
        </w:rPr>
        <w:t> </w:t>
      </w:r>
      <w:r>
        <w:rPr>
          <w:spacing w:val="-82"/>
        </w:rPr>
      </w:r>
      <w:r>
        <w:rPr>
          <w:spacing w:val="12"/>
        </w:rPr>
        <w:t>京至美净资产对应</w:t>
      </w:r>
      <w:r>
        <w:rPr>
          <w:rFonts w:ascii="宋体" w:hAnsi="宋体" w:cs="宋体" w:eastAsia="宋体" w:hint="default"/>
          <w:spacing w:val="12"/>
        </w:rPr>
        <w:t>15%</w:t>
      </w:r>
      <w:r>
        <w:rPr>
          <w:spacing w:val="12"/>
        </w:rPr>
        <w:t>的股权计算的份额与收购价</w:t>
      </w:r>
      <w:r>
        <w:rPr>
          <w:rFonts w:ascii="宋体" w:hAnsi="宋体" w:cs="宋体" w:eastAsia="宋体" w:hint="default"/>
          <w:spacing w:val="12"/>
        </w:rPr>
        <w:t>757.5</w:t>
      </w:r>
      <w:r>
        <w:rPr>
          <w:spacing w:val="12"/>
        </w:rPr>
        <w:t>万元的差额调整资本公积（其他资本公积）</w:t>
      </w:r>
      <w:r>
        <w:rPr>
          <w:spacing w:val="-78"/>
        </w:rPr>
        <w:t> </w:t>
      </w:r>
      <w:r>
        <w:rPr>
          <w:spacing w:val="-78"/>
        </w:rPr>
      </w:r>
      <w:r>
        <w:rPr>
          <w:rFonts w:ascii="宋体" w:hAnsi="宋体" w:cs="宋体" w:eastAsia="宋体" w:hint="default"/>
        </w:rPr>
        <w:t>4,001,250.79</w:t>
      </w:r>
      <w:r>
        <w:rPr/>
        <w:t>元。</w:t>
      </w:r>
    </w:p>
    <w:p>
      <w:pPr>
        <w:pStyle w:val="Heading5"/>
        <w:spacing w:line="350" w:lineRule="auto"/>
        <w:ind w:right="1132" w:firstLine="420"/>
        <w:jc w:val="both"/>
      </w:pPr>
      <w:r>
        <w:rPr/>
        <w:t>（</w:t>
      </w:r>
      <w:r>
        <w:rPr>
          <w:rFonts w:ascii="宋体" w:hAnsi="宋体" w:cs="宋体" w:eastAsia="宋体" w:hint="default"/>
        </w:rPr>
        <w:t>2</w:t>
      </w:r>
      <w:r>
        <w:rPr/>
        <w:t>）深圳鹏城画面传媒有限公司持有微梦想</w:t>
      </w:r>
      <w:r>
        <w:rPr>
          <w:rFonts w:ascii="宋体" w:hAnsi="宋体" w:cs="宋体" w:eastAsia="宋体" w:hint="default"/>
        </w:rPr>
        <w:t>5%</w:t>
      </w:r>
      <w:r>
        <w:rPr/>
        <w:t>股权，且其为财务投资，未参与公司经营，公司从整 </w:t>
      </w:r>
      <w:r>
        <w:rPr>
          <w:spacing w:val="-1"/>
        </w:rPr>
        <w:t>体规划角度考虑，经总经理会议决议，以</w:t>
      </w:r>
      <w:r>
        <w:rPr>
          <w:rFonts w:ascii="宋体" w:hAnsi="宋体" w:cs="宋体" w:eastAsia="宋体" w:hint="default"/>
          <w:spacing w:val="-1"/>
        </w:rPr>
        <w:t>489,100.00</w:t>
      </w:r>
      <w:r>
        <w:rPr>
          <w:spacing w:val="-1"/>
        </w:rPr>
        <w:t>元收购其持有的微梦想</w:t>
      </w:r>
      <w:r>
        <w:rPr>
          <w:rFonts w:ascii="宋体" w:hAnsi="宋体" w:cs="宋体" w:eastAsia="宋体" w:hint="default"/>
          <w:spacing w:val="-1"/>
        </w:rPr>
        <w:t>5%</w:t>
      </w:r>
      <w:r>
        <w:rPr>
          <w:spacing w:val="-1"/>
        </w:rPr>
        <w:t>的股权，该交易本质属于收</w:t>
      </w:r>
      <w:r>
        <w:rPr>
          <w:spacing w:val="-80"/>
        </w:rPr>
        <w:t> </w:t>
      </w:r>
      <w:r>
        <w:rPr>
          <w:spacing w:val="-80"/>
        </w:rPr>
      </w:r>
      <w:r>
        <w:rPr>
          <w:spacing w:val="13"/>
        </w:rPr>
        <w:t>购少数股东权益，属于权益性交易，根据收购时点微梦想净资产对应</w:t>
      </w:r>
      <w:r>
        <w:rPr>
          <w:rFonts w:ascii="宋体" w:hAnsi="宋体" w:cs="宋体" w:eastAsia="宋体" w:hint="default"/>
          <w:spacing w:val="13"/>
        </w:rPr>
        <w:t>5%</w:t>
      </w:r>
      <w:r>
        <w:rPr>
          <w:spacing w:val="13"/>
        </w:rPr>
        <w:t>的股权计算的份额与收购价</w:t>
      </w:r>
      <w:r>
        <w:rPr>
          <w:spacing w:val="-87"/>
        </w:rPr>
        <w:t> </w:t>
      </w:r>
      <w:r>
        <w:rPr>
          <w:spacing w:val="-87"/>
        </w:rPr>
      </w:r>
      <w:r>
        <w:rPr>
          <w:rFonts w:ascii="宋体" w:hAnsi="宋体" w:cs="宋体" w:eastAsia="宋体" w:hint="default"/>
        </w:rPr>
        <w:t>489,100.00</w:t>
      </w:r>
      <w:r>
        <w:rPr/>
        <w:t>元的差额调整资本公积（其他资本公积）</w:t>
      </w:r>
      <w:r>
        <w:rPr>
          <w:rFonts w:ascii="宋体" w:hAnsi="宋体" w:cs="宋体" w:eastAsia="宋体" w:hint="default"/>
        </w:rPr>
        <w:t>98,133.94</w:t>
      </w:r>
      <w:r>
        <w:rPr/>
        <w:t>元。</w:t>
      </w:r>
    </w:p>
    <w:p>
      <w:pPr>
        <w:spacing w:line="240" w:lineRule="auto" w:before="5"/>
        <w:rPr>
          <w:rFonts w:ascii="宋体" w:hAnsi="宋体" w:cs="宋体" w:eastAsia="宋体" w:hint="default"/>
          <w:sz w:val="18"/>
          <w:szCs w:val="18"/>
        </w:rPr>
      </w:pPr>
    </w:p>
    <w:p>
      <w:pPr>
        <w:pStyle w:val="Heading4"/>
        <w:spacing w:line="240" w:lineRule="auto"/>
        <w:ind w:right="817"/>
        <w:jc w:val="left"/>
        <w:rPr>
          <w:b w:val="0"/>
          <w:bCs w:val="0"/>
        </w:rPr>
      </w:pPr>
      <w:bookmarkStart w:name="（2）交易对于少数股东权益及归属于母公司所有者权益的影响" w:id="362"/>
      <w:bookmarkEnd w:id="36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微梦想</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北京至美</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390,966.06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3,573,749.21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98,133.94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4,001,250.79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98,133.94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4,001,250.79</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3、在合营安排或联营企业中的权益" w:id="363"/>
      <w:bookmarkEnd w:id="36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重要的合营企业或联营企业" w:id="364"/>
      <w:bookmarkEnd w:id="36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计易数据科技</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上海浦东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科技推广与应用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33.76%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6"/>
        <w:rPr>
          <w:rFonts w:ascii="宋体" w:hAnsi="宋体" w:cs="宋体" w:eastAsia="宋体" w:hint="default"/>
          <w:b/>
          <w:bCs/>
          <w:sz w:val="27"/>
          <w:szCs w:val="27"/>
        </w:rPr>
      </w:pPr>
    </w:p>
    <w:p>
      <w:pPr>
        <w:pStyle w:val="BodyText"/>
        <w:spacing w:line="240" w:lineRule="auto" w:before="44"/>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3）重要联营企业的主要财务信息" w:id="365"/>
      <w:bookmarkEnd w:id="36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6"/>
        <w:gridCol w:w="5244"/>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5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476" w:right="0"/>
              <w:jc w:val="left"/>
              <w:rPr>
                <w:rFonts w:ascii="宋体" w:hAnsi="宋体" w:cs="宋体" w:eastAsia="宋体" w:hint="default"/>
                <w:sz w:val="18"/>
                <w:szCs w:val="18"/>
              </w:rPr>
            </w:pPr>
            <w:r>
              <w:rPr>
                <w:rFonts w:ascii="宋体" w:hAnsi="宋体" w:cs="宋体" w:eastAsia="宋体" w:hint="default"/>
                <w:sz w:val="18"/>
                <w:szCs w:val="18"/>
              </w:rPr>
              <w:t>计易数据科技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30,196,567.90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907,748.58</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31,104,316.48</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3,976,598.30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4,576,598.30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26,527,718.18</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14,479,186.66</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63,674.25</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63,674.25</w:t>
            </w:r>
          </w:p>
        </w:tc>
      </w:tr>
      <w:tr>
        <w:trPr>
          <w:trHeight w:val="403" w:hRule="exact"/>
        </w:trPr>
        <w:tc>
          <w:tcPr>
            <w:tcW w:w="4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-32,490.89</w:t>
            </w:r>
            <w:r>
              <w:rPr>
                <w:rFonts w:ascii="Times New Roman"/>
                <w:sz w:val="18"/>
              </w:rPr>
            </w:r>
          </w:p>
        </w:tc>
      </w:tr>
    </w:tbl>
    <w:p>
      <w:pPr>
        <w:pStyle w:val="BodyText"/>
        <w:spacing w:line="240" w:lineRule="auto" w:before="51"/>
        <w:ind w:right="817"/>
        <w:jc w:val="left"/>
      </w:pPr>
      <w:r>
        <w:rPr/>
        <w:t>其他说明</w:t>
      </w:r>
    </w:p>
    <w:p>
      <w:pPr>
        <w:spacing w:line="240" w:lineRule="auto" w:before="13"/>
        <w:rPr>
          <w:rFonts w:ascii="宋体" w:hAnsi="宋体" w:cs="宋体" w:eastAsia="宋体" w:hint="default"/>
          <w:sz w:val="24"/>
          <w:szCs w:val="24"/>
        </w:rPr>
      </w:pPr>
    </w:p>
    <w:p>
      <w:pPr>
        <w:pStyle w:val="Heading2"/>
        <w:spacing w:line="240" w:lineRule="auto"/>
        <w:ind w:right="817"/>
        <w:jc w:val="left"/>
        <w:rPr>
          <w:b w:val="0"/>
          <w:bCs w:val="0"/>
        </w:rPr>
      </w:pPr>
      <w:bookmarkStart w:name="十、与金融工具相关的风险" w:id="366"/>
      <w:bookmarkEnd w:id="366"/>
      <w:r>
        <w:rPr>
          <w:b w:val="0"/>
          <w:bCs w:val="0"/>
        </w:rPr>
      </w:r>
      <w:r>
        <w:rPr/>
        <w:t>十、与金融工具相关的风险</w:t>
      </w:r>
      <w:r>
        <w:rPr>
          <w:b w:val="0"/>
          <w:bCs w:val="0"/>
        </w:rPr>
      </w:r>
    </w:p>
    <w:p>
      <w:pPr>
        <w:spacing w:line="240" w:lineRule="auto" w:before="7"/>
        <w:rPr>
          <w:rFonts w:ascii="宋体" w:hAnsi="宋体" w:cs="宋体" w:eastAsia="宋体" w:hint="default"/>
          <w:b/>
          <w:bCs/>
          <w:sz w:val="31"/>
          <w:szCs w:val="31"/>
        </w:rPr>
      </w:pPr>
    </w:p>
    <w:p>
      <w:pPr>
        <w:pStyle w:val="Heading5"/>
        <w:spacing w:line="350" w:lineRule="auto" w:before="0"/>
        <w:ind w:right="1131" w:firstLine="420"/>
        <w:jc w:val="both"/>
      </w:pPr>
      <w:r>
        <w:rPr>
          <w:spacing w:val="-1"/>
        </w:rPr>
        <w:t>本公司在经营过程中面临各种金融风险：信用风险、市场风险和流动性风险。公司董事会全面负责风</w:t>
      </w:r>
      <w:r>
        <w:rPr/>
        <w:t> </w:t>
      </w:r>
      <w:r>
        <w:rPr>
          <w:spacing w:val="-1"/>
        </w:rPr>
        <w:t>险管理目标和政策的确定，并对风险管理目标和政策承担最终责任。本公司的内部审计师也会审计风险管</w:t>
      </w:r>
      <w:r>
        <w:rPr>
          <w:spacing w:val="-81"/>
        </w:rPr>
        <w:t> </w:t>
      </w:r>
      <w:r>
        <w:rPr>
          <w:spacing w:val="-81"/>
        </w:rPr>
      </w:r>
      <w:r>
        <w:rPr/>
        <w:t>理的政策和程序，并且将有关发现汇报给审计委员会。</w:t>
      </w:r>
    </w:p>
    <w:p>
      <w:pPr>
        <w:pStyle w:val="Heading5"/>
        <w:spacing w:line="350" w:lineRule="auto"/>
        <w:ind w:right="1131" w:firstLine="420"/>
        <w:jc w:val="both"/>
      </w:pPr>
      <w:r>
        <w:rPr>
          <w:spacing w:val="-1"/>
        </w:rPr>
        <w:t>本公司的主要金融工具包括应收账款、应付账款等，各项金融工具的详细情况说明见本附注五相关项</w:t>
      </w:r>
      <w:r>
        <w:rPr/>
        <w:t> </w:t>
      </w:r>
      <w:r>
        <w:rPr>
          <w:spacing w:val="-1"/>
        </w:rPr>
        <w:t>目。与这些金融工具有关的风险，以及本公司为降低这些风险所采取的风险管理政策如下所述。本公司管</w:t>
      </w:r>
      <w:r>
        <w:rPr>
          <w:spacing w:val="-83"/>
        </w:rPr>
        <w:t> </w:t>
      </w:r>
      <w:r>
        <w:rPr>
          <w:spacing w:val="-83"/>
        </w:rPr>
      </w:r>
      <w:r>
        <w:rPr/>
        <w:t>理层对这些风险敞口进行管理和监控以确保将上述风险控制在限定的范围之内。</w:t>
      </w:r>
    </w:p>
    <w:p>
      <w:pPr>
        <w:pStyle w:val="Heading5"/>
        <w:spacing w:line="348" w:lineRule="auto"/>
        <w:ind w:right="1132" w:firstLine="420"/>
        <w:jc w:val="both"/>
      </w:pPr>
      <w:r>
        <w:rPr>
          <w:spacing w:val="-1"/>
        </w:rPr>
        <w:t>本公司风险管理的总体目标是在不过度影响公司竞争力和应变力的情况下，制定尽可能降低风险的风</w:t>
      </w:r>
      <w:r>
        <w:rPr/>
        <w:t> 险管理政策。</w:t>
      </w:r>
    </w:p>
    <w:p>
      <w:pPr>
        <w:pStyle w:val="Heading5"/>
        <w:spacing w:line="348" w:lineRule="auto" w:before="32"/>
        <w:ind w:left="574" w:right="817"/>
        <w:jc w:val="left"/>
      </w:pPr>
      <w:r>
        <w:rPr>
          <w:rFonts w:ascii="宋体" w:hAnsi="宋体" w:cs="宋体" w:eastAsia="宋体" w:hint="default"/>
        </w:rPr>
        <w:t>(</w:t>
      </w:r>
      <w:r>
        <w:rPr/>
        <w:t>一</w:t>
      </w:r>
      <w:r>
        <w:rPr>
          <w:rFonts w:ascii="宋体" w:hAnsi="宋体" w:cs="宋体" w:eastAsia="宋体" w:hint="default"/>
        </w:rPr>
        <w:t>) </w:t>
      </w:r>
      <w:r>
        <w:rPr/>
        <w:t>信用风险 </w:t>
      </w:r>
      <w:r>
        <w:rPr>
          <w:spacing w:val="-1"/>
        </w:rPr>
        <w:t>信用风险是指金融工具的一方不履行义务，造成另一方发生财务损失的风险。本公司主要面临赊销导</w:t>
      </w:r>
    </w:p>
    <w:p>
      <w:pPr>
        <w:pStyle w:val="Heading5"/>
        <w:spacing w:line="240" w:lineRule="auto" w:before="30"/>
        <w:ind w:right="817"/>
        <w:jc w:val="left"/>
      </w:pPr>
      <w:r>
        <w:rPr/>
        <w:t>致的客户信用风险。在签订新合同之前，本公司会对新客户的信用风险进行评估，包括外部信用评级和在</w:t>
      </w:r>
    </w:p>
    <w:p>
      <w:pPr>
        <w:spacing w:after="0" w:line="240" w:lineRule="auto"/>
        <w:jc w:val="left"/>
        <w:sectPr>
          <w:pgSz w:w="11910" w:h="16840"/>
          <w:pgMar w:header="0" w:footer="979" w:top="1100" w:bottom="1160" w:left="980" w:right="0"/>
        </w:sectPr>
      </w:pPr>
    </w:p>
    <w:p>
      <w:pPr>
        <w:spacing w:line="240" w:lineRule="auto" w:before="7"/>
        <w:rPr>
          <w:rFonts w:ascii="宋体" w:hAnsi="宋体" w:cs="宋体" w:eastAsia="宋体" w:hint="default"/>
          <w:sz w:val="27"/>
          <w:szCs w:val="27"/>
        </w:rPr>
      </w:pPr>
    </w:p>
    <w:p>
      <w:pPr>
        <w:pStyle w:val="Heading5"/>
        <w:spacing w:line="348" w:lineRule="auto" w:before="35"/>
        <w:ind w:right="1133"/>
        <w:jc w:val="both"/>
      </w:pP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Heading5"/>
        <w:spacing w:line="350" w:lineRule="auto" w:before="31"/>
        <w:ind w:right="1130" w:firstLine="420"/>
        <w:jc w:val="both"/>
      </w:pPr>
      <w:r>
        <w:rPr>
          <w:spacing w:val="3"/>
        </w:rPr>
        <w:t>公司通过对已有客户信用评级的季度监控以及应收账款账龄分析的月度审核来确保公司的整体信用</w:t>
      </w:r>
      <w:r>
        <w:rPr/>
        <w:t> </w:t>
      </w:r>
      <w:r>
        <w:rPr>
          <w:spacing w:val="-1"/>
        </w:rPr>
        <w:t>风险在可控的范围内。在监控客户的信用风险时，按照客户的信用特征对其分组。被评为“高风险”级别</w:t>
      </w:r>
      <w:r>
        <w:rPr>
          <w:spacing w:val="-82"/>
        </w:rPr>
        <w:t> </w:t>
      </w:r>
      <w:r>
        <w:rPr>
          <w:spacing w:val="-82"/>
        </w:rPr>
      </w:r>
      <w:r>
        <w:rPr>
          <w:spacing w:val="-1"/>
        </w:rPr>
        <w:t>的客户会放在受限制客户名单里，并且只有在额外批准的前提下，公司才可在未来期间内对其赊销，否则</w:t>
      </w:r>
      <w:r>
        <w:rPr>
          <w:spacing w:val="-83"/>
        </w:rPr>
        <w:t> </w:t>
      </w:r>
      <w:r>
        <w:rPr>
          <w:spacing w:val="-83"/>
        </w:rPr>
      </w:r>
      <w:r>
        <w:rPr/>
        <w:t>必须要求其提前支付相应款项。</w:t>
      </w:r>
    </w:p>
    <w:p>
      <w:pPr>
        <w:pStyle w:val="Heading5"/>
        <w:spacing w:line="348" w:lineRule="auto"/>
        <w:ind w:left="574" w:right="1092"/>
        <w:jc w:val="left"/>
      </w:pPr>
      <w:r>
        <w:rPr>
          <w:rFonts w:ascii="宋体" w:hAnsi="宋体" w:cs="宋体" w:eastAsia="宋体" w:hint="default"/>
        </w:rPr>
        <w:t>(</w:t>
      </w:r>
      <w:r>
        <w:rPr/>
        <w:t>二</w:t>
      </w:r>
      <w:r>
        <w:rPr>
          <w:rFonts w:ascii="宋体" w:hAnsi="宋体" w:cs="宋体" w:eastAsia="宋体" w:hint="default"/>
        </w:rPr>
        <w:t>) </w:t>
      </w:r>
      <w:r>
        <w:rPr/>
        <w:t>市场风险 金融工具的市场风险，是指金融工具的公允价值或未来现金流量因市场价格变动而发生波动的风险，</w:t>
      </w:r>
    </w:p>
    <w:p>
      <w:pPr>
        <w:pStyle w:val="Heading5"/>
        <w:spacing w:line="240" w:lineRule="auto" w:before="31"/>
        <w:ind w:right="0"/>
        <w:jc w:val="both"/>
      </w:pPr>
      <w:r>
        <w:rPr/>
        <w:t>包括汇率风险、利率风险和其他价格风险。</w:t>
      </w:r>
    </w:p>
    <w:p>
      <w:pPr>
        <w:pStyle w:val="Heading5"/>
        <w:spacing w:line="348" w:lineRule="auto" w:before="124"/>
        <w:ind w:left="574" w:right="817"/>
        <w:jc w:val="left"/>
      </w:pPr>
      <w:r>
        <w:rPr/>
        <w:t>（</w:t>
      </w:r>
      <w:r>
        <w:rPr>
          <w:rFonts w:ascii="宋体" w:hAnsi="宋体" w:cs="宋体" w:eastAsia="宋体" w:hint="default"/>
        </w:rPr>
        <w:t>1</w:t>
      </w:r>
      <w:r>
        <w:rPr/>
        <w:t>）利率风险 </w:t>
      </w:r>
      <w:r>
        <w:rPr>
          <w:spacing w:val="-1"/>
        </w:rPr>
        <w:t>利率风险，是指金融工具的公允价值或未来现金流量因市场利率变动而发生波动的风险。本公司面临</w:t>
      </w:r>
    </w:p>
    <w:p>
      <w:pPr>
        <w:pStyle w:val="Heading5"/>
        <w:spacing w:line="348" w:lineRule="auto" w:before="31"/>
        <w:ind w:right="1132"/>
        <w:jc w:val="both"/>
      </w:pPr>
      <w:r>
        <w:rPr>
          <w:spacing w:val="-1"/>
        </w:rPr>
        <w:t>的利率风险主要来源于银行短期借款。截至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日止，本公司以同期同档次国家基准利率上浮一</w:t>
      </w:r>
      <w:r>
        <w:rPr>
          <w:spacing w:val="-81"/>
        </w:rPr>
        <w:t> </w:t>
      </w:r>
      <w:r>
        <w:rPr>
          <w:spacing w:val="-81"/>
        </w:rPr>
      </w:r>
      <w:r>
        <w:rPr>
          <w:spacing w:val="-1"/>
        </w:rPr>
        <w:t>定百分比的利率计息的银行借款人民币</w:t>
      </w:r>
      <w:r>
        <w:rPr>
          <w:rFonts w:ascii="宋体" w:hAnsi="宋体" w:cs="宋体" w:eastAsia="宋体" w:hint="default"/>
          <w:spacing w:val="-1"/>
        </w:rPr>
        <w:t>117,000,000.00</w:t>
      </w:r>
      <w:r>
        <w:rPr>
          <w:spacing w:val="-1"/>
        </w:rPr>
        <w:t>元。在其他变量不变的假设下，利率发生合理、可</w:t>
      </w:r>
      <w:r>
        <w:rPr>
          <w:spacing w:val="-77"/>
        </w:rPr>
        <w:t> </w:t>
      </w:r>
      <w:r>
        <w:rPr>
          <w:spacing w:val="-77"/>
        </w:rPr>
      </w:r>
      <w:r>
        <w:rPr/>
        <w:t>能的</w:t>
      </w:r>
      <w:r>
        <w:rPr>
          <w:rFonts w:ascii="宋体" w:hAnsi="宋体" w:cs="宋体" w:eastAsia="宋体" w:hint="default"/>
        </w:rPr>
        <w:t>50%</w:t>
      </w:r>
      <w:r>
        <w:rPr/>
        <w:t>基准点的变动时，将不会对本公司的利润总额和股东权益产生重大的影响。</w:t>
      </w:r>
    </w:p>
    <w:p>
      <w:pPr>
        <w:pStyle w:val="Heading5"/>
        <w:spacing w:line="348" w:lineRule="auto" w:before="31"/>
        <w:ind w:left="574" w:right="817"/>
        <w:jc w:val="left"/>
      </w:pPr>
      <w:r>
        <w:rPr/>
        <w:t>（</w:t>
      </w:r>
      <w:r>
        <w:rPr>
          <w:rFonts w:ascii="宋体" w:hAnsi="宋体" w:cs="宋体" w:eastAsia="宋体" w:hint="default"/>
        </w:rPr>
        <w:t>2</w:t>
      </w:r>
      <w:r>
        <w:rPr/>
        <w:t>）汇率风险 </w:t>
      </w:r>
      <w:r>
        <w:rPr>
          <w:spacing w:val="-1"/>
        </w:rPr>
        <w:t>汇率风险，是指金融工具的公允价值或未来现金流量因外汇汇率变动而发生波动的风险。本公司尽可</w:t>
      </w:r>
    </w:p>
    <w:p>
      <w:pPr>
        <w:pStyle w:val="Heading5"/>
        <w:spacing w:line="350" w:lineRule="auto" w:before="30"/>
        <w:ind w:right="1023"/>
        <w:jc w:val="left"/>
      </w:pPr>
      <w:r>
        <w:rPr>
          <w:spacing w:val="-3"/>
        </w:rPr>
        <w:t>能将外币收入与外币支出相匹配以降低汇率风险。公司的主要经营位于中国境内，主要业务以人民币结算，</w:t>
      </w:r>
      <w:r>
        <w:rPr>
          <w:spacing w:val="-92"/>
        </w:rPr>
        <w:t> </w:t>
      </w:r>
      <w:r>
        <w:rPr>
          <w:spacing w:val="-92"/>
        </w:rPr>
      </w:r>
      <w:r>
        <w:rPr/>
        <w:t>本公司存在的汇率风险较小。</w:t>
      </w:r>
    </w:p>
    <w:p>
      <w:pPr>
        <w:pStyle w:val="Heading5"/>
        <w:spacing w:line="348" w:lineRule="auto"/>
        <w:ind w:left="574" w:right="1092"/>
        <w:jc w:val="left"/>
      </w:pPr>
      <w:r>
        <w:rPr>
          <w:rFonts w:ascii="宋体" w:hAnsi="宋体" w:cs="宋体" w:eastAsia="宋体" w:hint="default"/>
        </w:rPr>
        <w:t>(</w:t>
      </w:r>
      <w:r>
        <w:rPr/>
        <w:t>三</w:t>
      </w:r>
      <w:r>
        <w:rPr>
          <w:rFonts w:ascii="宋体" w:hAnsi="宋体" w:cs="宋体" w:eastAsia="宋体" w:hint="default"/>
        </w:rPr>
        <w:t>) </w:t>
      </w:r>
      <w:r>
        <w:rPr/>
        <w:t>流动性风险 流动性风险，是指企业在履行以交付现金或其他金融资产的方式结算的义务时发生资金短缺的风险。</w:t>
      </w:r>
    </w:p>
    <w:p>
      <w:pPr>
        <w:pStyle w:val="Heading5"/>
        <w:spacing w:line="348" w:lineRule="auto" w:before="31"/>
        <w:ind w:right="1131"/>
        <w:jc w:val="both"/>
      </w:pPr>
      <w:r>
        <w:rPr>
          <w:spacing w:val="-1"/>
        </w:rPr>
        <w:t>本公司的政策是确保拥有充足的现金以偿还到期债务。流动性风险由本公司的财务部门集中控制。财务部</w:t>
      </w:r>
      <w:r>
        <w:rPr>
          <w:spacing w:val="-81"/>
        </w:rPr>
        <w:t> </w:t>
      </w:r>
      <w:r>
        <w:rPr>
          <w:spacing w:val="-81"/>
        </w:rPr>
      </w:r>
      <w:r>
        <w:rPr>
          <w:spacing w:val="-1"/>
        </w:rPr>
        <w:t>门通过监控现金余额、可随时变现的有价证券以及对未来</w:t>
      </w:r>
      <w:r>
        <w:rPr>
          <w:rFonts w:ascii="宋体" w:hAnsi="宋体" w:cs="宋体" w:eastAsia="宋体" w:hint="default"/>
          <w:spacing w:val="-1"/>
        </w:rPr>
        <w:t>12</w:t>
      </w:r>
      <w:r>
        <w:rPr>
          <w:spacing w:val="-1"/>
        </w:rPr>
        <w:t>个月现金流量的滚动预测，确保公司在所有合</w:t>
      </w:r>
      <w:r>
        <w:rPr>
          <w:spacing w:val="-83"/>
        </w:rPr>
        <w:t> </w:t>
      </w:r>
      <w:r>
        <w:rPr>
          <w:spacing w:val="-83"/>
        </w:rPr>
      </w:r>
      <w:r>
        <w:rPr/>
        <w:t>理预测的情况下拥有充足的资金偿还债务。</w:t>
      </w:r>
    </w:p>
    <w:p>
      <w:pPr>
        <w:spacing w:line="240" w:lineRule="auto" w:before="10"/>
        <w:rPr>
          <w:rFonts w:ascii="宋体" w:hAnsi="宋体" w:cs="宋体" w:eastAsia="宋体" w:hint="default"/>
          <w:sz w:val="16"/>
          <w:szCs w:val="16"/>
        </w:rPr>
      </w:pPr>
    </w:p>
    <w:p>
      <w:pPr>
        <w:pStyle w:val="Heading2"/>
        <w:spacing w:line="240" w:lineRule="auto"/>
        <w:ind w:right="0"/>
        <w:jc w:val="both"/>
        <w:rPr>
          <w:b w:val="0"/>
          <w:bCs w:val="0"/>
        </w:rPr>
      </w:pPr>
      <w:bookmarkStart w:name="十一、关联方及关联交易" w:id="367"/>
      <w:bookmarkEnd w:id="367"/>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企业的母公司情况" w:id="368"/>
      <w:bookmarkEnd w:id="36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林旭曦（自然人）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张杰（自然人）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r>
    </w:tbl>
    <w:p>
      <w:pPr>
        <w:spacing w:line="240" w:lineRule="auto" w:before="7"/>
        <w:rPr>
          <w:rFonts w:ascii="宋体" w:hAnsi="宋体" w:cs="宋体" w:eastAsia="宋体" w:hint="default"/>
          <w:b/>
          <w:bCs/>
          <w:sz w:val="27"/>
          <w:szCs w:val="27"/>
        </w:rPr>
      </w:pPr>
    </w:p>
    <w:p>
      <w:pPr>
        <w:pStyle w:val="BodyText"/>
        <w:spacing w:line="240" w:lineRule="auto" w:before="44"/>
        <w:ind w:right="817"/>
        <w:jc w:val="left"/>
      </w:pPr>
      <w:r>
        <w:rPr/>
        <w:t>其他说明：</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817"/>
        <w:jc w:val="left"/>
        <w:rPr>
          <w:b w:val="0"/>
          <w:bCs w:val="0"/>
        </w:rPr>
      </w:pPr>
      <w:bookmarkStart w:name="2、本企业的子公司情况" w:id="369"/>
      <w:bookmarkEnd w:id="36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本企业子公司的情况详见附注七、在其他主体中的权益。</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3、本企业合营和联营企业情况" w:id="370"/>
      <w:bookmarkEnd w:id="37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本企业重要的合营或联营企业详见附注七、在其他主体中的权益。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4、其他关联方情况" w:id="371"/>
      <w:bookmarkEnd w:id="37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庆云剧派网络科技有限公司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中防联盟（北京）技术开发有限公司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11.11%</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深圳国金天使投资企业（有限合伙）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2.2727%</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厦门市虹约产品设计有限公司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上海桎影数码科技有限公司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九次方大数据信息集团有限公司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1.055%</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计易数据科技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33.76%</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深圳市尚彩科技有限公司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子公司北京联移持股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国金天使投资基金（开曼）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子公司香港安妮持股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成都幸运节拍数字技术有限公司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子公司畅元国讯持股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中广云（北京）科技有限公司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子公司畅元国讯持股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成都思品科技有限公司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子公司畅元国讯持股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安妮（厦门）健康管理有限公司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世融（厦门）投资控股有限公司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壹捷天成（厦门）投资管理有限公司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安策（厦门）投资管理有限公司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厦门市英加投资管理合伙企业（有限合伙）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川隆（厦门）投资管理有限公司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厦门伯杰达远股权投资合伙企业（有限合伙）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厦门伯杰投资合伙企业（有限合伙）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厦门市英聚投资管理合伙企业（有限合伙）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厦门市九创投资管理合伙企业（有限合伙）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安信依（厦门）投资管理有限公司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安妮（厦门）投资控股有限公司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安之初（厦门）教育咨询有限公司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安之行（厦门）企业咨询服务有限公司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受本公司实际控制人张杰、林旭曦控制的公司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悦一影视文化（北京）有限公司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受陈兆斌关系密切的家庭成员控制的公司</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5、关联交易情况" w:id="372"/>
      <w:bookmarkEnd w:id="37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1）购销商品、提供和接受劳务的关联交易" w:id="373"/>
      <w:bookmarkEnd w:id="37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7"/>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庆云剧派网络科技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3,960,000.00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817"/>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厦门市虹约产品设计有限公司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厦门市虹约产品设计有限公司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厦门市虹约产品设计有限公司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计易数据科技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计易数据科技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庆云剧派网络科技有限公司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庆云剧派网络科技有限公司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817"/>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2）关联租赁情况" w:id="374"/>
      <w:bookmarkEnd w:id="374"/>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t>关联租赁情况说明</w:t>
      </w:r>
    </w:p>
    <w:p>
      <w:pPr>
        <w:spacing w:line="240" w:lineRule="auto" w:before="9"/>
        <w:rPr>
          <w:rFonts w:ascii="宋体" w:hAnsi="宋体" w:cs="宋体" w:eastAsia="宋体" w:hint="default"/>
          <w:sz w:val="13"/>
          <w:szCs w:val="13"/>
        </w:rPr>
      </w:pPr>
    </w:p>
    <w:p>
      <w:pPr>
        <w:pStyle w:val="Heading5"/>
        <w:spacing w:line="348" w:lineRule="auto" w:before="0"/>
        <w:ind w:right="817" w:firstLine="420"/>
        <w:jc w:val="left"/>
      </w:pPr>
      <w:r>
        <w:rPr>
          <w:spacing w:val="3"/>
        </w:rPr>
        <w:t>本公司全资子公司北京安妮全版权科技发展有限公司</w:t>
      </w:r>
      <w:r>
        <w:rPr>
          <w:rFonts w:ascii="宋体" w:hAnsi="宋体" w:cs="宋体" w:eastAsia="宋体" w:hint="default"/>
          <w:spacing w:val="3"/>
        </w:rPr>
        <w:t>2018</w:t>
      </w:r>
      <w:r>
        <w:rPr>
          <w:spacing w:val="3"/>
        </w:rPr>
        <w:t>年向庆云剧派网络科技有限公司提供员工</w:t>
      </w:r>
      <w:r>
        <w:rPr/>
        <w:t> 工位、办公室租赁，租赁费合计含税金额</w:t>
      </w:r>
      <w:r>
        <w:rPr>
          <w:rFonts w:ascii="宋体" w:hAnsi="宋体" w:cs="宋体" w:eastAsia="宋体" w:hint="default"/>
        </w:rPr>
        <w:t>296,833.00</w:t>
      </w:r>
      <w:r>
        <w:rPr/>
        <w:t>元。</w:t>
      </w:r>
    </w:p>
    <w:p>
      <w:pPr>
        <w:spacing w:line="240" w:lineRule="auto" w:before="7"/>
        <w:rPr>
          <w:rFonts w:ascii="宋体" w:hAnsi="宋体" w:cs="宋体" w:eastAsia="宋体" w:hint="default"/>
          <w:sz w:val="18"/>
          <w:szCs w:val="18"/>
        </w:rPr>
      </w:pPr>
    </w:p>
    <w:p>
      <w:pPr>
        <w:pStyle w:val="Heading4"/>
        <w:spacing w:line="240" w:lineRule="auto"/>
        <w:ind w:right="817"/>
        <w:jc w:val="left"/>
        <w:rPr>
          <w:b w:val="0"/>
          <w:bCs w:val="0"/>
        </w:rPr>
      </w:pPr>
      <w:bookmarkStart w:name="（3）关键管理人员报酬" w:id="375"/>
      <w:bookmarkEnd w:id="375"/>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9" w:right="0"/>
              <w:jc w:val="left"/>
              <w:rPr>
                <w:rFonts w:ascii="Arial Narrow" w:hAnsi="Arial Narrow" w:cs="Arial Narrow" w:eastAsia="Arial Narrow" w:hint="default"/>
                <w:sz w:val="18"/>
                <w:szCs w:val="18"/>
              </w:rPr>
            </w:pPr>
            <w:r>
              <w:rPr>
                <w:rFonts w:ascii="Arial Narrow"/>
                <w:sz w:val="18"/>
              </w:rPr>
              <w:t>2,263,528.96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9" w:right="0"/>
              <w:jc w:val="left"/>
              <w:rPr>
                <w:rFonts w:ascii="Arial Narrow" w:hAnsi="Arial Narrow" w:cs="Arial Narrow" w:eastAsia="Arial Narrow" w:hint="default"/>
                <w:sz w:val="18"/>
                <w:szCs w:val="18"/>
              </w:rPr>
            </w:pPr>
            <w:r>
              <w:rPr>
                <w:rFonts w:ascii="Arial Narrow"/>
                <w:sz w:val="18"/>
              </w:rPr>
              <w:t>2,070,600.00</w:t>
            </w:r>
          </w:p>
        </w:tc>
      </w:tr>
    </w:tbl>
    <w:p>
      <w:pPr>
        <w:spacing w:after="0" w:line="240" w:lineRule="auto"/>
        <w:jc w:val="left"/>
        <w:rPr>
          <w:rFonts w:ascii="Arial Narrow" w:hAnsi="Arial Narrow" w:cs="Arial Narrow" w:eastAsia="Arial Narrow"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817"/>
        <w:jc w:val="left"/>
        <w:rPr>
          <w:b w:val="0"/>
          <w:bCs w:val="0"/>
        </w:rPr>
      </w:pPr>
      <w:bookmarkStart w:name="（4）其他关联交易" w:id="376"/>
      <w:bookmarkEnd w:id="376"/>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6、关联方应收应付款项" w:id="377"/>
      <w:bookmarkEnd w:id="37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17"/>
        <w:jc w:val="left"/>
        <w:rPr>
          <w:b w:val="0"/>
          <w:bCs w:val="0"/>
        </w:rPr>
      </w:pPr>
      <w:bookmarkStart w:name="（1）应收项目" w:id="378"/>
      <w:bookmarkEnd w:id="37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悦一影视文化（北 京）</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185,000.00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厦门市虹约产品设 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庆云剧派网络科技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758,490.57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应付项目" w:id="379"/>
      <w:bookmarkEnd w:id="37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z w:val="18"/>
                <w:szCs w:val="18"/>
              </w:rPr>
              <w:t>悦一影视文化（北京）有限公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庆云剧派网络科技有限公司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7、关联方承诺" w:id="380"/>
      <w:bookmarkEnd w:id="38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7"/>
        <w:jc w:val="left"/>
      </w:pPr>
      <w:r>
        <w:rPr/>
        <w:t>无</w:t>
      </w:r>
    </w:p>
    <w:p>
      <w:pPr>
        <w:spacing w:line="240" w:lineRule="auto" w:before="12"/>
        <w:rPr>
          <w:rFonts w:ascii="宋体" w:hAnsi="宋体" w:cs="宋体" w:eastAsia="宋体" w:hint="default"/>
          <w:sz w:val="26"/>
          <w:szCs w:val="26"/>
        </w:rPr>
      </w:pPr>
    </w:p>
    <w:p>
      <w:pPr>
        <w:spacing w:line="487" w:lineRule="auto" w:before="0"/>
        <w:ind w:left="154" w:right="8750" w:firstLine="0"/>
        <w:jc w:val="left"/>
        <w:rPr>
          <w:rFonts w:ascii="宋体" w:hAnsi="宋体" w:cs="宋体" w:eastAsia="宋体" w:hint="default"/>
          <w:sz w:val="21"/>
          <w:szCs w:val="21"/>
        </w:rPr>
      </w:pPr>
      <w:bookmarkStart w:name="8、其他" w:id="381"/>
      <w:bookmarkEnd w:id="38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股份支付" w:id="382"/>
      <w:bookmarkEnd w:id="382"/>
      <w:r>
        <w:rPr>
          <w:rFonts w:ascii="宋体" w:hAnsi="宋体" w:cs="宋体" w:eastAsia="宋体" w:hint="default"/>
          <w:b/>
          <w:bCs/>
          <w:spacing w:val="1"/>
          <w:w w:val="99"/>
          <w:sz w:val="21"/>
          <w:szCs w:val="21"/>
        </w:rPr>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bookmarkStart w:name="1、股份支付总体情况" w:id="383"/>
      <w:bookmarkEnd w:id="38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55,890,200.00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17,319,320.00</w:t>
            </w:r>
          </w:p>
        </w:tc>
      </w:tr>
      <w:tr>
        <w:trPr>
          <w:trHeight w:val="67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元；合同剩余期限：约</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28"/>
                <w:sz w:val="18"/>
                <w:szCs w:val="18"/>
              </w:rPr>
              <w:t>月</w:t>
            </w:r>
            <w:r>
              <w:rPr>
                <w:rFonts w:ascii="宋体" w:hAnsi="宋体" w:cs="宋体" w:eastAsia="宋体" w:hint="default"/>
                <w:sz w:val="18"/>
                <w:szCs w:val="18"/>
              </w:rPr>
              <w:t>（到</w:t>
            </w:r>
            <w:r>
              <w:rPr>
                <w:rFonts w:ascii="宋体" w:hAnsi="宋体" w:cs="宋体" w:eastAsia="宋体" w:hint="default"/>
                <w:spacing w:val="1"/>
                <w:sz w:val="18"/>
                <w:szCs w:val="18"/>
              </w:rPr>
              <w:t>期</w:t>
            </w:r>
            <w:r>
              <w:rPr>
                <w:rFonts w:ascii="宋体" w:hAnsi="宋体" w:cs="宋体" w:eastAsia="宋体" w:hint="default"/>
                <w:sz w:val="18"/>
                <w:szCs w:val="18"/>
              </w:rPr>
              <w:t>日</w:t>
            </w:r>
            <w:r>
              <w:rPr>
                <w:rFonts w:ascii="宋体" w:hAnsi="宋体" w:cs="宋体" w:eastAsia="宋体" w:hint="default"/>
                <w:spacing w:val="-28"/>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限</w:t>
            </w:r>
            <w:r>
              <w:rPr>
                <w:rFonts w:ascii="宋体" w:hAnsi="宋体" w:cs="宋体" w:eastAsia="宋体" w:hint="default"/>
                <w:spacing w:val="1"/>
                <w:sz w:val="18"/>
                <w:szCs w:val="18"/>
              </w:rPr>
              <w:t>制</w:t>
            </w:r>
            <w:r>
              <w:rPr>
                <w:rFonts w:ascii="宋体" w:hAnsi="宋体" w:cs="宋体" w:eastAsia="宋体" w:hint="default"/>
                <w:sz w:val="18"/>
                <w:szCs w:val="18"/>
              </w:rPr>
              <w:t>性股票期</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67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权：行权价格为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元；合同剩余期限：约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81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817"/>
        <w:jc w:val="left"/>
        <w:rPr>
          <w:b w:val="0"/>
          <w:bCs w:val="0"/>
        </w:rPr>
      </w:pPr>
      <w:bookmarkStart w:name="2、以权益结算的股份支付情况" w:id="384"/>
      <w:bookmarkEnd w:id="38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采用授予日市场收盘价格</w:t>
            </w:r>
          </w:p>
        </w:tc>
      </w:tr>
      <w:tr>
        <w:trPr>
          <w:trHeight w:val="1650"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在等待期内每个资产负债表日，企业应当根据最新取得的 可行权职工人数变动等后续信息作出最佳估计，修正预计 可行权的权益工具数量，并以此为依据确认各期应分摊的 费用。在可行权日，最终预计可行权权益工具的数量应当 与实际可行权工具的数量一致。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8,354,699.56</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8,354,699.56</w:t>
            </w:r>
          </w:p>
        </w:tc>
      </w:tr>
    </w:tbl>
    <w:p>
      <w:pPr>
        <w:pStyle w:val="BodyText"/>
        <w:spacing w:line="240" w:lineRule="auto" w:before="51"/>
        <w:ind w:right="0"/>
        <w:jc w:val="both"/>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3、以现金结算的股份支付情况" w:id="385"/>
      <w:bookmarkEnd w:id="38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704" w:lineRule="exact" w:before="18"/>
        <w:ind w:left="574" w:right="817" w:hanging="420"/>
        <w:jc w:val="left"/>
        <w:rPr>
          <w:rFonts w:ascii="宋体" w:hAnsi="宋体" w:cs="宋体" w:eastAsia="宋体" w:hint="default"/>
          <w:sz w:val="21"/>
          <w:szCs w:val="21"/>
        </w:rPr>
      </w:pPr>
      <w:bookmarkStart w:name="4、股份支付的修改、终止情况" w:id="386"/>
      <w:bookmarkEnd w:id="38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pacing w:val="-1"/>
          <w:sz w:val="21"/>
          <w:szCs w:val="21"/>
        </w:rPr>
        <w:t>根据《上市公司股权激励管理办法》、公司股票期权与限制性股票激励计划等相关规定，董事会将回</w:t>
      </w:r>
    </w:p>
    <w:p>
      <w:pPr>
        <w:pStyle w:val="Heading5"/>
        <w:spacing w:line="350" w:lineRule="auto" w:before="13"/>
        <w:ind w:right="1131"/>
        <w:jc w:val="both"/>
      </w:pPr>
      <w:r>
        <w:rPr>
          <w:spacing w:val="-1"/>
        </w:rPr>
        <w:t>购注销限制性股票</w:t>
      </w:r>
      <w:r>
        <w:rPr>
          <w:rFonts w:ascii="宋体" w:hAnsi="宋体" w:cs="宋体" w:eastAsia="宋体" w:hint="default"/>
          <w:spacing w:val="-1"/>
        </w:rPr>
        <w:t>1,386,000.00</w:t>
      </w:r>
      <w:r>
        <w:rPr>
          <w:spacing w:val="-1"/>
        </w:rPr>
        <w:t>股，并注销股票期权</w:t>
      </w:r>
      <w:r>
        <w:rPr>
          <w:rFonts w:ascii="宋体" w:hAnsi="宋体" w:cs="宋体" w:eastAsia="宋体" w:hint="default"/>
          <w:spacing w:val="-1"/>
        </w:rPr>
        <w:t>1,590,000</w:t>
      </w:r>
      <w:r>
        <w:rPr>
          <w:spacing w:val="-1"/>
        </w:rPr>
        <w:t>份。包括：一、对</w:t>
      </w:r>
      <w:r>
        <w:rPr>
          <w:rFonts w:ascii="宋体" w:hAnsi="宋体" w:cs="宋体" w:eastAsia="宋体" w:hint="default"/>
          <w:spacing w:val="-1"/>
        </w:rPr>
        <w:t>3</w:t>
      </w:r>
      <w:r>
        <w:rPr>
          <w:spacing w:val="-1"/>
        </w:rPr>
        <w:t>名人员已离职或不在股</w:t>
      </w:r>
      <w:r>
        <w:rPr>
          <w:spacing w:val="-77"/>
        </w:rPr>
        <w:t> </w:t>
      </w:r>
      <w:r>
        <w:rPr>
          <w:spacing w:val="-77"/>
        </w:rPr>
      </w:r>
      <w:r>
        <w:rPr>
          <w:spacing w:val="3"/>
        </w:rPr>
        <w:t>权激励设置时的核心岗位担任职位而无法完成业绩考核等不符合激励条件的人员回购注销其全部已获授</w:t>
      </w:r>
      <w:r>
        <w:rPr>
          <w:spacing w:val="-82"/>
        </w:rPr>
        <w:t> </w:t>
      </w:r>
      <w:r>
        <w:rPr>
          <w:spacing w:val="-82"/>
        </w:rPr>
      </w:r>
      <w:r>
        <w:rPr>
          <w:spacing w:val="-1"/>
        </w:rPr>
        <w:t>但尚未解锁的限制性股票</w:t>
      </w:r>
      <w:r>
        <w:rPr>
          <w:rFonts w:ascii="宋体" w:hAnsi="宋体" w:cs="宋体" w:eastAsia="宋体" w:hint="default"/>
          <w:spacing w:val="-1"/>
        </w:rPr>
        <w:t>612,000</w:t>
      </w:r>
      <w:r>
        <w:rPr>
          <w:spacing w:val="-1"/>
        </w:rPr>
        <w:t>股，注销其全部已获授但尚未行权的股票期权</w:t>
      </w:r>
      <w:r>
        <w:rPr>
          <w:rFonts w:ascii="宋体" w:hAnsi="宋体" w:cs="宋体" w:eastAsia="宋体" w:hint="default"/>
          <w:spacing w:val="-1"/>
        </w:rPr>
        <w:t>372,000</w:t>
      </w:r>
      <w:r>
        <w:rPr>
          <w:spacing w:val="-1"/>
        </w:rPr>
        <w:t>份；二、由于公司</w:t>
      </w:r>
      <w:r>
        <w:rPr>
          <w:spacing w:val="-80"/>
        </w:rPr>
        <w:t> </w:t>
      </w:r>
      <w:r>
        <w:rPr>
          <w:spacing w:val="-80"/>
        </w:rPr>
      </w:r>
      <w:r>
        <w:rPr>
          <w:rFonts w:ascii="宋体" w:hAnsi="宋体" w:cs="宋体" w:eastAsia="宋体" w:hint="default"/>
          <w:spacing w:val="13"/>
        </w:rPr>
        <w:t>2018</w:t>
      </w:r>
      <w:r>
        <w:rPr>
          <w:spacing w:val="13"/>
        </w:rPr>
        <w:t>年业绩未达解锁及行权条件，公司对激励对象回购注销其部分已获授但尚未解锁的限制性股票</w:t>
      </w:r>
    </w:p>
    <w:p>
      <w:pPr>
        <w:pStyle w:val="Heading5"/>
        <w:spacing w:line="348" w:lineRule="auto" w:before="29"/>
        <w:ind w:right="1132"/>
        <w:jc w:val="both"/>
      </w:pPr>
      <w:r>
        <w:rPr>
          <w:rFonts w:ascii="宋体" w:hAnsi="宋体" w:cs="宋体" w:eastAsia="宋体" w:hint="default"/>
          <w:spacing w:val="-1"/>
        </w:rPr>
        <w:t>978,000.00</w:t>
      </w:r>
      <w:r>
        <w:rPr>
          <w:spacing w:val="-1"/>
        </w:rPr>
        <w:t>股，注销其部分已获授但尚未行权的股票期权</w:t>
      </w:r>
      <w:r>
        <w:rPr>
          <w:rFonts w:ascii="宋体" w:hAnsi="宋体" w:cs="宋体" w:eastAsia="宋体" w:hint="default"/>
          <w:spacing w:val="-1"/>
        </w:rPr>
        <w:t>1,014,000.00</w:t>
      </w:r>
      <w:r>
        <w:rPr>
          <w:spacing w:val="-1"/>
        </w:rPr>
        <w:t>份（以上所述的限制性股票股数及</w:t>
      </w:r>
      <w:r>
        <w:rPr>
          <w:spacing w:val="-72"/>
        </w:rPr>
        <w:t> </w:t>
      </w:r>
      <w:r>
        <w:rPr>
          <w:spacing w:val="-72"/>
        </w:rPr>
      </w:r>
      <w:r>
        <w:rPr/>
        <w:t>股票期权份数均为按</w:t>
      </w:r>
      <w:r>
        <w:rPr>
          <w:rFonts w:ascii="宋体" w:hAnsi="宋体" w:cs="宋体" w:eastAsia="宋体" w:hint="default"/>
        </w:rPr>
        <w:t>2018</w:t>
      </w:r>
      <w:r>
        <w:rPr/>
        <w:t>年实施资本公积转增后调整的数量列示）。</w:t>
      </w:r>
    </w:p>
    <w:p>
      <w:pPr>
        <w:spacing w:after="0" w:line="348" w:lineRule="auto"/>
        <w:jc w:val="both"/>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spacing w:line="487" w:lineRule="auto" w:before="35"/>
        <w:ind w:left="154" w:right="8412" w:firstLine="0"/>
        <w:jc w:val="left"/>
        <w:rPr>
          <w:rFonts w:ascii="宋体" w:hAnsi="宋体" w:cs="宋体" w:eastAsia="宋体" w:hint="default"/>
          <w:sz w:val="21"/>
          <w:szCs w:val="21"/>
        </w:rPr>
      </w:pPr>
      <w:bookmarkStart w:name="5、其他" w:id="387"/>
      <w:bookmarkEnd w:id="3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388"/>
      <w:bookmarkEnd w:id="38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389"/>
      <w:bookmarkEnd w:id="389"/>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pStyle w:val="Heading5"/>
        <w:spacing w:line="240" w:lineRule="auto" w:before="0"/>
        <w:ind w:right="817"/>
        <w:jc w:val="left"/>
      </w:pPr>
      <w:r>
        <w:rPr/>
        <w:t>截止</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日，本公司无需要披露的重要承诺事项。</w:t>
      </w:r>
    </w:p>
    <w:p>
      <w:pPr>
        <w:spacing w:line="240" w:lineRule="auto" w:before="5"/>
        <w:rPr>
          <w:rFonts w:ascii="宋体" w:hAnsi="宋体" w:cs="宋体" w:eastAsia="宋体" w:hint="default"/>
          <w:sz w:val="24"/>
          <w:szCs w:val="24"/>
        </w:rPr>
      </w:pPr>
    </w:p>
    <w:p>
      <w:pPr>
        <w:pStyle w:val="Heading4"/>
        <w:spacing w:line="240" w:lineRule="auto"/>
        <w:ind w:right="817"/>
        <w:jc w:val="left"/>
        <w:rPr>
          <w:b w:val="0"/>
          <w:bCs w:val="0"/>
        </w:rPr>
      </w:pPr>
      <w:bookmarkStart w:name="2、或有事项" w:id="390"/>
      <w:bookmarkEnd w:id="39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资产负债表日存在的重要或有事项" w:id="391"/>
      <w:bookmarkEnd w:id="39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5587" w:firstLine="0"/>
        <w:jc w:val="left"/>
        <w:rPr>
          <w:rFonts w:ascii="宋体" w:hAnsi="宋体" w:cs="宋体" w:eastAsia="宋体" w:hint="default"/>
          <w:sz w:val="21"/>
          <w:szCs w:val="21"/>
        </w:rPr>
      </w:pPr>
      <w:bookmarkStart w:name="（2）公司没有需要披露的重要或有事项，也应予以说明"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spacing w:line="487" w:lineRule="auto" w:before="103"/>
        <w:ind w:left="154" w:right="7812" w:firstLine="0"/>
        <w:jc w:val="left"/>
        <w:rPr>
          <w:rFonts w:ascii="宋体" w:hAnsi="宋体" w:cs="宋体" w:eastAsia="宋体" w:hint="default"/>
          <w:sz w:val="21"/>
          <w:szCs w:val="21"/>
        </w:rPr>
      </w:pPr>
      <w:bookmarkStart w:name="3、其他" w:id="393"/>
      <w:bookmarkEnd w:id="3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394"/>
      <w:bookmarkEnd w:id="39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 重要的非调整事项" w:id="395"/>
      <w:bookmarkEnd w:id="39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5"/>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9"/>
        <w:ind w:right="817"/>
        <w:jc w:val="left"/>
      </w:pPr>
      <w:r>
        <w:rPr/>
        <w:t>无</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2、 利润分配情况" w:id="396"/>
      <w:bookmarkEnd w:id="396"/>
      <w:r>
        <w:rPr>
          <w:b w:val="0"/>
          <w:bCs w:val="0"/>
        </w:rPr>
      </w:r>
      <w:r>
        <w:rPr>
          <w:rFonts w:ascii="Times New Roman" w:hAnsi="Times New Roman" w:cs="Times New Roman" w:eastAsia="Times New Roman" w:hint="default"/>
        </w:rPr>
        <w:t>2</w:t>
      </w:r>
      <w:r>
        <w:rPr/>
        <w:t>、</w:t>
      </w:r>
      <w:r>
        <w:rPr>
          <w:spacing w:val="-65"/>
        </w:rPr>
        <w:t> </w:t>
      </w:r>
      <w:r>
        <w:rPr/>
        <w:t>利润分配情况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817"/>
        <w:jc w:val="left"/>
      </w:pPr>
      <w:r>
        <w:rPr/>
        <w:t>无</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3、销售退回" w:id="397"/>
      <w:bookmarkEnd w:id="39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17"/>
        <w:jc w:val="left"/>
        <w:rPr>
          <w:b w:val="0"/>
          <w:bCs w:val="0"/>
        </w:rPr>
      </w:pPr>
      <w:bookmarkStart w:name="4、其他资产负债表日后事项说明" w:id="398"/>
      <w:bookmarkEnd w:id="39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12"/>
        <w:rPr>
          <w:rFonts w:ascii="宋体" w:hAnsi="宋体" w:cs="宋体" w:eastAsia="宋体" w:hint="default"/>
          <w:b/>
          <w:bCs/>
          <w:sz w:val="22"/>
          <w:szCs w:val="22"/>
        </w:rPr>
      </w:pPr>
    </w:p>
    <w:p>
      <w:pPr>
        <w:spacing w:line="506" w:lineRule="auto" w:before="0"/>
        <w:ind w:left="154" w:right="8583" w:firstLine="0"/>
        <w:jc w:val="left"/>
        <w:rPr>
          <w:rFonts w:ascii="宋体" w:hAnsi="宋体" w:cs="宋体" w:eastAsia="宋体" w:hint="default"/>
          <w:sz w:val="18"/>
          <w:szCs w:val="18"/>
        </w:rPr>
      </w:pPr>
      <w:bookmarkStart w:name="十六、其他重要事项" w:id="399"/>
      <w:bookmarkEnd w:id="399"/>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 前期会计差错更正" w:id="400"/>
      <w:bookmarkEnd w:id="4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51"/>
        <w:ind w:right="817"/>
        <w:jc w:val="left"/>
        <w:rPr>
          <w:b w:val="0"/>
          <w:bCs w:val="0"/>
        </w:rPr>
      </w:pPr>
      <w:bookmarkStart w:name="8、其他" w:id="401"/>
      <w:bookmarkEnd w:id="401"/>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31"/>
          <w:szCs w:val="31"/>
        </w:rPr>
      </w:pPr>
    </w:p>
    <w:p>
      <w:pPr>
        <w:pStyle w:val="Heading5"/>
        <w:spacing w:line="348" w:lineRule="auto" w:before="0"/>
        <w:ind w:left="574" w:right="817" w:firstLine="3"/>
        <w:jc w:val="left"/>
      </w:pPr>
      <w:r>
        <w:rPr/>
        <w:t>一、重要诉讼事项： </w:t>
      </w:r>
      <w:r>
        <w:rPr>
          <w:rFonts w:ascii="宋体" w:hAnsi="宋体" w:cs="宋体" w:eastAsia="宋体" w:hint="default"/>
          <w:spacing w:val="-1"/>
        </w:rPr>
        <w:t>1</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23</w:t>
      </w:r>
      <w:r>
        <w:rPr>
          <w:spacing w:val="-1"/>
        </w:rPr>
        <w:t>日，安妮企业就现成文化用品（深圳）有限公司（以下简称“现成文化”）、艾迪芙</w:t>
      </w:r>
    </w:p>
    <w:p>
      <w:pPr>
        <w:pStyle w:val="Heading5"/>
        <w:spacing w:line="240" w:lineRule="auto" w:before="30"/>
        <w:ind w:right="817"/>
        <w:jc w:val="left"/>
        <w:rPr>
          <w:rFonts w:ascii="宋体" w:hAnsi="宋体" w:cs="宋体" w:eastAsia="宋体" w:hint="default"/>
        </w:rPr>
      </w:pPr>
      <w:r>
        <w:rPr/>
        <w:t>文化用品（深圳）有限公司（以下简称“艾迪芙”）拖欠款项提起诉讼，请求现成文化支付</w:t>
      </w:r>
      <w:r>
        <w:rPr>
          <w:rFonts w:ascii="宋体" w:hAnsi="宋体" w:cs="宋体" w:eastAsia="宋体" w:hint="default"/>
        </w:rPr>
        <w:t>9,151,226.74</w:t>
      </w:r>
    </w:p>
    <w:p>
      <w:pPr>
        <w:spacing w:after="0" w:line="240" w:lineRule="auto"/>
        <w:jc w:val="left"/>
        <w:rPr>
          <w:rFonts w:ascii="宋体" w:hAnsi="宋体" w:cs="宋体" w:eastAsia="宋体" w:hint="default"/>
        </w:rPr>
        <w:sectPr>
          <w:pgSz w:w="11910" w:h="16840"/>
          <w:pgMar w:header="0" w:footer="979" w:top="1100" w:bottom="1160" w:left="980" w:right="0"/>
        </w:sectPr>
      </w:pPr>
    </w:p>
    <w:p>
      <w:pPr>
        <w:spacing w:line="240" w:lineRule="auto" w:before="7"/>
        <w:rPr>
          <w:rFonts w:ascii="宋体" w:hAnsi="宋体" w:cs="宋体" w:eastAsia="宋体" w:hint="default"/>
          <w:sz w:val="27"/>
          <w:szCs w:val="27"/>
        </w:rPr>
      </w:pPr>
    </w:p>
    <w:p>
      <w:pPr>
        <w:pStyle w:val="Heading5"/>
        <w:spacing w:line="350" w:lineRule="auto" w:before="35"/>
        <w:ind w:right="1127"/>
        <w:jc w:val="both"/>
      </w:pPr>
      <w:r>
        <w:rPr>
          <w:spacing w:val="-1"/>
        </w:rPr>
        <w:t>元及相应逾期还款利息，艾迪芙对现成文化的上述债务承担连带清偿责任，诉讼费用及保全费用由现成文</w:t>
      </w:r>
      <w:r>
        <w:rPr>
          <w:spacing w:val="-81"/>
        </w:rPr>
        <w:t> </w:t>
      </w:r>
      <w:r>
        <w:rPr>
          <w:spacing w:val="-81"/>
        </w:rPr>
      </w:r>
      <w:r>
        <w:rPr/>
        <w:t>化与艾迪芙承担。</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22</w:t>
      </w:r>
      <w:r>
        <w:rPr/>
        <w:t>日，根据福建省厦门市中级人民法院民事调解书</w:t>
      </w:r>
      <w:r>
        <w:rPr>
          <w:rFonts w:ascii="宋体" w:hAnsi="宋体" w:cs="宋体" w:eastAsia="宋体" w:hint="default"/>
        </w:rPr>
        <w:t>[</w:t>
      </w:r>
      <w:r>
        <w:rPr/>
        <w:t>（</w:t>
      </w:r>
      <w:r>
        <w:rPr>
          <w:rFonts w:ascii="宋体" w:hAnsi="宋体" w:cs="宋体" w:eastAsia="宋体" w:hint="default"/>
        </w:rPr>
        <w:t>2015</w:t>
      </w:r>
      <w:r>
        <w:rPr/>
        <w:t>）厦民初字第</w:t>
      </w:r>
      <w:r>
        <w:rPr>
          <w:rFonts w:ascii="宋体" w:hAnsi="宋体" w:cs="宋体" w:eastAsia="宋体" w:hint="default"/>
        </w:rPr>
        <w:t>894</w:t>
      </w:r>
      <w:r>
        <w:rPr>
          <w:rFonts w:ascii="宋体" w:hAnsi="宋体" w:cs="宋体" w:eastAsia="宋体" w:hint="default"/>
          <w:spacing w:val="-31"/>
        </w:rPr>
        <w:t> </w:t>
      </w:r>
      <w:r>
        <w:rPr/>
        <w:t>号</w:t>
      </w:r>
      <w:r>
        <w:rPr>
          <w:rFonts w:ascii="宋体" w:hAnsi="宋体" w:cs="宋体" w:eastAsia="宋体" w:hint="default"/>
        </w:rPr>
        <w:t>]</w:t>
      </w:r>
      <w:r>
        <w:rPr/>
        <w:t>，调解如下：现成文化于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26</w:t>
      </w:r>
      <w:r>
        <w:rPr/>
        <w:t>日支付</w:t>
      </w:r>
      <w:r>
        <w:rPr>
          <w:rFonts w:ascii="宋体" w:hAnsi="宋体" w:cs="宋体" w:eastAsia="宋体" w:hint="default"/>
        </w:rPr>
        <w:t>500</w:t>
      </w:r>
      <w:r>
        <w:rPr/>
        <w:t>万元及财产保全费</w:t>
      </w:r>
      <w:r>
        <w:rPr>
          <w:rFonts w:ascii="宋体" w:hAnsi="宋体" w:cs="宋体" w:eastAsia="宋体" w:hint="default"/>
        </w:rPr>
        <w:t>5,000</w:t>
      </w:r>
      <w:r>
        <w:rPr/>
        <w:t>元、律师费</w:t>
      </w:r>
      <w:r>
        <w:rPr>
          <w:rFonts w:ascii="宋体" w:hAnsi="宋体" w:cs="宋体" w:eastAsia="宋体" w:hint="default"/>
        </w:rPr>
        <w:t>250,000</w:t>
      </w:r>
      <w:r>
        <w:rPr/>
        <w:t>元，剩余</w:t>
      </w:r>
      <w:r>
        <w:rPr>
          <w:spacing w:val="-27"/>
        </w:rPr>
        <w:t> </w:t>
      </w:r>
      <w:r>
        <w:rPr>
          <w:spacing w:val="-27"/>
        </w:rPr>
      </w:r>
      <w:r>
        <w:rPr>
          <w:spacing w:val="-1"/>
        </w:rPr>
        <w:t>欠款</w:t>
      </w:r>
      <w:r>
        <w:rPr>
          <w:rFonts w:ascii="宋体" w:hAnsi="宋体" w:cs="宋体" w:eastAsia="宋体" w:hint="default"/>
          <w:spacing w:val="-1"/>
        </w:rPr>
        <w:t>4,151,226.74</w:t>
      </w:r>
      <w:r>
        <w:rPr>
          <w:spacing w:val="-1"/>
        </w:rPr>
        <w:t>元于财产保全解除之日起</w:t>
      </w:r>
      <w:r>
        <w:rPr>
          <w:rFonts w:ascii="宋体" w:hAnsi="宋体" w:cs="宋体" w:eastAsia="宋体" w:hint="default"/>
          <w:spacing w:val="-1"/>
        </w:rPr>
        <w:t>35</w:t>
      </w:r>
      <w:r>
        <w:rPr>
          <w:spacing w:val="-1"/>
        </w:rPr>
        <w:t>个月内还清。</w:t>
      </w:r>
      <w:r>
        <w:rPr>
          <w:rFonts w:ascii="宋体" w:hAnsi="宋体" w:cs="宋体" w:eastAsia="宋体" w:hint="default"/>
          <w:spacing w:val="-1"/>
        </w:rPr>
        <w:t>2016</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13</w:t>
      </w:r>
      <w:r>
        <w:rPr>
          <w:spacing w:val="-1"/>
        </w:rPr>
        <w:t>日，安妮企业申请强制执行，福</w:t>
      </w:r>
      <w:r>
        <w:rPr>
          <w:spacing w:val="-78"/>
        </w:rPr>
        <w:t> </w:t>
      </w:r>
      <w:r>
        <w:rPr>
          <w:spacing w:val="-78"/>
        </w:rPr>
      </w:r>
      <w:r>
        <w:rPr/>
        <w:t>建省厦门市中级人民法院执行裁定书</w:t>
      </w:r>
      <w:r>
        <w:rPr>
          <w:rFonts w:ascii="宋体" w:hAnsi="宋体" w:cs="宋体" w:eastAsia="宋体" w:hint="default"/>
        </w:rPr>
        <w:t>[</w:t>
      </w:r>
      <w:r>
        <w:rPr/>
        <w:t>（</w:t>
      </w:r>
      <w:r>
        <w:rPr>
          <w:rFonts w:ascii="宋体" w:hAnsi="宋体" w:cs="宋体" w:eastAsia="宋体" w:hint="default"/>
        </w:rPr>
        <w:t>2016</w:t>
      </w:r>
      <w:r>
        <w:rPr/>
        <w:t>）闽</w:t>
      </w:r>
      <w:r>
        <w:rPr>
          <w:rFonts w:ascii="宋体" w:hAnsi="宋体" w:cs="宋体" w:eastAsia="宋体" w:hint="default"/>
        </w:rPr>
        <w:t>02</w:t>
      </w:r>
      <w:r>
        <w:rPr/>
        <w:t>执</w:t>
      </w:r>
      <w:r>
        <w:rPr>
          <w:rFonts w:ascii="宋体" w:hAnsi="宋体" w:cs="宋体" w:eastAsia="宋体" w:hint="default"/>
        </w:rPr>
        <w:t>679</w:t>
      </w:r>
      <w:r>
        <w:rPr/>
        <w:t>号</w:t>
      </w:r>
      <w:r>
        <w:rPr>
          <w:rFonts w:ascii="宋体" w:hAnsi="宋体" w:cs="宋体" w:eastAsia="宋体" w:hint="default"/>
        </w:rPr>
        <w:t>]</w:t>
      </w:r>
      <w:r>
        <w:rPr/>
        <w:t>，裁定如下：冻结、划拨现成文化、艾迪芙</w:t>
      </w:r>
      <w:r>
        <w:rPr>
          <w:spacing w:val="-32"/>
        </w:rPr>
        <w:t> </w:t>
      </w:r>
      <w:r>
        <w:rPr>
          <w:spacing w:val="-32"/>
        </w:rPr>
      </w:r>
      <w:r>
        <w:rPr/>
        <w:t>所有款项人民币</w:t>
      </w:r>
      <w:r>
        <w:rPr>
          <w:rFonts w:ascii="宋体" w:hAnsi="宋体" w:cs="宋体" w:eastAsia="宋体" w:hint="default"/>
        </w:rPr>
        <w:t>370</w:t>
      </w:r>
      <w:r>
        <w:rPr/>
        <w:t>万元，或查封、扣押、冻结、拍卖相应等值财产。截止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日，现成文化与</w:t>
      </w:r>
      <w:r>
        <w:rPr>
          <w:spacing w:val="-28"/>
        </w:rPr>
        <w:t> </w:t>
      </w:r>
      <w:r>
        <w:rPr>
          <w:spacing w:val="-28"/>
        </w:rPr>
      </w:r>
      <w:r>
        <w:rPr/>
        <w:t>艾迪芙已支付</w:t>
      </w:r>
      <w:r>
        <w:rPr>
          <w:rFonts w:ascii="宋体" w:hAnsi="宋体" w:cs="宋体" w:eastAsia="宋体" w:hint="default"/>
        </w:rPr>
        <w:t>832.08</w:t>
      </w:r>
      <w:r>
        <w:rPr/>
        <w:t>万元，余款</w:t>
      </w:r>
      <w:r>
        <w:rPr>
          <w:rFonts w:ascii="宋体" w:hAnsi="宋体" w:cs="宋体" w:eastAsia="宋体" w:hint="default"/>
        </w:rPr>
        <w:t>830,462.61</w:t>
      </w:r>
      <w:r>
        <w:rPr/>
        <w:t>元未支付。</w:t>
      </w:r>
    </w:p>
    <w:p>
      <w:pPr>
        <w:pStyle w:val="Heading5"/>
        <w:spacing w:line="350" w:lineRule="auto"/>
        <w:ind w:right="817" w:firstLine="420"/>
        <w:jc w:val="left"/>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15</w:t>
      </w:r>
      <w:r>
        <w:rPr/>
        <w:t>日，湖南安妮就广州市紫昊纸业有限公司（以下简称“广州紫昊”）拖欠货款提起 诉讼，请求广州紫昊支付</w:t>
      </w:r>
      <w:r>
        <w:rPr>
          <w:rFonts w:ascii="宋体" w:hAnsi="宋体" w:cs="宋体" w:eastAsia="宋体" w:hint="default"/>
        </w:rPr>
        <w:t>545,777.94</w:t>
      </w:r>
      <w:r>
        <w:rPr/>
        <w:t>元货款及相应逾期还款利息，陈建强承担连带保证责任，诉讼费用由 </w:t>
      </w:r>
      <w:r>
        <w:rPr>
          <w:spacing w:val="-5"/>
        </w:rPr>
        <w:t>广州紫昊承担。</w:t>
      </w:r>
      <w:r>
        <w:rPr>
          <w:rFonts w:ascii="宋体" w:hAnsi="宋体" w:cs="宋体" w:eastAsia="宋体" w:hint="default"/>
          <w:spacing w:val="-5"/>
        </w:rPr>
        <w:t>2016</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21</w:t>
      </w:r>
      <w:r>
        <w:rPr>
          <w:spacing w:val="-5"/>
        </w:rPr>
        <w:t>日，根据福建省厦门市集美区人民法院民事调解书</w:t>
      </w:r>
      <w:r>
        <w:rPr>
          <w:rFonts w:ascii="宋体" w:hAnsi="宋体" w:cs="宋体" w:eastAsia="宋体" w:hint="default"/>
          <w:spacing w:val="-5"/>
        </w:rPr>
        <w:t>[</w:t>
      </w:r>
      <w:r>
        <w:rPr>
          <w:spacing w:val="-5"/>
        </w:rPr>
        <w:t>（</w:t>
      </w:r>
      <w:r>
        <w:rPr>
          <w:rFonts w:ascii="宋体" w:hAnsi="宋体" w:cs="宋体" w:eastAsia="宋体" w:hint="default"/>
          <w:spacing w:val="-5"/>
        </w:rPr>
        <w:t>2015</w:t>
      </w:r>
      <w:r>
        <w:rPr>
          <w:spacing w:val="-5"/>
        </w:rPr>
        <w:t>）集民初字</w:t>
      </w:r>
      <w:r>
        <w:rPr>
          <w:rFonts w:ascii="宋体" w:hAnsi="宋体" w:cs="宋体" w:eastAsia="宋体" w:hint="default"/>
          <w:spacing w:val="-5"/>
        </w:rPr>
        <w:t>4283</w:t>
      </w:r>
      <w:r>
        <w:rPr>
          <w:spacing w:val="-5"/>
        </w:rPr>
        <w:t>号</w:t>
      </w:r>
      <w:r>
        <w:rPr>
          <w:rFonts w:ascii="宋体" w:hAnsi="宋体" w:cs="宋体" w:eastAsia="宋体" w:hint="default"/>
          <w:spacing w:val="-5"/>
        </w:rPr>
        <w:t>]</w:t>
      </w:r>
      <w:r>
        <w:rPr>
          <w:spacing w:val="-5"/>
        </w:rPr>
        <w:t>，</w:t>
      </w:r>
      <w:r>
        <w:rPr>
          <w:spacing w:val="-62"/>
        </w:rPr>
        <w:t> </w:t>
      </w:r>
      <w:r>
        <w:rPr/>
        <w:t>调解如下：广州紫昊应支付货款</w:t>
      </w:r>
      <w:r>
        <w:rPr>
          <w:rFonts w:ascii="宋体" w:hAnsi="宋体" w:cs="宋体" w:eastAsia="宋体" w:hint="default"/>
        </w:rPr>
        <w:t>545,777.94</w:t>
      </w:r>
      <w:r>
        <w:rPr/>
        <w:t>元货款及案件受理费</w:t>
      </w:r>
      <w:r>
        <w:rPr>
          <w:rFonts w:ascii="宋体" w:hAnsi="宋体" w:cs="宋体" w:eastAsia="宋体" w:hint="default"/>
        </w:rPr>
        <w:t>582</w:t>
      </w:r>
      <w:r>
        <w:rPr/>
        <w:t>元。截止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日，广州紫昊</w:t>
      </w:r>
      <w:r>
        <w:rPr>
          <w:spacing w:val="-28"/>
        </w:rPr>
        <w:t> </w:t>
      </w:r>
      <w:r>
        <w:rPr>
          <w:spacing w:val="-28"/>
        </w:rPr>
      </w:r>
      <w:r>
        <w:rPr/>
        <w:t>已支付</w:t>
      </w:r>
      <w:r>
        <w:rPr>
          <w:rFonts w:ascii="宋体" w:hAnsi="宋体" w:cs="宋体" w:eastAsia="宋体" w:hint="default"/>
        </w:rPr>
        <w:t>5,000.00</w:t>
      </w:r>
      <w:r>
        <w:rPr/>
        <w:t>元。</w:t>
      </w:r>
    </w:p>
    <w:p>
      <w:pPr>
        <w:pStyle w:val="Heading5"/>
        <w:spacing w:line="350" w:lineRule="auto"/>
        <w:ind w:right="817" w:firstLine="420"/>
        <w:jc w:val="left"/>
      </w:pPr>
      <w:r>
        <w:rPr>
          <w:rFonts w:ascii="宋体" w:hAnsi="宋体" w:cs="宋体" w:eastAsia="宋体" w:hint="default"/>
        </w:rPr>
        <w:t>3</w:t>
      </w:r>
      <w:r>
        <w:rPr/>
        <w:t>、</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w:t>
      </w:r>
      <w:r>
        <w:rPr/>
        <w:t>日，本公司之分公司厦门安妮股份有限公司北京分公司（以下简称“北京分”）就北</w:t>
      </w:r>
      <w:r>
        <w:rPr>
          <w:spacing w:val="2"/>
        </w:rPr>
        <w:t> </w:t>
      </w:r>
      <w:r>
        <w:rPr/>
        <w:t>京旌旗源弘科贸有限公司（以下简称“北京旌旗源”）、李晶拖欠货款提起诉讼，请求北京旌旗源支付货</w:t>
      </w:r>
      <w:r>
        <w:rPr/>
        <w:t> </w:t>
      </w:r>
      <w:r>
        <w:rPr>
          <w:spacing w:val="-3"/>
        </w:rPr>
        <w:t>款</w:t>
      </w:r>
      <w:r>
        <w:rPr>
          <w:rFonts w:ascii="宋体" w:hAnsi="宋体" w:cs="宋体" w:eastAsia="宋体" w:hint="default"/>
          <w:spacing w:val="-3"/>
        </w:rPr>
        <w:t>1,295,416.61</w:t>
      </w:r>
      <w:r>
        <w:rPr>
          <w:spacing w:val="-3"/>
        </w:rPr>
        <w:t>元及违约金，李晶对上述债务承担连带保证清偿责任，诉讼费用由北京旌旗源与李晶承担。</w:t>
      </w:r>
      <w:r>
        <w:rPr>
          <w:spacing w:val="-75"/>
        </w:rPr>
        <w:t> </w:t>
      </w:r>
      <w:r>
        <w:rPr>
          <w:spacing w:val="-75"/>
        </w:rPr>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8</w:t>
      </w:r>
      <w:r>
        <w:rPr/>
        <w:t>日，根据北京市东城区人民法院民事判决书</w:t>
      </w:r>
      <w:r>
        <w:rPr>
          <w:rFonts w:ascii="宋体" w:hAnsi="宋体" w:cs="宋体" w:eastAsia="宋体" w:hint="default"/>
        </w:rPr>
        <w:t>[</w:t>
      </w:r>
      <w:r>
        <w:rPr/>
        <w:t>（</w:t>
      </w:r>
      <w:r>
        <w:rPr>
          <w:rFonts w:ascii="宋体" w:hAnsi="宋体" w:cs="宋体" w:eastAsia="宋体" w:hint="default"/>
        </w:rPr>
        <w:t>2016</w:t>
      </w:r>
      <w:r>
        <w:rPr/>
        <w:t>）京</w:t>
      </w:r>
      <w:r>
        <w:rPr>
          <w:rFonts w:ascii="宋体" w:hAnsi="宋体" w:cs="宋体" w:eastAsia="宋体" w:hint="default"/>
        </w:rPr>
        <w:t>0101</w:t>
      </w:r>
      <w:r>
        <w:rPr/>
        <w:t>民初</w:t>
      </w:r>
      <w:r>
        <w:rPr>
          <w:rFonts w:ascii="宋体" w:hAnsi="宋体" w:cs="宋体" w:eastAsia="宋体" w:hint="default"/>
        </w:rPr>
        <w:t>3344</w:t>
      </w:r>
      <w:r>
        <w:rPr/>
        <w:t>号</w:t>
      </w:r>
      <w:r>
        <w:rPr>
          <w:rFonts w:ascii="宋体" w:hAnsi="宋体" w:cs="宋体" w:eastAsia="宋体" w:hint="default"/>
        </w:rPr>
        <w:t>]</w:t>
      </w:r>
      <w:r>
        <w:rPr/>
        <w:t>，判决如下：北京</w:t>
      </w:r>
      <w:r>
        <w:rPr>
          <w:spacing w:val="-32"/>
        </w:rPr>
        <w:t> </w:t>
      </w:r>
      <w:r>
        <w:rPr>
          <w:spacing w:val="-32"/>
        </w:rPr>
      </w:r>
      <w:r>
        <w:rPr>
          <w:spacing w:val="-3"/>
        </w:rPr>
        <w:t>旌旗源支付北京分货款</w:t>
      </w:r>
      <w:r>
        <w:rPr>
          <w:rFonts w:ascii="宋体" w:hAnsi="宋体" w:cs="宋体" w:eastAsia="宋体" w:hint="default"/>
          <w:spacing w:val="-3"/>
        </w:rPr>
        <w:t>1,295,416.61</w:t>
      </w:r>
      <w:r>
        <w:rPr>
          <w:spacing w:val="-3"/>
        </w:rPr>
        <w:t>元及违约金，同时支付案件受理费</w:t>
      </w:r>
      <w:r>
        <w:rPr>
          <w:rFonts w:ascii="宋体" w:hAnsi="宋体" w:cs="宋体" w:eastAsia="宋体" w:hint="default"/>
          <w:spacing w:val="-3"/>
        </w:rPr>
        <w:t>17,800</w:t>
      </w:r>
      <w:r>
        <w:rPr>
          <w:spacing w:val="-3"/>
        </w:rPr>
        <w:t>元和公告费</w:t>
      </w:r>
      <w:r>
        <w:rPr>
          <w:rFonts w:ascii="宋体" w:hAnsi="宋体" w:cs="宋体" w:eastAsia="宋体" w:hint="default"/>
          <w:spacing w:val="-3"/>
        </w:rPr>
        <w:t>260</w:t>
      </w:r>
      <w:r>
        <w:rPr>
          <w:spacing w:val="-3"/>
        </w:rPr>
        <w:t>元。截止</w:t>
      </w:r>
      <w:r>
        <w:rPr>
          <w:rFonts w:ascii="宋体" w:hAnsi="宋体" w:cs="宋体" w:eastAsia="宋体" w:hint="default"/>
          <w:spacing w:val="-3"/>
        </w:rPr>
        <w:t>2018</w:t>
      </w:r>
      <w:r>
        <w:rPr>
          <w:rFonts w:ascii="宋体" w:hAnsi="宋体" w:cs="宋体" w:eastAsia="宋体" w:hint="default"/>
          <w:spacing w:val="-59"/>
        </w:rPr>
        <w:t> </w:t>
      </w:r>
      <w:r>
        <w:rPr>
          <w:rFonts w:ascii="宋体" w:hAnsi="宋体" w:cs="宋体" w:eastAsia="宋体" w:hint="default"/>
          <w:spacing w:val="-59"/>
        </w:rPr>
      </w:r>
      <w:r>
        <w:rPr/>
        <w:t>年</w:t>
      </w:r>
      <w:r>
        <w:rPr>
          <w:rFonts w:ascii="宋体" w:hAnsi="宋体" w:cs="宋体" w:eastAsia="宋体" w:hint="default"/>
        </w:rPr>
        <w:t>12</w:t>
      </w:r>
      <w:r>
        <w:rPr/>
        <w:t>月</w:t>
      </w:r>
      <w:r>
        <w:rPr>
          <w:rFonts w:ascii="宋体" w:hAnsi="宋体" w:cs="宋体" w:eastAsia="宋体" w:hint="default"/>
        </w:rPr>
        <w:t>31</w:t>
      </w:r>
      <w:r>
        <w:rPr/>
        <w:t>日，北京旌旗源已支付</w:t>
      </w:r>
      <w:r>
        <w:rPr>
          <w:rFonts w:ascii="宋体" w:hAnsi="宋体" w:cs="宋体" w:eastAsia="宋体" w:hint="default"/>
        </w:rPr>
        <w:t>56,229.24</w:t>
      </w:r>
      <w:r>
        <w:rPr/>
        <w:t>元。</w:t>
      </w:r>
    </w:p>
    <w:p>
      <w:pPr>
        <w:pStyle w:val="Heading5"/>
        <w:spacing w:line="240" w:lineRule="auto"/>
        <w:ind w:left="574" w:right="817"/>
        <w:jc w:val="left"/>
      </w:pPr>
      <w:r>
        <w:rPr>
          <w:rFonts w:ascii="宋体" w:hAnsi="宋体" w:cs="宋体" w:eastAsia="宋体" w:hint="default"/>
          <w:spacing w:val="10"/>
        </w:rPr>
        <w:t>4</w:t>
      </w:r>
      <w:r>
        <w:rPr>
          <w:spacing w:val="10"/>
        </w:rPr>
        <w:t>、</w:t>
      </w:r>
      <w:r>
        <w:rPr>
          <w:rFonts w:ascii="宋体" w:hAnsi="宋体" w:cs="宋体" w:eastAsia="宋体" w:hint="default"/>
          <w:spacing w:val="10"/>
        </w:rPr>
        <w:t>2016</w:t>
      </w:r>
      <w:r>
        <w:rPr>
          <w:spacing w:val="10"/>
        </w:rPr>
        <w:t>年</w:t>
      </w:r>
      <w:r>
        <w:rPr>
          <w:rFonts w:ascii="宋体" w:hAnsi="宋体" w:cs="宋体" w:eastAsia="宋体" w:hint="default"/>
          <w:spacing w:val="10"/>
        </w:rPr>
        <w:t>2</w:t>
      </w:r>
      <w:r>
        <w:rPr>
          <w:spacing w:val="10"/>
        </w:rPr>
        <w:t>月</w:t>
      </w:r>
      <w:r>
        <w:rPr>
          <w:rFonts w:ascii="宋体" w:hAnsi="宋体" w:cs="宋体" w:eastAsia="宋体" w:hint="default"/>
          <w:spacing w:val="10"/>
        </w:rPr>
        <w:t>2</w:t>
      </w:r>
      <w:r>
        <w:rPr>
          <w:spacing w:val="10"/>
        </w:rPr>
        <w:t>日，北京至美就北京旌旗源、李晶拖欠货款提起诉讼，请求北京旌旗源支付货款</w:t>
      </w:r>
    </w:p>
    <w:p>
      <w:pPr>
        <w:pStyle w:val="Heading5"/>
        <w:spacing w:line="350" w:lineRule="auto" w:before="124"/>
        <w:ind w:right="1129"/>
        <w:jc w:val="both"/>
      </w:pPr>
      <w:r>
        <w:rPr>
          <w:rFonts w:ascii="宋体" w:hAnsi="宋体" w:cs="宋体" w:eastAsia="宋体" w:hint="default"/>
        </w:rPr>
        <w:t>460,878.08</w:t>
      </w:r>
      <w:r>
        <w:rPr/>
        <w:t>元及违约金，李晶对上述债务承担连带清偿责任，诉讼费由北京旌旗源与李晶承担。</w:t>
      </w:r>
      <w:r>
        <w:rPr>
          <w:rFonts w:ascii="宋体" w:hAnsi="宋体" w:cs="宋体" w:eastAsia="宋体" w:hint="default"/>
        </w:rPr>
        <w:t>2016</w:t>
      </w:r>
      <w:r>
        <w:rPr/>
        <w:t>年</w:t>
      </w:r>
      <w:r>
        <w:rPr>
          <w:rFonts w:ascii="宋体" w:hAnsi="宋体" w:cs="宋体" w:eastAsia="宋体" w:hint="default"/>
        </w:rPr>
        <w:t>9</w:t>
      </w:r>
      <w:r>
        <w:rPr>
          <w:rFonts w:ascii="宋体" w:hAnsi="宋体" w:cs="宋体" w:eastAsia="宋体" w:hint="default"/>
          <w:spacing w:val="-25"/>
        </w:rPr>
        <w:t> </w:t>
      </w:r>
      <w:r>
        <w:rPr>
          <w:spacing w:val="-1"/>
        </w:rPr>
        <w:t>月</w:t>
      </w:r>
      <w:r>
        <w:rPr>
          <w:rFonts w:ascii="宋体" w:hAnsi="宋体" w:cs="宋体" w:eastAsia="宋体" w:hint="default"/>
          <w:spacing w:val="-1"/>
        </w:rPr>
        <w:t>18</w:t>
      </w:r>
      <w:r>
        <w:rPr>
          <w:spacing w:val="-1"/>
        </w:rPr>
        <w:t>日，根据北京市顺义区人民法院民事判决书</w:t>
      </w:r>
      <w:r>
        <w:rPr>
          <w:rFonts w:ascii="宋体" w:hAnsi="宋体" w:cs="宋体" w:eastAsia="宋体" w:hint="default"/>
          <w:spacing w:val="-1"/>
        </w:rPr>
        <w:t>[</w:t>
      </w:r>
      <w:r>
        <w:rPr>
          <w:spacing w:val="-1"/>
        </w:rPr>
        <w:t>（</w:t>
      </w:r>
      <w:r>
        <w:rPr>
          <w:rFonts w:ascii="宋体" w:hAnsi="宋体" w:cs="宋体" w:eastAsia="宋体" w:hint="default"/>
          <w:spacing w:val="-1"/>
        </w:rPr>
        <w:t>2016</w:t>
      </w:r>
      <w:r>
        <w:rPr>
          <w:spacing w:val="-1"/>
        </w:rPr>
        <w:t>）京</w:t>
      </w:r>
      <w:r>
        <w:rPr>
          <w:rFonts w:ascii="宋体" w:hAnsi="宋体" w:cs="宋体" w:eastAsia="宋体" w:hint="default"/>
          <w:spacing w:val="-1"/>
        </w:rPr>
        <w:t>0113</w:t>
      </w:r>
      <w:r>
        <w:rPr>
          <w:spacing w:val="-1"/>
        </w:rPr>
        <w:t>民初</w:t>
      </w:r>
      <w:r>
        <w:rPr>
          <w:rFonts w:ascii="宋体" w:hAnsi="宋体" w:cs="宋体" w:eastAsia="宋体" w:hint="default"/>
          <w:spacing w:val="-1"/>
        </w:rPr>
        <w:t>2239</w:t>
      </w:r>
      <w:r>
        <w:rPr>
          <w:spacing w:val="-1"/>
        </w:rPr>
        <w:t>号</w:t>
      </w:r>
      <w:r>
        <w:rPr>
          <w:rFonts w:ascii="宋体" w:hAnsi="宋体" w:cs="宋体" w:eastAsia="宋体" w:hint="default"/>
          <w:spacing w:val="-1"/>
        </w:rPr>
        <w:t>]</w:t>
      </w:r>
      <w:r>
        <w:rPr>
          <w:spacing w:val="-1"/>
        </w:rPr>
        <w:t>，判决如下：北京旌旗源支</w:t>
      </w:r>
      <w:r>
        <w:rPr>
          <w:spacing w:val="-80"/>
        </w:rPr>
        <w:t> </w:t>
      </w:r>
      <w:r>
        <w:rPr>
          <w:spacing w:val="-80"/>
        </w:rPr>
      </w:r>
      <w:r>
        <w:rPr/>
        <w:t>付北京至美货款</w:t>
      </w:r>
      <w:r>
        <w:rPr>
          <w:rFonts w:ascii="宋体" w:hAnsi="宋体" w:cs="宋体" w:eastAsia="宋体" w:hint="default"/>
        </w:rPr>
        <w:t>460,878.08</w:t>
      </w:r>
      <w:r>
        <w:rPr/>
        <w:t>元及违约金，案件受理费及公告费共</w:t>
      </w:r>
      <w:r>
        <w:rPr>
          <w:rFonts w:ascii="宋体" w:hAnsi="宋体" w:cs="宋体" w:eastAsia="宋体" w:hint="default"/>
        </w:rPr>
        <w:t>9,186</w:t>
      </w:r>
      <w:r>
        <w:rPr/>
        <w:t>元。截止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日，北京旌</w:t>
      </w:r>
      <w:r>
        <w:rPr>
          <w:spacing w:val="-30"/>
        </w:rPr>
        <w:t> </w:t>
      </w:r>
      <w:r>
        <w:rPr>
          <w:spacing w:val="-30"/>
        </w:rPr>
      </w:r>
      <w:r>
        <w:rPr/>
        <w:t>旗源已支付</w:t>
      </w:r>
      <w:r>
        <w:rPr>
          <w:rFonts w:ascii="宋体" w:hAnsi="宋体" w:cs="宋体" w:eastAsia="宋体" w:hint="default"/>
        </w:rPr>
        <w:t>61,450</w:t>
      </w:r>
      <w:r>
        <w:rPr/>
        <w:t>元。</w:t>
      </w:r>
    </w:p>
    <w:p>
      <w:pPr>
        <w:pStyle w:val="Heading5"/>
        <w:spacing w:line="350" w:lineRule="auto" w:before="29"/>
        <w:ind w:right="1130" w:firstLine="420"/>
        <w:jc w:val="both"/>
      </w:pPr>
      <w:r>
        <w:rPr>
          <w:rFonts w:ascii="宋体" w:hAnsi="宋体" w:cs="宋体" w:eastAsia="宋体" w:hint="default"/>
          <w:spacing w:val="-1"/>
        </w:rPr>
        <w:t>5</w:t>
      </w:r>
      <w:r>
        <w:rPr>
          <w:spacing w:val="-1"/>
        </w:rPr>
        <w:t>、</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5</w:t>
      </w:r>
      <w:r>
        <w:rPr>
          <w:spacing w:val="-1"/>
        </w:rPr>
        <w:t>日，香港安妮就与刘正君关于</w:t>
      </w:r>
      <w:r>
        <w:rPr>
          <w:rFonts w:ascii="宋体" w:hAnsi="宋体" w:cs="宋体" w:eastAsia="宋体" w:hint="default"/>
          <w:spacing w:val="-1"/>
        </w:rPr>
        <w:t>JCK</w:t>
      </w:r>
      <w:r>
        <w:rPr>
          <w:spacing w:val="-1"/>
        </w:rPr>
        <w:t>株式会社、株式会社</w:t>
      </w:r>
      <w:r>
        <w:rPr>
          <w:rFonts w:ascii="宋体" w:hAnsi="宋体" w:cs="宋体" w:eastAsia="宋体" w:hint="default"/>
          <w:spacing w:val="-1"/>
        </w:rPr>
        <w:t>KAMIOL</w:t>
      </w:r>
      <w:r>
        <w:rPr>
          <w:spacing w:val="-1"/>
        </w:rPr>
        <w:t>的买卖合同纠纷向厦门市</w:t>
      </w:r>
      <w:r>
        <w:rPr/>
        <w:t> </w:t>
      </w:r>
      <w:r>
        <w:rPr>
          <w:spacing w:val="-1"/>
        </w:rPr>
        <w:t>中级人民法院提起诉讼，请求刘正君支付货款</w:t>
      </w:r>
      <w:r>
        <w:rPr>
          <w:rFonts w:ascii="宋体" w:hAnsi="宋体" w:cs="宋体" w:eastAsia="宋体" w:hint="default"/>
          <w:spacing w:val="-1"/>
        </w:rPr>
        <w:t>1,622,899.06</w:t>
      </w:r>
      <w:r>
        <w:rPr>
          <w:spacing w:val="-1"/>
        </w:rPr>
        <w:t>元及逾期付款违约金，诉讼费及财产保全费由</w:t>
      </w:r>
      <w:r>
        <w:rPr>
          <w:spacing w:val="-77"/>
        </w:rPr>
        <w:t> </w:t>
      </w:r>
      <w:r>
        <w:rPr>
          <w:spacing w:val="-77"/>
        </w:rPr>
      </w:r>
      <w:r>
        <w:rPr>
          <w:spacing w:val="-1"/>
        </w:rPr>
        <w:t>刘正君承担。</w:t>
      </w: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28</w:t>
      </w:r>
      <w:r>
        <w:rPr>
          <w:spacing w:val="-1"/>
        </w:rPr>
        <w:t>日，根据福建省厦门市中级人民法院民事判决书</w:t>
      </w:r>
      <w:r>
        <w:rPr>
          <w:rFonts w:ascii="宋体" w:hAnsi="宋体" w:cs="宋体" w:eastAsia="宋体" w:hint="default"/>
          <w:spacing w:val="-1"/>
        </w:rPr>
        <w:t>[(2016)</w:t>
      </w:r>
      <w:r>
        <w:rPr>
          <w:spacing w:val="-1"/>
        </w:rPr>
        <w:t>闽</w:t>
      </w:r>
      <w:r>
        <w:rPr>
          <w:rFonts w:ascii="宋体" w:hAnsi="宋体" w:cs="宋体" w:eastAsia="宋体" w:hint="default"/>
          <w:spacing w:val="-1"/>
        </w:rPr>
        <w:t>02</w:t>
      </w:r>
      <w:r>
        <w:rPr>
          <w:spacing w:val="-1"/>
        </w:rPr>
        <w:t>民初</w:t>
      </w:r>
      <w:r>
        <w:rPr>
          <w:rFonts w:ascii="宋体" w:hAnsi="宋体" w:cs="宋体" w:eastAsia="宋体" w:hint="default"/>
          <w:spacing w:val="-1"/>
        </w:rPr>
        <w:t>455</w:t>
      </w:r>
      <w:r>
        <w:rPr>
          <w:spacing w:val="-1"/>
        </w:rPr>
        <w:t>号</w:t>
      </w:r>
      <w:r>
        <w:rPr>
          <w:rFonts w:ascii="宋体" w:hAnsi="宋体" w:cs="宋体" w:eastAsia="宋体" w:hint="default"/>
          <w:spacing w:val="-1"/>
        </w:rPr>
        <w:t>]</w:t>
      </w:r>
      <w:r>
        <w:rPr>
          <w:spacing w:val="-1"/>
        </w:rPr>
        <w:t>，判决</w:t>
      </w:r>
      <w:r>
        <w:rPr>
          <w:spacing w:val="-80"/>
        </w:rPr>
        <w:t> </w:t>
      </w:r>
      <w:r>
        <w:rPr>
          <w:spacing w:val="-80"/>
        </w:rPr>
      </w:r>
      <w:r>
        <w:rPr>
          <w:spacing w:val="-1"/>
        </w:rPr>
        <w:t>如下：刘正君应于判决生效日起</w:t>
      </w:r>
      <w:r>
        <w:rPr>
          <w:rFonts w:ascii="宋体" w:hAnsi="宋体" w:cs="宋体" w:eastAsia="宋体" w:hint="default"/>
          <w:spacing w:val="-1"/>
        </w:rPr>
        <w:t>10</w:t>
      </w:r>
      <w:r>
        <w:rPr>
          <w:spacing w:val="-1"/>
        </w:rPr>
        <w:t>日内支付香港安妮</w:t>
      </w:r>
      <w:r>
        <w:rPr>
          <w:rFonts w:ascii="宋体" w:hAnsi="宋体" w:cs="宋体" w:eastAsia="宋体" w:hint="default"/>
          <w:spacing w:val="-1"/>
        </w:rPr>
        <w:t>1,622,899.06</w:t>
      </w:r>
      <w:r>
        <w:rPr>
          <w:spacing w:val="-1"/>
        </w:rPr>
        <w:t>元及逾期付款违约金。截止</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spacing w:val="-74"/>
        </w:rPr>
        <w:t> </w:t>
      </w:r>
      <w:r>
        <w:rPr>
          <w:rFonts w:ascii="宋体" w:hAnsi="宋体" w:cs="宋体" w:eastAsia="宋体" w:hint="default"/>
        </w:rPr>
        <w:t>31</w:t>
      </w:r>
      <w:r>
        <w:rPr/>
        <w:t>日，刘正君尚未支付诉讼款项。</w:t>
      </w:r>
    </w:p>
    <w:p>
      <w:pPr>
        <w:pStyle w:val="Heading5"/>
        <w:spacing w:line="350" w:lineRule="auto"/>
        <w:ind w:right="1108" w:firstLine="420"/>
        <w:jc w:val="both"/>
        <w:rPr>
          <w:rFonts w:ascii="宋体" w:hAnsi="宋体" w:cs="宋体" w:eastAsia="宋体" w:hint="default"/>
        </w:rPr>
      </w:pP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6</w:t>
      </w:r>
      <w:r>
        <w:rPr/>
        <w:t>日，北京分就北京龙文商贸有限公司（原名为北京龙文倡达商贸有限公司，以下简称 </w:t>
      </w:r>
      <w:r>
        <w:rPr>
          <w:spacing w:val="-1"/>
        </w:rPr>
        <w:t>龙文公司）货款</w:t>
      </w:r>
      <w:r>
        <w:rPr>
          <w:rFonts w:ascii="宋体" w:hAnsi="宋体" w:cs="宋体" w:eastAsia="宋体" w:hint="default"/>
          <w:spacing w:val="-1"/>
        </w:rPr>
        <w:t>121,078.57</w:t>
      </w:r>
      <w:r>
        <w:rPr>
          <w:spacing w:val="-1"/>
        </w:rPr>
        <w:t>元对李焕文提起诉讼。</w:t>
      </w:r>
      <w:r>
        <w:rPr>
          <w:rFonts w:ascii="宋体" w:hAnsi="宋体" w:cs="宋体" w:eastAsia="宋体" w:hint="default"/>
          <w:spacing w:val="-1"/>
        </w:rPr>
        <w:t>2017</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6</w:t>
      </w:r>
      <w:r>
        <w:rPr>
          <w:spacing w:val="-1"/>
        </w:rPr>
        <w:t>日，根据北京市海淀区人民法院民事调解书</w:t>
      </w:r>
      <w:r>
        <w:rPr>
          <w:spacing w:val="-80"/>
        </w:rPr>
        <w:t> </w:t>
      </w:r>
      <w:r>
        <w:rPr>
          <w:spacing w:val="-80"/>
        </w:rPr>
      </w:r>
      <w:r>
        <w:rPr>
          <w:rFonts w:ascii="宋体" w:hAnsi="宋体" w:cs="宋体" w:eastAsia="宋体" w:hint="default"/>
        </w:rPr>
        <w:t>[</w:t>
      </w:r>
      <w:r>
        <w:rPr/>
        <w:t>（</w:t>
      </w:r>
      <w:r>
        <w:rPr>
          <w:rFonts w:ascii="宋体" w:hAnsi="宋体" w:cs="宋体" w:eastAsia="宋体" w:hint="default"/>
        </w:rPr>
        <w:t>2017</w:t>
      </w:r>
      <w:r>
        <w:rPr/>
        <w:t>）京</w:t>
      </w:r>
      <w:r>
        <w:rPr>
          <w:rFonts w:ascii="宋体" w:hAnsi="宋体" w:cs="宋体" w:eastAsia="宋体" w:hint="default"/>
        </w:rPr>
        <w:t>0108</w:t>
      </w:r>
      <w:r>
        <w:rPr/>
        <w:t>民初</w:t>
      </w:r>
      <w:r>
        <w:rPr>
          <w:rFonts w:ascii="宋体" w:hAnsi="宋体" w:cs="宋体" w:eastAsia="宋体" w:hint="default"/>
        </w:rPr>
        <w:t>31746</w:t>
      </w:r>
      <w:r>
        <w:rPr/>
        <w:t>号</w:t>
      </w:r>
      <w:r>
        <w:rPr>
          <w:rFonts w:ascii="宋体" w:hAnsi="宋体" w:cs="宋体" w:eastAsia="宋体" w:hint="default"/>
        </w:rPr>
        <w:t>]</w:t>
      </w:r>
      <w:r>
        <w:rPr/>
        <w:t>，调解如下：李焕文于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9</w:t>
      </w:r>
      <w:r>
        <w:rPr/>
        <w:t>日前向北京分支付货款</w:t>
      </w:r>
      <w:r>
        <w:rPr>
          <w:rFonts w:ascii="宋体" w:hAnsi="宋体" w:cs="宋体" w:eastAsia="宋体" w:hint="default"/>
        </w:rPr>
        <w:t>20,000.00</w:t>
      </w:r>
      <w:r>
        <w:rPr/>
        <w:t>元，</w:t>
      </w:r>
      <w:r>
        <w:rPr>
          <w:spacing w:val="-25"/>
        </w:rPr>
        <w:t> </w:t>
      </w:r>
      <w:r>
        <w:rPr/>
        <w:t>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6</w:t>
      </w:r>
      <w:r>
        <w:rPr/>
        <w:t>日前向北京分支付货款</w:t>
      </w:r>
      <w:r>
        <w:rPr>
          <w:rFonts w:ascii="宋体" w:hAnsi="宋体" w:cs="宋体" w:eastAsia="宋体" w:hint="default"/>
        </w:rPr>
        <w:t>20,000.00</w:t>
      </w:r>
      <w:r>
        <w:rPr/>
        <w:t>元，于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日前向北京分支付货款</w:t>
      </w:r>
      <w:r>
        <w:rPr>
          <w:rFonts w:ascii="宋体" w:hAnsi="宋体" w:cs="宋体" w:eastAsia="宋体" w:hint="default"/>
        </w:rPr>
        <w:t>20,000.00</w:t>
      </w:r>
      <w:r>
        <w:rPr/>
        <w:t>元，</w:t>
      </w:r>
      <w:r>
        <w:rPr>
          <w:spacing w:val="1"/>
        </w:rPr>
        <w:t> </w:t>
      </w:r>
      <w:r>
        <w:rPr>
          <w:spacing w:val="-1"/>
        </w:rPr>
        <w:t>于</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6</w:t>
      </w:r>
      <w:r>
        <w:rPr>
          <w:spacing w:val="-1"/>
        </w:rPr>
        <w:t>日前向北京分支付货款</w:t>
      </w:r>
      <w:r>
        <w:rPr>
          <w:rFonts w:ascii="宋体" w:hAnsi="宋体" w:cs="宋体" w:eastAsia="宋体" w:hint="default"/>
          <w:spacing w:val="-1"/>
        </w:rPr>
        <w:t>20,000.00</w:t>
      </w:r>
      <w:r>
        <w:rPr>
          <w:spacing w:val="-1"/>
        </w:rPr>
        <w:t>元，于</w:t>
      </w:r>
      <w:r>
        <w:rPr>
          <w:rFonts w:ascii="宋体" w:hAnsi="宋体" w:cs="宋体" w:eastAsia="宋体" w:hint="default"/>
          <w:spacing w:val="-1"/>
        </w:rPr>
        <w:t>2018</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6</w:t>
      </w:r>
      <w:r>
        <w:rPr>
          <w:spacing w:val="-1"/>
        </w:rPr>
        <w:t>日前向北京分支付货款</w:t>
      </w:r>
      <w:r>
        <w:rPr>
          <w:rFonts w:ascii="宋体" w:hAnsi="宋体" w:cs="宋体" w:eastAsia="宋体" w:hint="default"/>
          <w:spacing w:val="-1"/>
        </w:rPr>
        <w:t>20,000.00</w:t>
      </w:r>
      <w:r>
        <w:rPr>
          <w:spacing w:val="-1"/>
        </w:rPr>
        <w:t>元，于</w:t>
      </w:r>
      <w:r>
        <w:rPr>
          <w:spacing w:val="-76"/>
        </w:rPr>
        <w:t> </w:t>
      </w:r>
      <w:r>
        <w:rPr>
          <w:spacing w:val="-76"/>
        </w:rPr>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6</w:t>
      </w:r>
      <w:r>
        <w:rPr/>
        <w:t>日前向北京分支付货款</w:t>
      </w:r>
      <w:r>
        <w:rPr>
          <w:rFonts w:ascii="宋体" w:hAnsi="宋体" w:cs="宋体" w:eastAsia="宋体" w:hint="default"/>
        </w:rPr>
        <w:t>31,078.00</w:t>
      </w:r>
      <w:r>
        <w:rPr/>
        <w:t>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spacing w:val="75"/>
        </w:rPr>
        <w:t> </w:t>
      </w:r>
      <w:r>
        <w:rPr/>
        <w:t>龙文公司已支付款项</w:t>
      </w:r>
      <w:r>
        <w:rPr>
          <w:rFonts w:ascii="宋体" w:hAnsi="宋体" w:cs="宋体" w:eastAsia="宋体" w:hint="default"/>
        </w:rPr>
        <w:t>44,700.00</w:t>
      </w:r>
    </w:p>
    <w:p>
      <w:pPr>
        <w:spacing w:after="0" w:line="350" w:lineRule="auto"/>
        <w:jc w:val="both"/>
        <w:rPr>
          <w:rFonts w:ascii="宋体" w:hAnsi="宋体" w:cs="宋体" w:eastAsia="宋体" w:hint="default"/>
        </w:rPr>
        <w:sectPr>
          <w:pgSz w:w="11910" w:h="16840"/>
          <w:pgMar w:header="0" w:footer="979" w:top="1100" w:bottom="1160" w:left="98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both"/>
      </w:pPr>
      <w:r>
        <w:rPr/>
        <w:t>元。</w:t>
      </w:r>
    </w:p>
    <w:p>
      <w:pPr>
        <w:spacing w:line="240" w:lineRule="auto" w:before="10"/>
        <w:rPr>
          <w:rFonts w:ascii="宋体" w:hAnsi="宋体" w:cs="宋体" w:eastAsia="宋体" w:hint="default"/>
          <w:sz w:val="14"/>
          <w:szCs w:val="14"/>
        </w:rPr>
      </w:pPr>
    </w:p>
    <w:p>
      <w:pPr>
        <w:pStyle w:val="Heading5"/>
        <w:spacing w:line="393" w:lineRule="auto" w:before="0"/>
        <w:ind w:left="574" w:right="1136"/>
        <w:jc w:val="left"/>
      </w:pPr>
      <w:r>
        <w:rPr/>
        <w:t>二、业绩赔偿事项： </w:t>
      </w:r>
      <w:r>
        <w:rPr>
          <w:spacing w:val="-1"/>
        </w:rPr>
        <w:t>公司与杨超、雷建、毛智才、江勇、陈兆滨、鲁武英（以下简称“交易方”）签订的《发行股份及支</w:t>
      </w:r>
    </w:p>
    <w:p>
      <w:pPr>
        <w:pStyle w:val="Heading5"/>
        <w:spacing w:line="393" w:lineRule="auto" w:before="41"/>
        <w:ind w:right="1130"/>
        <w:jc w:val="both"/>
      </w:pPr>
      <w:r>
        <w:rPr>
          <w:spacing w:val="-10"/>
        </w:rPr>
        <w:t>付现金购买资产协议》（以下简称“购买协议”），交易方承诺畅元国讯在</w:t>
      </w:r>
      <w:r>
        <w:rPr>
          <w:spacing w:val="-26"/>
        </w:rPr>
        <w:t> </w:t>
      </w:r>
      <w:r>
        <w:rPr>
          <w:rFonts w:ascii="宋体" w:hAnsi="宋体" w:cs="宋体" w:eastAsia="宋体" w:hint="default"/>
        </w:rPr>
        <w:t>2016</w:t>
      </w:r>
      <w:r>
        <w:rPr>
          <w:rFonts w:ascii="宋体" w:hAnsi="宋体" w:cs="宋体" w:eastAsia="宋体" w:hint="default"/>
          <w:spacing w:val="-27"/>
        </w:rPr>
        <w:t> </w:t>
      </w:r>
      <w:r>
        <w:rPr>
          <w:spacing w:val="-1"/>
        </w:rPr>
        <w:t>年、</w:t>
      </w:r>
      <w:r>
        <w:rPr>
          <w:rFonts w:ascii="宋体" w:hAnsi="宋体" w:cs="宋体" w:eastAsia="宋体" w:hint="default"/>
          <w:spacing w:val="-1"/>
        </w:rPr>
        <w:t>2017</w:t>
      </w:r>
      <w:r>
        <w:rPr>
          <w:rFonts w:ascii="宋体" w:hAnsi="宋体" w:cs="宋体" w:eastAsia="宋体" w:hint="default"/>
          <w:spacing w:val="-26"/>
        </w:rPr>
        <w:t> </w:t>
      </w:r>
      <w:r>
        <w:rPr>
          <w:spacing w:val="-1"/>
        </w:rPr>
        <w:t>年、</w:t>
      </w:r>
      <w:r>
        <w:rPr>
          <w:rFonts w:ascii="宋体" w:hAnsi="宋体" w:cs="宋体" w:eastAsia="宋体" w:hint="default"/>
          <w:spacing w:val="-1"/>
        </w:rPr>
        <w:t>2018</w:t>
      </w:r>
      <w:r>
        <w:rPr>
          <w:rFonts w:ascii="宋体" w:hAnsi="宋体" w:cs="宋体" w:eastAsia="宋体" w:hint="default"/>
          <w:spacing w:val="-26"/>
        </w:rPr>
        <w:t> </w:t>
      </w:r>
      <w:r>
        <w:rPr/>
        <w:t>年实现 的净利润分别不低于</w:t>
      </w:r>
      <w:r>
        <w:rPr>
          <w:spacing w:val="-49"/>
        </w:rPr>
        <w:t> </w:t>
      </w:r>
      <w:r>
        <w:rPr>
          <w:rFonts w:ascii="宋体" w:hAnsi="宋体" w:cs="宋体" w:eastAsia="宋体" w:hint="default"/>
        </w:rPr>
        <w:t>7600</w:t>
      </w:r>
      <w:r>
        <w:rPr>
          <w:rFonts w:ascii="宋体" w:hAnsi="宋体" w:cs="宋体" w:eastAsia="宋体" w:hint="default"/>
          <w:spacing w:val="-49"/>
        </w:rPr>
        <w:t> </w:t>
      </w:r>
      <w:r>
        <w:rPr/>
        <w:t>万元、</w:t>
      </w:r>
      <w:r>
        <w:rPr>
          <w:rFonts w:ascii="宋体" w:hAnsi="宋体" w:cs="宋体" w:eastAsia="宋体" w:hint="default"/>
        </w:rPr>
        <w:t>10000</w:t>
      </w:r>
      <w:r>
        <w:rPr>
          <w:rFonts w:ascii="宋体" w:hAnsi="宋体" w:cs="宋体" w:eastAsia="宋体" w:hint="default"/>
          <w:spacing w:val="-48"/>
        </w:rPr>
        <w:t> </w:t>
      </w:r>
      <w:r>
        <w:rPr/>
        <w:t>万元、</w:t>
      </w:r>
      <w:r>
        <w:rPr>
          <w:rFonts w:ascii="宋体" w:hAnsi="宋体" w:cs="宋体" w:eastAsia="宋体" w:hint="default"/>
        </w:rPr>
        <w:t>13000</w:t>
      </w:r>
      <w:r>
        <w:rPr>
          <w:rFonts w:ascii="宋体" w:hAnsi="宋体" w:cs="宋体" w:eastAsia="宋体" w:hint="default"/>
          <w:spacing w:val="-48"/>
        </w:rPr>
        <w:t> </w:t>
      </w:r>
      <w:r>
        <w:rPr/>
        <w:t>万元。经审计后交易方畅元国讯</w:t>
      </w:r>
      <w:r>
        <w:rPr>
          <w:spacing w:val="-49"/>
        </w:rPr>
        <w:t> </w:t>
      </w:r>
      <w:r>
        <w:rPr>
          <w:rFonts w:ascii="宋体" w:hAnsi="宋体" w:cs="宋体" w:eastAsia="宋体" w:hint="default"/>
        </w:rPr>
        <w:t>2016</w:t>
      </w:r>
      <w:r>
        <w:rPr>
          <w:rFonts w:ascii="宋体" w:hAnsi="宋体" w:cs="宋体" w:eastAsia="宋体" w:hint="default"/>
          <w:spacing w:val="-49"/>
        </w:rPr>
        <w:t> </w:t>
      </w:r>
      <w:r>
        <w:rPr/>
        <w:t>年、</w:t>
      </w:r>
      <w:r>
        <w:rPr>
          <w:rFonts w:ascii="宋体" w:hAnsi="宋体" w:cs="宋体" w:eastAsia="宋体" w:hint="default"/>
        </w:rPr>
        <w:t>2017</w:t>
      </w:r>
      <w:r>
        <w:rPr>
          <w:rFonts w:ascii="宋体" w:hAnsi="宋体" w:cs="宋体" w:eastAsia="宋体" w:hint="default"/>
          <w:spacing w:val="-49"/>
        </w:rPr>
        <w:t> </w:t>
      </w:r>
      <w:r>
        <w:rPr/>
        <w:t>年、 </w:t>
      </w:r>
      <w:r>
        <w:rPr>
          <w:rFonts w:ascii="宋体" w:hAnsi="宋体" w:cs="宋体" w:eastAsia="宋体" w:hint="default"/>
        </w:rPr>
        <w:t>2018</w:t>
      </w:r>
      <w:r>
        <w:rPr>
          <w:rFonts w:ascii="宋体" w:hAnsi="宋体" w:cs="宋体" w:eastAsia="宋体" w:hint="default"/>
          <w:spacing w:val="-53"/>
        </w:rPr>
        <w:t> </w:t>
      </w:r>
      <w:r>
        <w:rPr/>
        <w:t>年实现的净利润分别为</w:t>
      </w:r>
      <w:r>
        <w:rPr>
          <w:spacing w:val="-54"/>
        </w:rPr>
        <w:t> </w:t>
      </w:r>
      <w:r>
        <w:rPr>
          <w:rFonts w:ascii="宋体" w:hAnsi="宋体" w:cs="宋体" w:eastAsia="宋体" w:hint="default"/>
        </w:rPr>
        <w:t>7,924.75</w:t>
      </w:r>
      <w:r>
        <w:rPr>
          <w:rFonts w:ascii="宋体" w:hAnsi="宋体" w:cs="宋体" w:eastAsia="宋体" w:hint="default"/>
          <w:spacing w:val="-55"/>
        </w:rPr>
        <w:t> </w:t>
      </w:r>
      <w:r>
        <w:rPr/>
        <w:t>万元、</w:t>
      </w:r>
      <w:r>
        <w:rPr>
          <w:rFonts w:ascii="宋体" w:hAnsi="宋体" w:cs="宋体" w:eastAsia="宋体" w:hint="default"/>
        </w:rPr>
        <w:t>6,155.71</w:t>
      </w:r>
      <w:r>
        <w:rPr>
          <w:rFonts w:ascii="宋体" w:hAnsi="宋体" w:cs="宋体" w:eastAsia="宋体" w:hint="default"/>
          <w:spacing w:val="-53"/>
        </w:rPr>
        <w:t> </w:t>
      </w:r>
      <w:r>
        <w:rPr/>
        <w:t>万元、</w:t>
      </w:r>
      <w:r>
        <w:rPr>
          <w:rFonts w:ascii="宋体" w:hAnsi="宋体" w:cs="宋体" w:eastAsia="宋体" w:hint="default"/>
        </w:rPr>
        <w:t>9,229.69</w:t>
      </w:r>
      <w:r>
        <w:rPr>
          <w:rFonts w:ascii="宋体" w:hAnsi="宋体" w:cs="宋体" w:eastAsia="宋体" w:hint="default"/>
          <w:spacing w:val="-55"/>
        </w:rPr>
        <w:t> </w:t>
      </w:r>
      <w:r>
        <w:rPr/>
        <w:t>万元。</w:t>
      </w:r>
    </w:p>
    <w:p>
      <w:pPr>
        <w:pStyle w:val="Heading5"/>
        <w:spacing w:line="240" w:lineRule="auto" w:before="40"/>
        <w:ind w:left="574" w:right="817"/>
        <w:jc w:val="left"/>
      </w:pPr>
      <w:r>
        <w:rPr>
          <w:spacing w:val="-6"/>
        </w:rPr>
        <w:t>根据协议条款，</w:t>
      </w:r>
      <w:r>
        <w:rPr>
          <w:rFonts w:ascii="宋体" w:hAnsi="宋体" w:cs="宋体" w:eastAsia="宋体" w:hint="default"/>
          <w:spacing w:val="-6"/>
        </w:rPr>
        <w:t>2017</w:t>
      </w:r>
      <w:r>
        <w:rPr>
          <w:rFonts w:ascii="宋体" w:hAnsi="宋体" w:cs="宋体" w:eastAsia="宋体" w:hint="default"/>
          <w:spacing w:val="-50"/>
        </w:rPr>
        <w:t> </w:t>
      </w:r>
      <w:r>
        <w:rPr/>
        <w:t>年标的公司实现的净利润为</w:t>
      </w:r>
      <w:r>
        <w:rPr>
          <w:spacing w:val="-49"/>
        </w:rPr>
        <w:t> </w:t>
      </w:r>
      <w:r>
        <w:rPr>
          <w:rFonts w:ascii="宋体" w:hAnsi="宋体" w:cs="宋体" w:eastAsia="宋体" w:hint="default"/>
        </w:rPr>
        <w:t>6,155.71</w:t>
      </w:r>
      <w:r>
        <w:rPr>
          <w:rFonts w:ascii="宋体" w:hAnsi="宋体" w:cs="宋体" w:eastAsia="宋体" w:hint="default"/>
          <w:spacing w:val="-51"/>
        </w:rPr>
        <w:t> </w:t>
      </w:r>
      <w:r>
        <w:rPr>
          <w:spacing w:val="-7"/>
        </w:rPr>
        <w:t>万元，低于承诺净利润</w:t>
      </w:r>
      <w:r>
        <w:rPr>
          <w:spacing w:val="-49"/>
        </w:rPr>
        <w:t> </w:t>
      </w:r>
      <w:r>
        <w:rPr>
          <w:rFonts w:ascii="宋体" w:hAnsi="宋体" w:cs="宋体" w:eastAsia="宋体" w:hint="default"/>
        </w:rPr>
        <w:t>10,000</w:t>
      </w:r>
      <w:r>
        <w:rPr>
          <w:rFonts w:ascii="宋体" w:hAnsi="宋体" w:cs="宋体" w:eastAsia="宋体" w:hint="default"/>
          <w:spacing w:val="-50"/>
        </w:rPr>
        <w:t> </w:t>
      </w:r>
      <w:r>
        <w:rPr>
          <w:spacing w:val="-11"/>
        </w:rPr>
        <w:t>万元，同时，</w:t>
      </w:r>
    </w:p>
    <w:p>
      <w:pPr>
        <w:pStyle w:val="Heading5"/>
        <w:spacing w:line="240" w:lineRule="auto" w:before="175"/>
        <w:ind w:right="0"/>
        <w:jc w:val="both"/>
      </w:pPr>
      <w:r>
        <w:rPr/>
        <w:t>截至</w:t>
      </w:r>
      <w:r>
        <w:rPr>
          <w:spacing w:val="-57"/>
        </w:rPr>
        <w:t> </w:t>
      </w:r>
      <w:r>
        <w:rPr>
          <w:rFonts w:ascii="宋体" w:hAnsi="宋体" w:cs="宋体" w:eastAsia="宋体" w:hint="default"/>
        </w:rPr>
        <w:t>2017</w:t>
      </w:r>
      <w:r>
        <w:rPr>
          <w:rFonts w:ascii="宋体" w:hAnsi="宋体" w:cs="宋体" w:eastAsia="宋体" w:hint="default"/>
          <w:spacing w:val="-56"/>
        </w:rPr>
        <w:t> </w:t>
      </w:r>
      <w:r>
        <w:rPr>
          <w:spacing w:val="-4"/>
        </w:rPr>
        <w:t>年末，商誉发生减值，因此，</w:t>
      </w:r>
      <w:r>
        <w:rPr>
          <w:rFonts w:ascii="宋体" w:hAnsi="宋体" w:cs="宋体" w:eastAsia="宋体" w:hint="default"/>
          <w:spacing w:val="-4"/>
        </w:rPr>
        <w:t>2017</w:t>
      </w:r>
      <w:r>
        <w:rPr>
          <w:rFonts w:ascii="宋体" w:hAnsi="宋体" w:cs="宋体" w:eastAsia="宋体" w:hint="default"/>
          <w:spacing w:val="-56"/>
        </w:rPr>
        <w:t> </w:t>
      </w:r>
      <w:r>
        <w:rPr/>
        <w:t>年触发业绩补偿条件，共计应补偿股份总数为</w:t>
      </w:r>
      <w:r>
        <w:rPr>
          <w:spacing w:val="-56"/>
        </w:rPr>
        <w:t> </w:t>
      </w:r>
      <w:r>
        <w:rPr>
          <w:rFonts w:ascii="宋体" w:hAnsi="宋体" w:cs="宋体" w:eastAsia="宋体" w:hint="default"/>
        </w:rPr>
        <w:t>2,883.6603</w:t>
      </w:r>
      <w:r>
        <w:rPr>
          <w:rFonts w:ascii="宋体" w:hAnsi="宋体" w:cs="宋体" w:eastAsia="宋体" w:hint="default"/>
          <w:spacing w:val="-54"/>
        </w:rPr>
        <w:t> </w:t>
      </w:r>
      <w:r>
        <w:rPr/>
        <w:t>万</w:t>
      </w:r>
    </w:p>
    <w:p>
      <w:pPr>
        <w:pStyle w:val="Heading5"/>
        <w:spacing w:line="240" w:lineRule="auto" w:before="175"/>
        <w:ind w:right="0"/>
        <w:jc w:val="both"/>
      </w:pPr>
      <w:r>
        <w:rPr/>
        <w:t>股股票，截止到报告日公司已完成</w:t>
      </w:r>
      <w:r>
        <w:rPr>
          <w:spacing w:val="-34"/>
        </w:rPr>
        <w:t> </w:t>
      </w:r>
      <w:r>
        <w:rPr>
          <w:rFonts w:ascii="宋体" w:hAnsi="宋体" w:cs="宋体" w:eastAsia="宋体" w:hint="default"/>
        </w:rPr>
        <w:t>21,500,572.00</w:t>
      </w:r>
      <w:r>
        <w:rPr>
          <w:rFonts w:ascii="宋体" w:hAnsi="宋体" w:cs="宋体" w:eastAsia="宋体" w:hint="default"/>
          <w:spacing w:val="-33"/>
        </w:rPr>
        <w:t> </w:t>
      </w:r>
      <w:r>
        <w:rPr/>
        <w:t>股的回购注销工作，尚余</w:t>
      </w:r>
      <w:r>
        <w:rPr>
          <w:spacing w:val="-34"/>
        </w:rPr>
        <w:t> </w:t>
      </w:r>
      <w:r>
        <w:rPr>
          <w:rFonts w:ascii="宋体" w:hAnsi="宋体" w:cs="宋体" w:eastAsia="宋体" w:hint="default"/>
        </w:rPr>
        <w:t>7,336,031.00</w:t>
      </w:r>
      <w:r>
        <w:rPr>
          <w:rFonts w:ascii="宋体" w:hAnsi="宋体" w:cs="宋体" w:eastAsia="宋体" w:hint="default"/>
          <w:spacing w:val="-33"/>
        </w:rPr>
        <w:t> </w:t>
      </w:r>
      <w:r>
        <w:rPr/>
        <w:t>股未回购注销</w:t>
      </w:r>
    </w:p>
    <w:p>
      <w:pPr>
        <w:pStyle w:val="Heading5"/>
        <w:spacing w:line="240" w:lineRule="auto" w:before="175"/>
        <w:ind w:right="0"/>
        <w:jc w:val="both"/>
      </w:pPr>
      <w:r>
        <w:rPr/>
        <w:t>（系尚有部分股票因质押正在办理手续</w:t>
      </w:r>
      <w:r>
        <w:rPr>
          <w:spacing w:val="-105"/>
        </w:rPr>
        <w:t>）</w:t>
      </w:r>
      <w:r>
        <w:rPr/>
        <w:t>。</w:t>
      </w:r>
    </w:p>
    <w:p>
      <w:pPr>
        <w:pStyle w:val="Heading5"/>
        <w:spacing w:line="240" w:lineRule="auto" w:before="175"/>
        <w:ind w:left="574" w:right="817"/>
        <w:jc w:val="left"/>
        <w:rPr>
          <w:rFonts w:ascii="宋体" w:hAnsi="宋体" w:cs="宋体" w:eastAsia="宋体" w:hint="default"/>
        </w:rPr>
      </w:pPr>
      <w:r>
        <w:rPr/>
        <w:t>经审计畅元国讯</w:t>
      </w:r>
      <w:r>
        <w:rPr>
          <w:spacing w:val="-52"/>
        </w:rPr>
        <w:t> </w:t>
      </w:r>
      <w:r>
        <w:rPr>
          <w:rFonts w:ascii="宋体" w:hAnsi="宋体" w:cs="宋体" w:eastAsia="宋体" w:hint="default"/>
        </w:rPr>
        <w:t>2018</w:t>
      </w:r>
      <w:r>
        <w:rPr>
          <w:rFonts w:ascii="宋体" w:hAnsi="宋体" w:cs="宋体" w:eastAsia="宋体" w:hint="default"/>
          <w:spacing w:val="-53"/>
        </w:rPr>
        <w:t> </w:t>
      </w:r>
      <w:r>
        <w:rPr>
          <w:spacing w:val="-2"/>
        </w:rPr>
        <w:t>年</w:t>
      </w:r>
      <w:r>
        <w:rPr/>
        <w:t>实现净利润</w:t>
      </w:r>
      <w:r>
        <w:rPr>
          <w:spacing w:val="-53"/>
        </w:rPr>
        <w:t> </w:t>
      </w:r>
      <w:r>
        <w:rPr>
          <w:rFonts w:ascii="宋体" w:hAnsi="宋体" w:cs="宋体" w:eastAsia="宋体" w:hint="default"/>
        </w:rPr>
        <w:t>9,229.69</w:t>
      </w:r>
      <w:r>
        <w:rPr>
          <w:rFonts w:ascii="宋体" w:hAnsi="宋体" w:cs="宋体" w:eastAsia="宋体" w:hint="default"/>
          <w:spacing w:val="-52"/>
        </w:rPr>
        <w:t> </w:t>
      </w:r>
      <w:r>
        <w:rPr/>
        <w:t>万</w:t>
      </w:r>
      <w:r>
        <w:rPr>
          <w:spacing w:val="-2"/>
        </w:rPr>
        <w:t>元</w:t>
      </w:r>
      <w:r>
        <w:rPr>
          <w:spacing w:val="-91"/>
        </w:rPr>
        <w:t>，</w:t>
      </w:r>
      <w:r>
        <w:rPr/>
        <w:t>低于原购买协议约定的</w:t>
      </w:r>
      <w:r>
        <w:rPr>
          <w:spacing w:val="-52"/>
        </w:rPr>
        <w:t> </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1"/>
        </w:rPr>
        <w:t>,</w:t>
      </w:r>
      <w:r>
        <w:rPr>
          <w:rFonts w:ascii="宋体" w:hAnsi="宋体" w:cs="宋体" w:eastAsia="宋体" w:hint="default"/>
        </w:rPr>
        <w:t>000</w:t>
      </w:r>
      <w:r>
        <w:rPr>
          <w:rFonts w:ascii="宋体" w:hAnsi="宋体" w:cs="宋体" w:eastAsia="宋体" w:hint="default"/>
          <w:spacing w:val="-52"/>
        </w:rPr>
        <w:t> </w:t>
      </w:r>
      <w:r>
        <w:rPr/>
        <w:t>万元</w:t>
      </w:r>
      <w:r>
        <w:rPr>
          <w:spacing w:val="-92"/>
        </w:rPr>
        <w:t>，</w:t>
      </w:r>
      <w:r>
        <w:rPr/>
        <w:t>考虑到</w:t>
      </w:r>
      <w:r>
        <w:rPr>
          <w:spacing w:val="-53"/>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7</w:t>
      </w:r>
    </w:p>
    <w:p>
      <w:pPr>
        <w:pStyle w:val="Heading5"/>
        <w:spacing w:line="393" w:lineRule="auto" w:before="175"/>
        <w:ind w:right="1117"/>
        <w:jc w:val="left"/>
      </w:pPr>
      <w:r>
        <w:rPr/>
        <w:t>年商誉减值赔付的影响及 </w:t>
      </w:r>
      <w:r>
        <w:rPr>
          <w:rFonts w:ascii="宋体" w:hAnsi="宋体" w:cs="宋体" w:eastAsia="宋体" w:hint="default"/>
        </w:rPr>
        <w:t>2017</w:t>
      </w:r>
      <w:r>
        <w:rPr>
          <w:rFonts w:ascii="宋体" w:hAnsi="宋体" w:cs="宋体" w:eastAsia="宋体" w:hint="default"/>
          <w:spacing w:val="-25"/>
        </w:rPr>
        <w:t> </w:t>
      </w:r>
      <w:r>
        <w:rPr/>
        <w:t>年尚有未完成的业绩赔偿，因该事项存在较大不确定性，本期未确认业绩 承诺赔偿金额。</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十七、母公司财务报表主要项目注释" w:id="402"/>
      <w:bookmarkEnd w:id="402"/>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应收票据及应收账款" w:id="403"/>
      <w:bookmarkEnd w:id="403"/>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43,889,701.28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45,705,718.44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43,889,701.28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45,705,718.44</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1）应收账款" w:id="404"/>
      <w:bookmarkEnd w:id="404"/>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1,276,24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1,276,24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1,276,2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45.70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2.70%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1,276,245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4" w:type="dxa"/>
            <w:tcBorders>
              <w:top w:val="single" w:sz="4" w:space="0" w:color="000000"/>
              <w:left w:val="single" w:sz="4" w:space="0" w:color="000000"/>
              <w:bottom w:val="single" w:sz="4" w:space="0" w:color="FFFFFF"/>
              <w:right w:val="single" w:sz="4" w:space="0" w:color="000000"/>
            </w:tcBorders>
          </w:tcPr>
          <w:p>
            <w:pPr/>
          </w:p>
        </w:tc>
        <w:tc>
          <w:tcPr>
            <w:tcW w:w="762" w:type="dxa"/>
            <w:tcBorders>
              <w:top w:val="single" w:sz="4" w:space="0" w:color="000000"/>
              <w:left w:val="single" w:sz="4" w:space="0" w:color="000000"/>
              <w:bottom w:val="single" w:sz="4" w:space="0" w:color="FFFFFF"/>
              <w:right w:val="single" w:sz="4" w:space="0" w:color="000000"/>
            </w:tcBorders>
          </w:tcPr>
          <w:p>
            <w:pPr/>
          </w:p>
        </w:tc>
        <w:tc>
          <w:tcPr>
            <w:tcW w:w="762" w:type="dxa"/>
            <w:tcBorders>
              <w:top w:val="single" w:sz="4" w:space="0" w:color="000000"/>
              <w:left w:val="single" w:sz="4" w:space="0" w:color="000000"/>
              <w:bottom w:val="single" w:sz="4" w:space="0" w:color="FFFFFF"/>
              <w:right w:val="single" w:sz="4" w:space="0" w:color="000000"/>
            </w:tcBorders>
          </w:tcPr>
          <w:p>
            <w:pPr/>
          </w:p>
        </w:tc>
        <w:tc>
          <w:tcPr>
            <w:tcW w:w="762" w:type="dxa"/>
            <w:tcBorders>
              <w:top w:val="single" w:sz="4" w:space="0" w:color="000000"/>
              <w:left w:val="single" w:sz="4" w:space="0" w:color="000000"/>
              <w:bottom w:val="single" w:sz="4" w:space="0" w:color="FFFFFF"/>
              <w:right w:val="single" w:sz="4" w:space="0" w:color="000000"/>
            </w:tcBorders>
          </w:tcPr>
          <w:p>
            <w:pPr/>
          </w:p>
        </w:tc>
        <w:tc>
          <w:tcPr>
            <w:tcW w:w="790" w:type="dxa"/>
            <w:tcBorders>
              <w:top w:val="single" w:sz="4" w:space="0" w:color="000000"/>
              <w:left w:val="single" w:sz="4" w:space="0" w:color="000000"/>
              <w:bottom w:val="single" w:sz="4" w:space="0" w:color="FFFFFF"/>
              <w:right w:val="single" w:sz="4" w:space="0" w:color="000000"/>
            </w:tcBorders>
          </w:tcPr>
          <w:p>
            <w:pPr/>
          </w:p>
        </w:tc>
        <w:tc>
          <w:tcPr>
            <w:tcW w:w="654" w:type="dxa"/>
            <w:tcBorders>
              <w:top w:val="single" w:sz="4" w:space="0" w:color="000000"/>
              <w:left w:val="single" w:sz="4" w:space="0" w:color="000000"/>
              <w:bottom w:val="single" w:sz="4" w:space="0" w:color="FFFFFF"/>
              <w:right w:val="single" w:sz="4" w:space="0" w:color="000000"/>
            </w:tcBorders>
          </w:tcPr>
          <w:p>
            <w:pPr/>
          </w:p>
        </w:tc>
        <w:tc>
          <w:tcPr>
            <w:tcW w:w="762" w:type="dxa"/>
            <w:tcBorders>
              <w:top w:val="single" w:sz="4" w:space="0" w:color="000000"/>
              <w:left w:val="single" w:sz="4" w:space="0" w:color="000000"/>
              <w:bottom w:val="single" w:sz="4" w:space="0" w:color="FFFFFF"/>
              <w:right w:val="single" w:sz="4" w:space="0" w:color="000000"/>
            </w:tcBorders>
          </w:tcPr>
          <w:p>
            <w:pPr/>
          </w:p>
        </w:tc>
        <w:tc>
          <w:tcPr>
            <w:tcW w:w="813" w:type="dxa"/>
            <w:tcBorders>
              <w:top w:val="single" w:sz="4" w:space="0" w:color="000000"/>
              <w:left w:val="single" w:sz="4" w:space="0" w:color="000000"/>
              <w:bottom w:val="single" w:sz="4" w:space="0" w:color="FFFFFF"/>
              <w:right w:val="single" w:sz="4" w:space="0" w:color="000000"/>
            </w:tcBorders>
          </w:tcPr>
          <w:p>
            <w:pPr/>
          </w:p>
        </w:tc>
        <w:tc>
          <w:tcPr>
            <w:tcW w:w="932" w:type="dxa"/>
            <w:tcBorders>
              <w:top w:val="single" w:sz="4" w:space="0" w:color="000000"/>
              <w:left w:val="single" w:sz="4" w:space="0" w:color="000000"/>
              <w:bottom w:val="single" w:sz="4" w:space="0" w:color="FFFFFF"/>
              <w:right w:val="single" w:sz="4" w:space="0" w:color="000000"/>
            </w:tcBorders>
          </w:tcPr>
          <w:p>
            <w:pPr/>
          </w:p>
        </w:tc>
        <w:tc>
          <w:tcPr>
            <w:tcW w:w="932" w:type="dxa"/>
            <w:tcBorders>
              <w:top w:val="single" w:sz="4" w:space="0" w:color="000000"/>
              <w:left w:val="single" w:sz="4" w:space="0" w:color="000000"/>
              <w:bottom w:val="single" w:sz="4" w:space="0" w:color="FFFFFF"/>
              <w:right w:val="single" w:sz="4" w:space="0" w:color="000000"/>
            </w:tcBorders>
          </w:tcPr>
          <w:p>
            <w:pPr/>
          </w:p>
        </w:tc>
      </w:tr>
      <w:tr>
        <w:trPr>
          <w:trHeight w:val="503" w:hRule="exact"/>
        </w:trPr>
        <w:tc>
          <w:tcPr>
            <w:tcW w:w="163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6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22"/>
              <w:jc w:val="right"/>
              <w:rPr>
                <w:rFonts w:ascii="Arial Narrow" w:hAnsi="Arial Narrow" w:cs="Arial Narrow" w:eastAsia="Arial Narrow" w:hint="default"/>
                <w:sz w:val="18"/>
                <w:szCs w:val="18"/>
              </w:rPr>
            </w:pPr>
            <w:r>
              <w:rPr>
                <w:rFonts w:ascii="Arial Narrow"/>
                <w:spacing w:val="-1"/>
                <w:sz w:val="18"/>
              </w:rPr>
              <w:t>3,811,315.</w:t>
            </w: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w w:val="95"/>
                <w:sz w:val="18"/>
              </w:rPr>
              <w:t>66</w:t>
            </w:r>
            <w:r>
              <w:rPr>
                <w:rFonts w:ascii="Arial Narrow"/>
                <w:w w:val="95"/>
                <w:sz w:val="18"/>
              </w:rPr>
            </w:r>
          </w:p>
        </w:tc>
        <w:tc>
          <w:tcPr>
            <w:tcW w:w="76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9"/>
              <w:ind w:left="231" w:right="0"/>
              <w:jc w:val="left"/>
              <w:rPr>
                <w:rFonts w:ascii="Arial Narrow" w:hAnsi="Arial Narrow" w:cs="Arial Narrow" w:eastAsia="Arial Narrow" w:hint="default"/>
                <w:sz w:val="18"/>
                <w:szCs w:val="18"/>
              </w:rPr>
            </w:pPr>
            <w:r>
              <w:rPr>
                <w:rFonts w:ascii="Arial Narrow"/>
                <w:sz w:val="18"/>
              </w:rPr>
              <w:t>8.37</w:t>
            </w:r>
          </w:p>
        </w:tc>
        <w:tc>
          <w:tcPr>
            <w:tcW w:w="76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23"/>
              <w:jc w:val="right"/>
              <w:rPr>
                <w:rFonts w:ascii="Arial Narrow" w:hAnsi="Arial Narrow" w:cs="Arial Narrow" w:eastAsia="Arial Narrow" w:hint="default"/>
                <w:sz w:val="18"/>
                <w:szCs w:val="18"/>
              </w:rPr>
            </w:pPr>
            <w:r>
              <w:rPr>
                <w:rFonts w:ascii="Arial Narrow"/>
                <w:spacing w:val="-1"/>
                <w:sz w:val="18"/>
              </w:rPr>
              <w:t>339,263.5</w:t>
            </w:r>
          </w:p>
          <w:p>
            <w:pPr>
              <w:pStyle w:val="TableParagraph"/>
              <w:spacing w:line="240" w:lineRule="auto"/>
              <w:ind w:right="21"/>
              <w:jc w:val="right"/>
              <w:rPr>
                <w:rFonts w:ascii="Arial Narrow" w:hAnsi="Arial Narrow" w:cs="Arial Narrow" w:eastAsia="Arial Narrow" w:hint="default"/>
                <w:sz w:val="18"/>
                <w:szCs w:val="18"/>
              </w:rPr>
            </w:pPr>
            <w:r>
              <w:rPr>
                <w:rFonts w:ascii="Arial Narrow"/>
                <w:sz w:val="18"/>
              </w:rPr>
              <w:t>9</w:t>
            </w:r>
          </w:p>
        </w:tc>
        <w:tc>
          <w:tcPr>
            <w:tcW w:w="76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9"/>
              <w:ind w:left="232" w:right="0"/>
              <w:jc w:val="left"/>
              <w:rPr>
                <w:rFonts w:ascii="Arial Narrow" w:hAnsi="Arial Narrow" w:cs="Arial Narrow" w:eastAsia="Arial Narrow" w:hint="default"/>
                <w:sz w:val="18"/>
                <w:szCs w:val="18"/>
              </w:rPr>
            </w:pPr>
            <w:r>
              <w:rPr>
                <w:rFonts w:ascii="Arial Narrow"/>
                <w:sz w:val="18"/>
              </w:rPr>
              <w:t>8.90</w:t>
            </w:r>
          </w:p>
        </w:tc>
        <w:tc>
          <w:tcPr>
            <w:tcW w:w="790" w:type="dxa"/>
            <w:tcBorders>
              <w:top w:val="single" w:sz="4" w:space="0" w:color="FFFFFF"/>
              <w:left w:val="single" w:sz="4" w:space="0" w:color="000000"/>
              <w:bottom w:val="single" w:sz="4" w:space="0" w:color="FFFFFF"/>
              <w:right w:val="single" w:sz="4" w:space="0" w:color="000000"/>
            </w:tcBorders>
          </w:tcPr>
          <w:p>
            <w:pPr/>
          </w:p>
        </w:tc>
        <w:tc>
          <w:tcPr>
            <w:tcW w:w="65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left="45" w:right="0"/>
              <w:jc w:val="left"/>
              <w:rPr>
                <w:rFonts w:ascii="Arial Narrow" w:hAnsi="Arial Narrow" w:cs="Arial Narrow" w:eastAsia="Arial Narrow" w:hint="default"/>
                <w:sz w:val="18"/>
                <w:szCs w:val="18"/>
              </w:rPr>
            </w:pPr>
            <w:r>
              <w:rPr>
                <w:rFonts w:ascii="Arial Narrow"/>
                <w:sz w:val="18"/>
              </w:rPr>
              <w:t>5,384,47</w:t>
            </w:r>
          </w:p>
          <w:p>
            <w:pPr>
              <w:pStyle w:val="TableParagraph"/>
              <w:spacing w:line="240" w:lineRule="auto"/>
              <w:ind w:left="333" w:right="0"/>
              <w:jc w:val="left"/>
              <w:rPr>
                <w:rFonts w:ascii="Arial Narrow" w:hAnsi="Arial Narrow" w:cs="Arial Narrow" w:eastAsia="Arial Narrow" w:hint="default"/>
                <w:sz w:val="18"/>
                <w:szCs w:val="18"/>
              </w:rPr>
            </w:pPr>
            <w:r>
              <w:rPr>
                <w:rFonts w:ascii="Arial Narrow"/>
                <w:sz w:val="18"/>
              </w:rPr>
              <w:t>9.63</w:t>
            </w:r>
          </w:p>
        </w:tc>
        <w:tc>
          <w:tcPr>
            <w:tcW w:w="76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9"/>
              <w:ind w:left="190" w:right="0"/>
              <w:jc w:val="left"/>
              <w:rPr>
                <w:rFonts w:ascii="Arial Narrow" w:hAnsi="Arial Narrow" w:cs="Arial Narrow" w:eastAsia="Arial Narrow" w:hint="default"/>
                <w:sz w:val="18"/>
                <w:szCs w:val="18"/>
              </w:rPr>
            </w:pPr>
            <w:r>
              <w:rPr>
                <w:rFonts w:ascii="Arial Narrow"/>
                <w:sz w:val="18"/>
              </w:rPr>
              <w:t>11.38</w:t>
            </w:r>
          </w:p>
        </w:tc>
        <w:tc>
          <w:tcPr>
            <w:tcW w:w="81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9"/>
              <w:ind w:right="22"/>
              <w:jc w:val="right"/>
              <w:rPr>
                <w:rFonts w:ascii="Arial Narrow" w:hAnsi="Arial Narrow" w:cs="Arial Narrow" w:eastAsia="Arial Narrow" w:hint="default"/>
                <w:sz w:val="18"/>
                <w:szCs w:val="18"/>
              </w:rPr>
            </w:pPr>
            <w:r>
              <w:rPr>
                <w:rFonts w:ascii="Arial Narrow"/>
                <w:spacing w:val="-1"/>
                <w:sz w:val="18"/>
              </w:rPr>
              <w:t>233,155.85</w:t>
            </w:r>
          </w:p>
        </w:tc>
        <w:tc>
          <w:tcPr>
            <w:tcW w:w="9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9"/>
              <w:ind w:left="317" w:right="0"/>
              <w:jc w:val="left"/>
              <w:rPr>
                <w:rFonts w:ascii="Arial Narrow" w:hAnsi="Arial Narrow" w:cs="Arial Narrow" w:eastAsia="Arial Narrow" w:hint="default"/>
                <w:sz w:val="18"/>
                <w:szCs w:val="18"/>
              </w:rPr>
            </w:pPr>
            <w:r>
              <w:rPr>
                <w:rFonts w:ascii="Arial Narrow"/>
                <w:sz w:val="18"/>
              </w:rPr>
              <w:t>4.33</w:t>
            </w:r>
          </w:p>
        </w:tc>
        <w:tc>
          <w:tcPr>
            <w:tcW w:w="932" w:type="dxa"/>
            <w:tcBorders>
              <w:top w:val="single" w:sz="4" w:space="0" w:color="FFFFFF"/>
              <w:left w:val="single" w:sz="4" w:space="0" w:color="000000"/>
              <w:bottom w:val="single" w:sz="4" w:space="0" w:color="FFFFFF"/>
              <w:right w:val="single" w:sz="4" w:space="0" w:color="000000"/>
            </w:tcBorders>
          </w:tcPr>
          <w:p>
            <w:pPr/>
          </w:p>
        </w:tc>
      </w:tr>
      <w:tr>
        <w:trPr>
          <w:trHeight w:val="503" w:hRule="exact"/>
        </w:trPr>
        <w:tc>
          <w:tcPr>
            <w:tcW w:w="163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7"/>
              <w:ind w:left="73" w:right="0"/>
              <w:jc w:val="left"/>
              <w:rPr>
                <w:rFonts w:ascii="Arial Narrow" w:hAnsi="Arial Narrow" w:cs="Arial Narrow" w:eastAsia="Arial Narrow" w:hint="default"/>
                <w:sz w:val="18"/>
                <w:szCs w:val="18"/>
              </w:rPr>
            </w:pPr>
            <w:r>
              <w:rPr>
                <w:rFonts w:ascii="Arial Narrow"/>
                <w:sz w:val="18"/>
              </w:rPr>
              <w:t>40,417,64</w:t>
            </w:r>
          </w:p>
          <w:p>
            <w:pPr>
              <w:pStyle w:val="TableParagraph"/>
              <w:spacing w:line="240" w:lineRule="auto" w:before="1"/>
              <w:ind w:left="443" w:right="0"/>
              <w:jc w:val="left"/>
              <w:rPr>
                <w:rFonts w:ascii="Arial Narrow" w:hAnsi="Arial Narrow" w:cs="Arial Narrow" w:eastAsia="Arial Narrow" w:hint="default"/>
                <w:sz w:val="18"/>
                <w:szCs w:val="18"/>
              </w:rPr>
            </w:pPr>
            <w:r>
              <w:rPr>
                <w:rFonts w:ascii="Arial Narrow"/>
                <w:sz w:val="18"/>
              </w:rPr>
              <w:t>9.21</w:t>
            </w:r>
          </w:p>
        </w:tc>
        <w:tc>
          <w:tcPr>
            <w:tcW w:w="7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0"/>
              <w:ind w:left="190" w:right="0"/>
              <w:jc w:val="left"/>
              <w:rPr>
                <w:rFonts w:ascii="Arial Narrow" w:hAnsi="Arial Narrow" w:cs="Arial Narrow" w:eastAsia="Arial Narrow" w:hint="default"/>
                <w:sz w:val="18"/>
                <w:szCs w:val="18"/>
              </w:rPr>
            </w:pPr>
            <w:r>
              <w:rPr>
                <w:rFonts w:ascii="Arial Narrow"/>
                <w:sz w:val="18"/>
              </w:rPr>
              <w:t>88.70</w:t>
            </w:r>
          </w:p>
        </w:tc>
        <w:tc>
          <w:tcPr>
            <w:tcW w:w="762" w:type="dxa"/>
            <w:tcBorders>
              <w:top w:val="single" w:sz="4" w:space="0" w:color="FFFFFF"/>
              <w:left w:val="single" w:sz="4" w:space="0" w:color="000000"/>
              <w:bottom w:val="single" w:sz="4" w:space="0" w:color="000000"/>
              <w:right w:val="single" w:sz="4" w:space="0" w:color="000000"/>
            </w:tcBorders>
          </w:tcPr>
          <w:p>
            <w:pPr/>
          </w:p>
        </w:tc>
        <w:tc>
          <w:tcPr>
            <w:tcW w:w="762" w:type="dxa"/>
            <w:tcBorders>
              <w:top w:val="single" w:sz="4" w:space="0" w:color="FFFFFF"/>
              <w:left w:val="single" w:sz="4" w:space="0" w:color="000000"/>
              <w:bottom w:val="single" w:sz="4" w:space="0" w:color="000000"/>
              <w:right w:val="single" w:sz="4" w:space="0" w:color="000000"/>
            </w:tcBorders>
          </w:tcPr>
          <w:p>
            <w:pPr/>
          </w:p>
        </w:tc>
        <w:tc>
          <w:tcPr>
            <w:tcW w:w="790" w:type="dxa"/>
            <w:tcBorders>
              <w:top w:val="single" w:sz="4" w:space="0" w:color="FFFFFF"/>
              <w:left w:val="single" w:sz="4" w:space="0" w:color="000000"/>
              <w:bottom w:val="single" w:sz="4" w:space="0" w:color="000000"/>
              <w:right w:val="single" w:sz="4" w:space="0" w:color="000000"/>
            </w:tcBorders>
          </w:tcPr>
          <w:p>
            <w:pPr/>
          </w:p>
        </w:tc>
        <w:tc>
          <w:tcPr>
            <w:tcW w:w="6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7"/>
              <w:ind w:left="45" w:right="0"/>
              <w:jc w:val="left"/>
              <w:rPr>
                <w:rFonts w:ascii="Arial Narrow" w:hAnsi="Arial Narrow" w:cs="Arial Narrow" w:eastAsia="Arial Narrow" w:hint="default"/>
                <w:sz w:val="18"/>
                <w:szCs w:val="18"/>
              </w:rPr>
            </w:pPr>
            <w:r>
              <w:rPr>
                <w:rFonts w:ascii="Arial Narrow"/>
                <w:sz w:val="18"/>
              </w:rPr>
              <w:t>45,938,8</w:t>
            </w:r>
          </w:p>
          <w:p>
            <w:pPr>
              <w:pStyle w:val="TableParagraph"/>
              <w:spacing w:line="240" w:lineRule="auto" w:before="1"/>
              <w:ind w:left="250" w:right="0"/>
              <w:jc w:val="left"/>
              <w:rPr>
                <w:rFonts w:ascii="Arial Narrow" w:hAnsi="Arial Narrow" w:cs="Arial Narrow" w:eastAsia="Arial Narrow" w:hint="default"/>
                <w:sz w:val="18"/>
                <w:szCs w:val="18"/>
              </w:rPr>
            </w:pPr>
            <w:r>
              <w:rPr>
                <w:rFonts w:ascii="Arial Narrow"/>
                <w:sz w:val="18"/>
              </w:rPr>
              <w:t>74.29</w:t>
            </w:r>
          </w:p>
        </w:tc>
        <w:tc>
          <w:tcPr>
            <w:tcW w:w="7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0"/>
              <w:ind w:left="190" w:right="0"/>
              <w:jc w:val="left"/>
              <w:rPr>
                <w:rFonts w:ascii="Arial Narrow" w:hAnsi="Arial Narrow" w:cs="Arial Narrow" w:eastAsia="Arial Narrow" w:hint="default"/>
                <w:sz w:val="18"/>
                <w:szCs w:val="18"/>
              </w:rPr>
            </w:pPr>
            <w:r>
              <w:rPr>
                <w:rFonts w:ascii="Arial Narrow"/>
                <w:sz w:val="18"/>
              </w:rPr>
              <w:t>97.12</w:t>
            </w:r>
          </w:p>
        </w:tc>
        <w:tc>
          <w:tcPr>
            <w:tcW w:w="81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0"/>
              <w:ind w:right="22"/>
              <w:jc w:val="right"/>
              <w:rPr>
                <w:rFonts w:ascii="Arial Narrow" w:hAnsi="Arial Narrow" w:cs="Arial Narrow" w:eastAsia="Arial Narrow" w:hint="default"/>
                <w:sz w:val="18"/>
                <w:szCs w:val="18"/>
              </w:rPr>
            </w:pPr>
            <w:r>
              <w:rPr>
                <w:rFonts w:ascii="Arial Narrow"/>
                <w:spacing w:val="-1"/>
                <w:sz w:val="18"/>
              </w:rPr>
              <w:t>233,155.85</w:t>
            </w:r>
          </w:p>
        </w:tc>
        <w:tc>
          <w:tcPr>
            <w:tcW w:w="9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0"/>
              <w:ind w:left="317" w:right="0"/>
              <w:jc w:val="left"/>
              <w:rPr>
                <w:rFonts w:ascii="Arial Narrow" w:hAnsi="Arial Narrow" w:cs="Arial Narrow" w:eastAsia="Arial Narrow" w:hint="default"/>
                <w:sz w:val="18"/>
                <w:szCs w:val="18"/>
              </w:rPr>
            </w:pPr>
            <w:r>
              <w:rPr>
                <w:rFonts w:ascii="Arial Narrow"/>
                <w:sz w:val="18"/>
              </w:rPr>
              <w:t>0.51</w:t>
            </w:r>
          </w:p>
        </w:tc>
        <w:tc>
          <w:tcPr>
            <w:tcW w:w="932" w:type="dxa"/>
            <w:tcBorders>
              <w:top w:val="single" w:sz="4" w:space="0" w:color="FFFFFF"/>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44,228,9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339,263.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43,889,70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45,938,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874.29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233,155.8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45,705,718.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84,365.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84,365.27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45,562,5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75.84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1,672,87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43,889,70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47,299,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485.26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1,593,766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45,705,718.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979" w:top="1100" w:bottom="1160" w:left="980" w:right="0"/>
        </w:sectPr>
      </w:pPr>
    </w:p>
    <w:p>
      <w:pPr>
        <w:pStyle w:val="BodyText"/>
        <w:spacing w:line="240" w:lineRule="auto" w:before="44"/>
        <w:ind w:right="-20"/>
        <w:jc w:val="left"/>
      </w:pPr>
      <w:r>
        <w:rPr/>
        <w:t>期末单项金额重大并单项计提坏账准备的应收账款：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北京旌旗源弘科贸有限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1,239,187.37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1,239,187.37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根据诉讼进展预计难以 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湖南中冶美隆纸业有限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37,058.33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37,058.33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债务人停产难以偿还债 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1,276,245.70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1,276,245.70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70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3,138,653.64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62,773.08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192,453.52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9,622.68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3,331,107.16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72,395.76</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237,045.19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23,704.52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243,163.31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243,163.31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3,811,315.66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339,263.59</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spacing w:after="0" w:line="360" w:lineRule="auto"/>
        <w:jc w:val="left"/>
        <w:sectPr>
          <w:type w:val="continuous"/>
          <w:pgSz w:w="11910" w:h="16840"/>
          <w:pgMar w:top="1060" w:bottom="700" w:left="980" w:right="0"/>
        </w:sectPr>
      </w:pPr>
    </w:p>
    <w:p>
      <w:pPr>
        <w:spacing w:line="240" w:lineRule="auto" w:before="13"/>
        <w:rPr>
          <w:rFonts w:ascii="宋体" w:hAnsi="宋体" w:cs="宋体" w:eastAsia="宋体" w:hint="default"/>
          <w:sz w:val="21"/>
          <w:szCs w:val="21"/>
        </w:rPr>
      </w:pPr>
    </w:p>
    <w:p>
      <w:pPr>
        <w:pStyle w:val="BodyText"/>
        <w:spacing w:line="348" w:lineRule="auto" w:before="44"/>
        <w:ind w:left="25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2"/>
        <w:ind w:left="254" w:right="1032"/>
        <w:jc w:val="left"/>
      </w:pPr>
      <w:r>
        <w:rPr/>
        <w:t>本期计提坏账准备金额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left="254" w:right="1032"/>
        <w:jc w:val="left"/>
      </w:pPr>
      <w:r>
        <w:rPr>
          <w:rFonts w:ascii="Times New Roman" w:hAnsi="Times New Roman" w:cs="Times New Roman" w:eastAsia="Times New Roman" w:hint="default"/>
        </w:rPr>
        <w:t>3)</w:t>
      </w:r>
      <w:r>
        <w:rPr/>
        <w:t>期末单项金额重大并单独计提坏账准备的应收账款</w:t>
      </w:r>
    </w:p>
    <w:p>
      <w:pPr>
        <w:spacing w:line="240" w:lineRule="auto" w:before="0"/>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858"/>
        <w:gridCol w:w="1362"/>
        <w:gridCol w:w="1364"/>
        <w:gridCol w:w="1364"/>
        <w:gridCol w:w="1364"/>
        <w:gridCol w:w="1558"/>
      </w:tblGrid>
      <w:tr>
        <w:trPr>
          <w:trHeight w:val="411" w:hRule="exact"/>
        </w:trPr>
        <w:tc>
          <w:tcPr>
            <w:tcW w:w="28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3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7" w:right="0"/>
              <w:jc w:val="center"/>
              <w:rPr>
                <w:rFonts w:ascii="宋体" w:hAnsi="宋体" w:cs="宋体" w:eastAsia="宋体" w:hint="default"/>
                <w:sz w:val="18"/>
                <w:szCs w:val="18"/>
              </w:rPr>
            </w:pPr>
            <w:r>
              <w:rPr>
                <w:rFonts w:ascii="宋体" w:hAnsi="宋体" w:cs="宋体" w:eastAsia="宋体" w:hint="default"/>
                <w:sz w:val="18"/>
                <w:szCs w:val="18"/>
              </w:rPr>
              <w:t>北京龙文倡达商贸有限公司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57,365.27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57,365.27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Narrow" w:hAnsi="Arial Narrow" w:cs="Arial Narrow" w:eastAsia="Arial Narrow" w:hint="default"/>
                <w:sz w:val="18"/>
                <w:szCs w:val="18"/>
              </w:rPr>
            </w:pPr>
            <w:r>
              <w:rPr>
                <w:rFonts w:ascii="Arial Narrow"/>
                <w:sz w:val="18"/>
              </w:rPr>
              <w:t>100.00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预计无法回收</w:t>
            </w:r>
          </w:p>
        </w:tc>
      </w:tr>
      <w:tr>
        <w:trPr>
          <w:trHeight w:val="412" w:hRule="exact"/>
        </w:trPr>
        <w:tc>
          <w:tcPr>
            <w:tcW w:w="2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57,365.27</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57,365.27</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
              <w:jc w:val="center"/>
              <w:rPr>
                <w:rFonts w:ascii="Arial Narrow" w:hAnsi="Arial Narrow" w:cs="Arial Narrow" w:eastAsia="Arial Narrow" w:hint="default"/>
                <w:sz w:val="18"/>
                <w:szCs w:val="18"/>
              </w:rPr>
            </w:pPr>
            <w:r>
              <w:rPr>
                <w:rFonts w:ascii="Arial Narrow"/>
                <w:sz w:val="18"/>
              </w:rPr>
              <w:t>--</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
              <w:jc w:val="center"/>
              <w:rPr>
                <w:rFonts w:ascii="Arial Narrow" w:hAnsi="Arial Narrow" w:cs="Arial Narrow" w:eastAsia="Arial Narrow" w:hint="default"/>
                <w:sz w:val="18"/>
                <w:szCs w:val="18"/>
              </w:rPr>
            </w:pPr>
            <w:r>
              <w:rPr>
                <w:rFonts w:ascii="Arial Narrow"/>
                <w:sz w:val="18"/>
              </w:rPr>
              <w:t>--</w:t>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2"/>
              <w:jc w:val="center"/>
              <w:rPr>
                <w:rFonts w:ascii="Arial Narrow" w:hAnsi="Arial Narrow" w:cs="Arial Narrow" w:eastAsia="Arial Narrow" w:hint="default"/>
                <w:sz w:val="18"/>
                <w:szCs w:val="18"/>
              </w:rPr>
            </w:pPr>
            <w:r>
              <w:rPr>
                <w:rFonts w:ascii="Arial Narrow"/>
                <w:sz w:val="18"/>
              </w:rPr>
              <w:t>--</w:t>
            </w:r>
          </w:p>
        </w:tc>
      </w:tr>
    </w:tbl>
    <w:p>
      <w:pPr>
        <w:spacing w:line="240" w:lineRule="auto" w:before="11"/>
        <w:rPr>
          <w:rFonts w:ascii="宋体" w:hAnsi="宋体" w:cs="宋体" w:eastAsia="宋体" w:hint="default"/>
          <w:sz w:val="8"/>
          <w:szCs w:val="8"/>
        </w:rPr>
      </w:pPr>
    </w:p>
    <w:p>
      <w:pPr>
        <w:spacing w:before="50"/>
        <w:ind w:left="574" w:right="1032" w:firstLine="0"/>
        <w:jc w:val="left"/>
        <w:rPr>
          <w:rFonts w:ascii="宋体" w:hAnsi="宋体" w:cs="宋体" w:eastAsia="宋体" w:hint="default"/>
          <w:sz w:val="16"/>
          <w:szCs w:val="16"/>
        </w:rPr>
      </w:pPr>
      <w:r>
        <w:rPr>
          <w:rFonts w:ascii="宋体" w:hAnsi="宋体" w:cs="宋体" w:eastAsia="宋体" w:hint="default"/>
          <w:sz w:val="16"/>
          <w:szCs w:val="16"/>
        </w:rPr>
        <w:t>注：本期北京龙文倡达商贸有限公司收回款项</w:t>
      </w:r>
      <w:r>
        <w:rPr>
          <w:rFonts w:ascii="宋体" w:hAnsi="宋体" w:cs="宋体" w:eastAsia="宋体" w:hint="default"/>
          <w:spacing w:val="-44"/>
          <w:sz w:val="16"/>
          <w:szCs w:val="16"/>
        </w:rPr>
        <w:t> </w:t>
      </w:r>
      <w:r>
        <w:rPr>
          <w:rFonts w:ascii="宋体" w:hAnsi="宋体" w:cs="宋体" w:eastAsia="宋体" w:hint="default"/>
          <w:sz w:val="16"/>
          <w:szCs w:val="16"/>
        </w:rPr>
        <w:t>27,000.00</w:t>
      </w:r>
      <w:r>
        <w:rPr>
          <w:rFonts w:ascii="宋体" w:hAnsi="宋体" w:cs="宋体" w:eastAsia="宋体" w:hint="default"/>
          <w:spacing w:val="-43"/>
          <w:sz w:val="16"/>
          <w:szCs w:val="16"/>
        </w:rPr>
        <w:t> </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20"/>
          <w:szCs w:val="20"/>
        </w:rPr>
      </w:pPr>
    </w:p>
    <w:p>
      <w:pPr>
        <w:pStyle w:val="BodyText"/>
        <w:spacing w:line="240" w:lineRule="auto"/>
        <w:ind w:left="254" w:right="103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341"/>
        <w:gridCol w:w="2176"/>
        <w:gridCol w:w="2176"/>
        <w:gridCol w:w="2177"/>
      </w:tblGrid>
      <w:tr>
        <w:trPr>
          <w:trHeight w:val="566" w:hRule="exact"/>
        </w:trPr>
        <w:tc>
          <w:tcPr>
            <w:tcW w:w="33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947" w:right="183" w:hanging="766"/>
              <w:jc w:val="left"/>
              <w:rPr>
                <w:rFonts w:ascii="宋体" w:hAnsi="宋体" w:cs="宋体" w:eastAsia="宋体" w:hint="default"/>
                <w:sz w:val="18"/>
                <w:szCs w:val="18"/>
              </w:rPr>
            </w:pPr>
            <w:r>
              <w:rPr>
                <w:rFonts w:ascii="宋体" w:hAnsi="宋体" w:cs="宋体" w:eastAsia="宋体" w:hint="default"/>
                <w:sz w:val="18"/>
                <w:szCs w:val="18"/>
              </w:rPr>
              <w:t>占应收账款总额的比例 </w:t>
            </w:r>
            <w:r>
              <w:rPr>
                <w:rFonts w:ascii="宋体" w:hAnsi="宋体" w:cs="宋体" w:eastAsia="宋体" w:hint="default"/>
                <w:sz w:val="18"/>
                <w:szCs w:val="18"/>
              </w:rPr>
              <w:t>(%)</w:t>
            </w:r>
          </w:p>
        </w:tc>
        <w:tc>
          <w:tcPr>
            <w:tcW w:w="21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7"/>
              <w:ind w:left="542"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湖南安妮特种涂布纸有限公司</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27,431,505.09</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7" w:right="0"/>
              <w:jc w:val="left"/>
              <w:rPr>
                <w:rFonts w:ascii="Arial Narrow" w:hAnsi="Arial Narrow" w:cs="Arial Narrow" w:eastAsia="Arial Narrow" w:hint="default"/>
                <w:sz w:val="18"/>
                <w:szCs w:val="18"/>
              </w:rPr>
            </w:pPr>
            <w:r>
              <w:rPr>
                <w:rFonts w:ascii="Arial Narrow"/>
                <w:sz w:val="18"/>
              </w:rPr>
              <w:t>60.21</w:t>
            </w: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上海超级标贴系统有限公司</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7,682,560.19</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7" w:right="0"/>
              <w:jc w:val="left"/>
              <w:rPr>
                <w:rFonts w:ascii="Arial Narrow" w:hAnsi="Arial Narrow" w:cs="Arial Narrow" w:eastAsia="Arial Narrow" w:hint="default"/>
                <w:sz w:val="18"/>
                <w:szCs w:val="18"/>
              </w:rPr>
            </w:pPr>
            <w:r>
              <w:rPr>
                <w:rFonts w:ascii="Arial Narrow"/>
                <w:sz w:val="18"/>
              </w:rPr>
              <w:t>16.86</w:t>
            </w: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厦门安妮企业有限公司</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2,641,435.62</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9" w:right="0"/>
              <w:jc w:val="left"/>
              <w:rPr>
                <w:rFonts w:ascii="Arial Narrow" w:hAnsi="Arial Narrow" w:cs="Arial Narrow" w:eastAsia="Arial Narrow" w:hint="default"/>
                <w:sz w:val="18"/>
                <w:szCs w:val="18"/>
              </w:rPr>
            </w:pPr>
            <w:r>
              <w:rPr>
                <w:rFonts w:ascii="Arial Narrow"/>
                <w:sz w:val="18"/>
              </w:rPr>
              <w:t>5.80</w:t>
            </w: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北京旌旗源弘科贸有限公司</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1,239,187.37</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9" w:right="0"/>
              <w:jc w:val="left"/>
              <w:rPr>
                <w:rFonts w:ascii="Arial Narrow" w:hAnsi="Arial Narrow" w:cs="Arial Narrow" w:eastAsia="Arial Narrow" w:hint="default"/>
                <w:sz w:val="18"/>
                <w:szCs w:val="18"/>
              </w:rPr>
            </w:pPr>
            <w:r>
              <w:rPr>
                <w:rFonts w:ascii="Arial Narrow"/>
                <w:sz w:val="18"/>
              </w:rPr>
              <w:t>2.72</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1,239,187.37</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郑金晓</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505,821.44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9" w:right="0"/>
              <w:jc w:val="left"/>
              <w:rPr>
                <w:rFonts w:ascii="Arial Narrow" w:hAnsi="Arial Narrow" w:cs="Arial Narrow" w:eastAsia="Arial Narrow" w:hint="default"/>
                <w:sz w:val="18"/>
                <w:szCs w:val="18"/>
              </w:rPr>
            </w:pPr>
            <w:r>
              <w:rPr>
                <w:rFonts w:ascii="Arial Narrow"/>
                <w:sz w:val="18"/>
              </w:rPr>
              <w:t>1.11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10,116.43</w:t>
            </w:r>
          </w:p>
        </w:tc>
      </w:tr>
      <w:tr>
        <w:trPr>
          <w:trHeight w:val="413" w:hRule="exact"/>
        </w:trPr>
        <w:tc>
          <w:tcPr>
            <w:tcW w:w="33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39,500,509.71</w:t>
            </w:r>
          </w:p>
        </w:tc>
        <w:tc>
          <w:tcPr>
            <w:tcW w:w="2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897" w:right="0"/>
              <w:jc w:val="left"/>
              <w:rPr>
                <w:rFonts w:ascii="Arial Narrow" w:hAnsi="Arial Narrow" w:cs="Arial Narrow" w:eastAsia="Arial Narrow" w:hint="default"/>
                <w:sz w:val="18"/>
                <w:szCs w:val="18"/>
              </w:rPr>
            </w:pPr>
            <w:r>
              <w:rPr>
                <w:rFonts w:ascii="Arial Narrow"/>
                <w:sz w:val="18"/>
              </w:rPr>
              <w:t>86.70</w:t>
            </w:r>
          </w:p>
        </w:tc>
        <w:tc>
          <w:tcPr>
            <w:tcW w:w="21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1,249,303.80</w:t>
            </w:r>
          </w:p>
        </w:tc>
      </w:tr>
    </w:tbl>
    <w:p>
      <w:pPr>
        <w:spacing w:line="240" w:lineRule="auto" w:before="5"/>
        <w:rPr>
          <w:rFonts w:ascii="宋体" w:hAnsi="宋体" w:cs="宋体" w:eastAsia="宋体" w:hint="default"/>
          <w:sz w:val="24"/>
          <w:szCs w:val="24"/>
        </w:rPr>
      </w:pPr>
    </w:p>
    <w:p>
      <w:pPr>
        <w:pStyle w:val="BodyText"/>
        <w:spacing w:line="240" w:lineRule="auto" w:before="44"/>
        <w:ind w:left="254" w:right="103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254" w:right="1032"/>
        <w:jc w:val="left"/>
        <w:rPr>
          <w:b w:val="0"/>
          <w:bCs w:val="0"/>
        </w:rPr>
      </w:pPr>
      <w:bookmarkStart w:name="2、其他应收款" w:id="405"/>
      <w:bookmarkEnd w:id="40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904,109.59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101,473,105.06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127,839,615.35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102,041,438.39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128,743,724.94</w:t>
            </w:r>
          </w:p>
        </w:tc>
      </w:tr>
    </w:tbl>
    <w:p>
      <w:pPr>
        <w:spacing w:line="240" w:lineRule="auto" w:before="2"/>
        <w:rPr>
          <w:rFonts w:ascii="宋体" w:hAnsi="宋体" w:cs="宋体" w:eastAsia="宋体" w:hint="default"/>
          <w:sz w:val="19"/>
          <w:szCs w:val="19"/>
        </w:rPr>
      </w:pPr>
    </w:p>
    <w:p>
      <w:pPr>
        <w:pStyle w:val="Heading4"/>
        <w:spacing w:line="240" w:lineRule="auto" w:before="35"/>
        <w:ind w:left="254" w:right="1032"/>
        <w:jc w:val="left"/>
        <w:rPr>
          <w:b w:val="0"/>
          <w:bCs w:val="0"/>
        </w:rPr>
      </w:pPr>
      <w:bookmarkStart w:name="（1）应收利息" w:id="406"/>
      <w:bookmarkEnd w:id="40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254" w:right="1032"/>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568,333.33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904,109.59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568,333.33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904,109.59</w:t>
            </w:r>
          </w:p>
        </w:tc>
      </w:tr>
    </w:tbl>
    <w:p>
      <w:pPr>
        <w:pStyle w:val="BodyText"/>
        <w:spacing w:line="240" w:lineRule="auto" w:before="51"/>
        <w:ind w:left="254" w:right="1032"/>
        <w:jc w:val="left"/>
      </w:pPr>
      <w:r>
        <w:rPr>
          <w:rFonts w:ascii="Times New Roman" w:hAnsi="Times New Roman" w:cs="Times New Roman" w:eastAsia="Times New Roman" w:hint="default"/>
        </w:rPr>
        <w:t>2)</w:t>
      </w:r>
      <w:r>
        <w:rPr/>
        <w:t>重要逾期利息</w:t>
      </w:r>
    </w:p>
    <w:p>
      <w:pPr>
        <w:spacing w:after="0" w:line="240" w:lineRule="auto"/>
        <w:jc w:val="left"/>
        <w:sectPr>
          <w:pgSz w:w="11910" w:h="16840"/>
          <w:pgMar w:header="0" w:footer="979" w:top="1100" w:bottom="1160" w:left="8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2）其他应收款" w:id="407"/>
      <w:bookmarkEnd w:id="407"/>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18"/>
                <w:szCs w:val="18"/>
              </w:rPr>
            </w:pPr>
            <w:r>
              <w:rPr>
                <w:rFonts w:ascii="Arial Narrow"/>
                <w:spacing w:val="-1"/>
                <w:sz w:val="18"/>
              </w:rPr>
              <w:t>480,460.5</w:t>
            </w:r>
          </w:p>
          <w:p>
            <w:pPr>
              <w:pStyle w:val="TableParagraph"/>
              <w:spacing w:line="240" w:lineRule="auto"/>
              <w:ind w:right="21"/>
              <w:jc w:val="right"/>
              <w:rPr>
                <w:rFonts w:ascii="Arial Narrow" w:hAnsi="Arial Narrow" w:cs="Arial Narrow" w:eastAsia="Arial Narrow" w:hint="default"/>
                <w:sz w:val="18"/>
                <w:szCs w:val="18"/>
              </w:rPr>
            </w:pPr>
            <w:r>
              <w:rPr>
                <w:rFonts w:ascii="Arial Narrow"/>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Narrow" w:hAnsi="Arial Narrow" w:cs="Arial Narrow" w:eastAsia="Arial Narrow" w:hint="default"/>
                <w:sz w:val="18"/>
                <w:szCs w:val="18"/>
              </w:rPr>
            </w:pPr>
            <w:r>
              <w:rPr>
                <w:rFonts w:ascii="Arial Narrow"/>
                <w:sz w:val="18"/>
              </w:rPr>
              <w:t>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Arial Narrow" w:hAnsi="Arial Narrow" w:cs="Arial Narrow" w:eastAsia="Arial Narrow" w:hint="default"/>
                <w:sz w:val="18"/>
                <w:szCs w:val="18"/>
              </w:rPr>
            </w:pPr>
            <w:r>
              <w:rPr>
                <w:rFonts w:ascii="Arial Narrow"/>
                <w:spacing w:val="-1"/>
                <w:sz w:val="18"/>
              </w:rPr>
              <w:t>191,079.6</w:t>
            </w:r>
          </w:p>
          <w:p>
            <w:pPr>
              <w:pStyle w:val="TableParagraph"/>
              <w:spacing w:line="240" w:lineRule="auto"/>
              <w:ind w:right="21"/>
              <w:jc w:val="right"/>
              <w:rPr>
                <w:rFonts w:ascii="Arial Narrow" w:hAnsi="Arial Narrow" w:cs="Arial Narrow" w:eastAsia="Arial Narrow" w:hint="default"/>
                <w:sz w:val="18"/>
                <w:szCs w:val="18"/>
              </w:rPr>
            </w:pPr>
            <w:r>
              <w:rPr>
                <w:rFonts w:ascii="Arial Narrow"/>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90" w:right="0"/>
              <w:jc w:val="left"/>
              <w:rPr>
                <w:rFonts w:ascii="Arial Narrow" w:hAnsi="Arial Narrow" w:cs="Arial Narrow" w:eastAsia="Arial Narrow" w:hint="default"/>
                <w:sz w:val="18"/>
                <w:szCs w:val="18"/>
              </w:rPr>
            </w:pPr>
            <w:r>
              <w:rPr>
                <w:rFonts w:ascii="Arial Narrow"/>
                <w:sz w:val="18"/>
              </w:rPr>
              <w:t>39.77</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18"/>
                <w:szCs w:val="18"/>
              </w:rPr>
            </w:pPr>
            <w:r>
              <w:rPr>
                <w:rFonts w:ascii="Arial Narrow"/>
                <w:spacing w:val="-1"/>
                <w:sz w:val="18"/>
              </w:rPr>
              <w:t>738,416.</w:t>
            </w: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w w:val="95"/>
                <w:sz w:val="18"/>
              </w:rPr>
              <w:t>35</w:t>
            </w:r>
            <w:r>
              <w:rPr>
                <w:rFonts w:ascii="Arial Narrow"/>
                <w:w w:val="95"/>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Narrow" w:hAnsi="Arial Narrow" w:cs="Arial Narrow" w:eastAsia="Arial Narrow" w:hint="default"/>
                <w:sz w:val="18"/>
                <w:szCs w:val="18"/>
              </w:rPr>
            </w:pPr>
            <w:r>
              <w:rPr>
                <w:rFonts w:ascii="Arial Narrow"/>
                <w:sz w:val="18"/>
              </w:rPr>
              <w:t>0.58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Arial Narrow" w:hAnsi="Arial Narrow" w:cs="Arial Narrow" w:eastAsia="Arial Narrow" w:hint="default"/>
                <w:sz w:val="18"/>
                <w:szCs w:val="18"/>
              </w:rPr>
            </w:pPr>
            <w:r>
              <w:rPr>
                <w:rFonts w:ascii="Arial Narrow"/>
                <w:spacing w:val="-1"/>
                <w:sz w:val="18"/>
              </w:rPr>
              <w:t>146,359.62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77" w:right="0"/>
              <w:jc w:val="left"/>
              <w:rPr>
                <w:rFonts w:ascii="Arial Narrow" w:hAnsi="Arial Narrow" w:cs="Arial Narrow" w:eastAsia="Arial Narrow" w:hint="default"/>
                <w:sz w:val="18"/>
                <w:szCs w:val="18"/>
              </w:rPr>
            </w:pPr>
            <w:r>
              <w:rPr>
                <w:rFonts w:ascii="Arial Narrow"/>
                <w:sz w:val="18"/>
              </w:rPr>
              <w:t>19.82</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left="61" w:right="0"/>
              <w:jc w:val="left"/>
              <w:rPr>
                <w:rFonts w:ascii="Arial Narrow" w:hAnsi="Arial Narrow" w:cs="Arial Narrow" w:eastAsia="Arial Narrow" w:hint="default"/>
                <w:sz w:val="18"/>
                <w:szCs w:val="18"/>
              </w:rPr>
            </w:pPr>
            <w:r>
              <w:rPr>
                <w:rFonts w:ascii="Arial Narrow"/>
                <w:sz w:val="18"/>
              </w:rPr>
              <w:t>101,183,7</w:t>
            </w:r>
          </w:p>
          <w:p>
            <w:pPr>
              <w:pStyle w:val="TableParagraph"/>
              <w:spacing w:line="240" w:lineRule="auto" w:before="1"/>
              <w:ind w:left="348" w:right="0"/>
              <w:jc w:val="left"/>
              <w:rPr>
                <w:rFonts w:ascii="Arial Narrow" w:hAnsi="Arial Narrow" w:cs="Arial Narrow" w:eastAsia="Arial Narrow" w:hint="default"/>
                <w:sz w:val="18"/>
                <w:szCs w:val="18"/>
              </w:rPr>
            </w:pPr>
            <w:r>
              <w:rPr>
                <w:rFonts w:ascii="Arial Narrow"/>
                <w:sz w:val="18"/>
              </w:rPr>
              <w:t>24.12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Narrow" w:hAnsi="Arial Narrow" w:cs="Arial Narrow" w:eastAsia="Arial Narrow" w:hint="default"/>
                <w:sz w:val="18"/>
                <w:szCs w:val="18"/>
              </w:rPr>
            </w:pPr>
            <w:r>
              <w:rPr>
                <w:rFonts w:ascii="Arial Narrow"/>
                <w:sz w:val="18"/>
              </w:rPr>
              <w:t>99.53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 w:right="0"/>
              <w:jc w:val="center"/>
              <w:rPr>
                <w:rFonts w:ascii="Arial Narrow" w:hAnsi="Arial Narrow" w:cs="Arial Narrow" w:eastAsia="Arial Narrow" w:hint="default"/>
                <w:sz w:val="18"/>
                <w:szCs w:val="18"/>
              </w:rPr>
            </w:pPr>
            <w:r>
              <w:rPr>
                <w:rFonts w:ascii="Arial Narrow"/>
                <w:sz w:val="18"/>
              </w:rPr>
              <w:t>127,247,</w:t>
            </w:r>
          </w:p>
          <w:p>
            <w:pPr>
              <w:pStyle w:val="TableParagraph"/>
              <w:spacing w:line="240" w:lineRule="auto" w:before="1"/>
              <w:ind w:left="144" w:right="0"/>
              <w:jc w:val="center"/>
              <w:rPr>
                <w:rFonts w:ascii="Arial Narrow" w:hAnsi="Arial Narrow" w:cs="Arial Narrow" w:eastAsia="Arial Narrow" w:hint="default"/>
                <w:sz w:val="18"/>
                <w:szCs w:val="18"/>
              </w:rPr>
            </w:pPr>
            <w:r>
              <w:rPr>
                <w:rFonts w:ascii="Arial Narrow"/>
                <w:sz w:val="18"/>
              </w:rPr>
              <w:t>558.62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Narrow" w:hAnsi="Arial Narrow" w:cs="Arial Narrow" w:eastAsia="Arial Narrow" w:hint="default"/>
                <w:sz w:val="18"/>
                <w:szCs w:val="18"/>
              </w:rPr>
            </w:pPr>
            <w:r>
              <w:rPr>
                <w:rFonts w:ascii="Arial Narrow"/>
                <w:sz w:val="18"/>
              </w:rPr>
              <w:t>99.42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left="61" w:right="0"/>
              <w:jc w:val="left"/>
              <w:rPr>
                <w:rFonts w:ascii="Arial Narrow" w:hAnsi="Arial Narrow" w:cs="Arial Narrow" w:eastAsia="Arial Narrow" w:hint="default"/>
                <w:sz w:val="18"/>
                <w:szCs w:val="18"/>
              </w:rPr>
            </w:pPr>
            <w:r>
              <w:rPr>
                <w:rFonts w:ascii="Arial Narrow"/>
                <w:sz w:val="18"/>
              </w:rPr>
              <w:t>101,664,1</w:t>
            </w:r>
          </w:p>
          <w:p>
            <w:pPr>
              <w:pStyle w:val="TableParagraph"/>
              <w:spacing w:line="240" w:lineRule="auto"/>
              <w:ind w:left="348" w:right="0"/>
              <w:jc w:val="left"/>
              <w:rPr>
                <w:rFonts w:ascii="Arial Narrow" w:hAnsi="Arial Narrow" w:cs="Arial Narrow" w:eastAsia="Arial Narrow" w:hint="default"/>
                <w:sz w:val="18"/>
                <w:szCs w:val="18"/>
              </w:rPr>
            </w:pPr>
            <w:r>
              <w:rPr>
                <w:rFonts w:ascii="Arial Narrow"/>
                <w:sz w:val="18"/>
              </w:rPr>
              <w:t>84.66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Arial Narrow" w:hAnsi="Arial Narrow" w:cs="Arial Narrow" w:eastAsia="Arial Narrow" w:hint="default"/>
                <w:sz w:val="18"/>
                <w:szCs w:val="18"/>
              </w:rPr>
            </w:pPr>
            <w:r>
              <w:rPr>
                <w:rFonts w:ascii="Arial Narrow"/>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Arial Narrow" w:hAnsi="Arial Narrow" w:cs="Arial Narrow" w:eastAsia="Arial Narrow" w:hint="default"/>
                <w:sz w:val="18"/>
                <w:szCs w:val="18"/>
              </w:rPr>
            </w:pPr>
            <w:r>
              <w:rPr>
                <w:rFonts w:ascii="Arial Narrow"/>
                <w:spacing w:val="-1"/>
                <w:sz w:val="18"/>
              </w:rPr>
              <w:t>191,079.6</w:t>
            </w:r>
          </w:p>
          <w:p>
            <w:pPr>
              <w:pStyle w:val="TableParagraph"/>
              <w:spacing w:line="240" w:lineRule="auto"/>
              <w:ind w:right="21"/>
              <w:jc w:val="right"/>
              <w:rPr>
                <w:rFonts w:ascii="Arial Narrow" w:hAnsi="Arial Narrow" w:cs="Arial Narrow" w:eastAsia="Arial Narrow" w:hint="default"/>
                <w:sz w:val="18"/>
                <w:szCs w:val="18"/>
              </w:rPr>
            </w:pPr>
            <w:r>
              <w:rPr>
                <w:rFonts w:ascii="Arial Narrow"/>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2" w:right="0"/>
              <w:jc w:val="left"/>
              <w:rPr>
                <w:rFonts w:ascii="Arial Narrow" w:hAnsi="Arial Narrow" w:cs="Arial Narrow" w:eastAsia="Arial Narrow" w:hint="default"/>
                <w:sz w:val="18"/>
                <w:szCs w:val="18"/>
              </w:rPr>
            </w:pPr>
            <w:r>
              <w:rPr>
                <w:rFonts w:ascii="Arial Narrow"/>
                <w:sz w:val="18"/>
              </w:rPr>
              <w:t>0.19</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0" w:right="0"/>
              <w:jc w:val="center"/>
              <w:rPr>
                <w:rFonts w:ascii="Arial Narrow" w:hAnsi="Arial Narrow" w:cs="Arial Narrow" w:eastAsia="Arial Narrow" w:hint="default"/>
                <w:sz w:val="18"/>
                <w:szCs w:val="18"/>
              </w:rPr>
            </w:pPr>
            <w:r>
              <w:rPr>
                <w:rFonts w:ascii="Arial Narrow"/>
                <w:sz w:val="18"/>
              </w:rPr>
              <w:t>127,985,</w:t>
            </w:r>
          </w:p>
          <w:p>
            <w:pPr>
              <w:pStyle w:val="TableParagraph"/>
              <w:spacing w:line="240" w:lineRule="auto"/>
              <w:ind w:left="144" w:right="0"/>
              <w:jc w:val="center"/>
              <w:rPr>
                <w:rFonts w:ascii="Arial Narrow" w:hAnsi="Arial Narrow" w:cs="Arial Narrow" w:eastAsia="Arial Narrow" w:hint="default"/>
                <w:sz w:val="18"/>
                <w:szCs w:val="18"/>
              </w:rPr>
            </w:pPr>
            <w:r>
              <w:rPr>
                <w:rFonts w:ascii="Arial Narrow"/>
                <w:sz w:val="18"/>
              </w:rPr>
              <w:t>974.97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Arial Narrow" w:hAnsi="Arial Narrow" w:cs="Arial Narrow" w:eastAsia="Arial Narrow" w:hint="default"/>
                <w:sz w:val="18"/>
                <w:szCs w:val="18"/>
              </w:rPr>
            </w:pPr>
            <w:r>
              <w:rPr>
                <w:rFonts w:ascii="Arial Narrow"/>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Arial Narrow" w:hAnsi="Arial Narrow" w:cs="Arial Narrow" w:eastAsia="Arial Narrow" w:hint="default"/>
                <w:sz w:val="18"/>
                <w:szCs w:val="18"/>
              </w:rPr>
            </w:pPr>
            <w:r>
              <w:rPr>
                <w:rFonts w:ascii="Arial Narrow"/>
                <w:spacing w:val="-1"/>
                <w:sz w:val="18"/>
              </w:rPr>
              <w:t>146,359.62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7" w:right="0"/>
              <w:jc w:val="left"/>
              <w:rPr>
                <w:rFonts w:ascii="Arial Narrow" w:hAnsi="Arial Narrow" w:cs="Arial Narrow" w:eastAsia="Arial Narrow" w:hint="default"/>
                <w:sz w:val="18"/>
                <w:szCs w:val="18"/>
              </w:rPr>
            </w:pPr>
            <w:r>
              <w:rPr>
                <w:rFonts w:ascii="Arial Narrow"/>
                <w:sz w:val="18"/>
              </w:rPr>
              <w:t>0.11</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101,664,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184.66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191,079.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101,473,1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05.06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127,985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,974.97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146,359.6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127,839,61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5.35</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101,664,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184.66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191,079.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101,473,1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05.06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127,985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,974.97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146,359.6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127,839,61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5.35</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140,286.08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2,805.72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250,286.08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8,305.72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176,173.81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176,173.81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480,460.54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191,079.60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pStyle w:val="BodyText"/>
        <w:spacing w:line="360" w:lineRule="auto" w:before="51"/>
        <w:ind w:right="699"/>
        <w:jc w:val="left"/>
      </w:pPr>
      <w:r>
        <w:rPr/>
        <w:t>确定该组合依据的说明： 组合中，采用余额百分比法计提坏账准备的其他应收款：</w:t>
      </w:r>
    </w:p>
    <w:p>
      <w:pPr>
        <w:pStyle w:val="BodyText"/>
        <w:spacing w:line="340" w:lineRule="auto" w:before="26"/>
        <w:ind w:right="10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
        <w:jc w:val="left"/>
      </w:pPr>
      <w:r>
        <w:rPr/>
        <w:t>本期计提坏账准备金额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其他应收款核销说明：</w:t>
      </w:r>
    </w:p>
    <w:p>
      <w:pPr>
        <w:pStyle w:val="BodyText"/>
        <w:spacing w:line="240" w:lineRule="auto" w:before="42"/>
        <w:ind w:right="-17"/>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700" w:left="980" w:right="0"/>
          <w:cols w:num="2" w:equalWidth="0">
            <w:col w:w="5374" w:space="345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199,566.90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101,636,384.66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127,786,408.07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101,664,184.66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127,985,974.97</w:t>
            </w:r>
          </w:p>
        </w:tc>
      </w:tr>
    </w:tbl>
    <w:p>
      <w:pPr>
        <w:pStyle w:val="BodyText"/>
        <w:spacing w:line="240" w:lineRule="auto" w:before="51"/>
        <w:ind w:right="817"/>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北京至美数码防伪印 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65,172,156.02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64.21%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北京安妮全版权科技 发展有限公司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14,156,189.70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上海超级标贴系统有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10,331,275.70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深圳市微梦想网络技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北京版全家科技发展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97,409,621.42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95.82%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3、长期股权投资" w:id="408"/>
      <w:bookmarkEnd w:id="40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70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1,746,268,976.09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388,220,861.74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1,358,048,114.35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1,634,412,790.75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388,220,861.74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1,246,191,929.01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31,971,496.43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31,971,496.43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1,778,240,472.52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388,220,861.74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1,390,019,610.78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1,634,412,790.75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388,220,861.74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1,246,191,929.01</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1）对子公司投资" w:id="409"/>
      <w:bookmarkEnd w:id="40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安妮企业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100,915,655.08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326,592.00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101,242,247.08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北京联移</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香港安妮</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29,417,213.33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217,728.00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29,634,941.33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泉州安妮</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北京至美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微梦想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117,393,333.34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117,882,433.34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85,244,292.85</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畅元国讯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302,976,568.89</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恒千物业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38,591,836.44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38,591,836.44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101,551,488.89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100,947,765.34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202,499,254.23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厦门千实</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5,823,263.67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5,823,263.67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淘智惠</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1,634,412,790.75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112,356,185.34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1,746,268,976.09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388,220,861.74</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2）对联营、合营企业投资" w:id="410"/>
      <w:bookmarkEnd w:id="41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计易数据 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 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31,950,00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4" w:right="0"/>
              <w:jc w:val="left"/>
              <w:rPr>
                <w:rFonts w:ascii="Times New Roman" w:hAnsi="Times New Roman" w:cs="Times New Roman" w:eastAsia="Times New Roman" w:hint="default"/>
                <w:sz w:val="18"/>
                <w:szCs w:val="18"/>
              </w:rPr>
            </w:pPr>
            <w:r>
              <w:rPr>
                <w:rFonts w:ascii="Times New Roman"/>
                <w:sz w:val="18"/>
              </w:rPr>
              <w:t>21,496.43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31,971,49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31,950,00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21,496.43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31,971,49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31,950,00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21,496.43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31,971,49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3）其他说明" w:id="411"/>
      <w:bookmarkEnd w:id="41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4、营业收入和营业成本" w:id="412"/>
      <w:bookmarkEnd w:id="41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49,215,337.77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43,760,557.46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52,447,825.23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50,689,927.56</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8,283,628.66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3,123,038.17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15,486,705.41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3,319,520.57</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57,498,966.43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46,883,595.63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67,934,530.64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54,009,448.13</w:t>
            </w:r>
          </w:p>
        </w:tc>
      </w:tr>
    </w:tbl>
    <w:p>
      <w:pPr>
        <w:pStyle w:val="BodyText"/>
        <w:spacing w:line="240" w:lineRule="auto" w:before="51"/>
        <w:ind w:right="817"/>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817"/>
        <w:jc w:val="left"/>
        <w:rPr>
          <w:b w:val="0"/>
          <w:bCs w:val="0"/>
        </w:rPr>
      </w:pPr>
      <w:bookmarkStart w:name="5、投资收益" w:id="413"/>
      <w:bookmarkEnd w:id="41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32,991,864.30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21,496.43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15,951,068.19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6,977,310.83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536,163.52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852,933.58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15,797,843.83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14,215,662.95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65,298,436.27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22,045,907.36</w:t>
            </w:r>
          </w:p>
        </w:tc>
      </w:tr>
    </w:tbl>
    <w:p>
      <w:pPr>
        <w:spacing w:line="240" w:lineRule="auto" w:before="2"/>
        <w:rPr>
          <w:rFonts w:ascii="宋体" w:hAnsi="宋体" w:cs="宋体" w:eastAsia="宋体" w:hint="default"/>
          <w:sz w:val="19"/>
          <w:szCs w:val="19"/>
        </w:rPr>
      </w:pPr>
    </w:p>
    <w:p>
      <w:pPr>
        <w:pStyle w:val="Heading4"/>
        <w:spacing w:line="240" w:lineRule="auto" w:before="35"/>
        <w:ind w:right="817"/>
        <w:jc w:val="left"/>
        <w:rPr>
          <w:b w:val="0"/>
          <w:bCs w:val="0"/>
        </w:rPr>
      </w:pPr>
      <w:bookmarkStart w:name="6、其他" w:id="414"/>
      <w:bookmarkEnd w:id="414"/>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817"/>
        <w:jc w:val="left"/>
        <w:rPr>
          <w:b w:val="0"/>
          <w:bCs w:val="0"/>
        </w:rPr>
      </w:pPr>
      <w:bookmarkStart w:name="十八、补充资料" w:id="415"/>
      <w:bookmarkEnd w:id="415"/>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当期非经常性损益明细表" w:id="416"/>
      <w:bookmarkEnd w:id="41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58,335.34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213,791.88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34,154,340.86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28,074,863.78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540,862.23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61,960,293.23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7"/>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2、净资产收益率及每股收益" w:id="417"/>
      <w:bookmarkEnd w:id="41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7"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0.1211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0.0218</w:t>
            </w:r>
          </w:p>
        </w:tc>
      </w:tr>
    </w:tbl>
    <w:p>
      <w:pPr>
        <w:spacing w:line="240" w:lineRule="auto" w:before="2"/>
        <w:rPr>
          <w:rFonts w:ascii="宋体" w:hAnsi="宋体" w:cs="宋体" w:eastAsia="宋体" w:hint="default"/>
          <w:b/>
          <w:bCs/>
          <w:sz w:val="19"/>
          <w:szCs w:val="19"/>
        </w:rPr>
      </w:pPr>
    </w:p>
    <w:p>
      <w:pPr>
        <w:pStyle w:val="Heading4"/>
        <w:spacing w:line="240" w:lineRule="auto" w:before="35"/>
        <w:ind w:right="817"/>
        <w:jc w:val="left"/>
        <w:rPr>
          <w:b w:val="0"/>
          <w:bCs w:val="0"/>
        </w:rPr>
      </w:pPr>
      <w:bookmarkStart w:name="3、境内外会计准则下会计数据差异" w:id="418"/>
      <w:bookmarkEnd w:id="41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1）同时按照国际会计准则与按中国会计准则披露的财务报告中净利润和净资产差异情况" w:id="419"/>
      <w:bookmarkEnd w:id="41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817"/>
        <w:jc w:val="left"/>
        <w:rPr>
          <w:b w:val="0"/>
          <w:bCs w:val="0"/>
        </w:rPr>
      </w:pPr>
      <w:bookmarkStart w:name="（2）同时按照境外会计准则与按中国会计准则披露的财务报告中净利润和净资产差异情况" w:id="420"/>
      <w:bookmarkEnd w:id="42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817"/>
        <w:jc w:val="left"/>
        <w:rPr>
          <w:b w:val="0"/>
          <w:bCs w:val="0"/>
        </w:rPr>
      </w:pPr>
      <w:bookmarkStart w:name="（3）境内外会计准则下会计数据差异原因说明，对已经境外审计机构审计的数据进行差异" w:id="421"/>
      <w:bookmarkEnd w:id="42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17"/>
        <w:jc w:val="left"/>
        <w:rPr>
          <w:b w:val="0"/>
          <w:bCs w:val="0"/>
        </w:rPr>
      </w:pPr>
      <w:bookmarkStart w:name="4、其他" w:id="422"/>
      <w:bookmarkEnd w:id="42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817"/>
        <w:jc w:val="left"/>
        <w:rPr>
          <w:b w:val="0"/>
          <w:bCs w:val="0"/>
        </w:rPr>
      </w:pPr>
      <w:bookmarkStart w:name="_TOC_250000" w:id="423"/>
      <w:bookmarkStart w:name="第十二节 备查文件目录" w:id="424"/>
      <w:r>
        <w:rPr>
          <w:b w:val="0"/>
          <w:bCs w:val="0"/>
        </w:rPr>
      </w:r>
      <w:r>
        <w:rPr/>
        <w:t>第十二节</w:t>
      </w:r>
      <w:r>
        <w:rPr>
          <w:spacing w:val="-8"/>
        </w:rPr>
        <w:t> </w:t>
      </w:r>
      <w:r>
        <w:rPr/>
        <w:t>备查文件目录</w:t>
      </w:r>
      <w:bookmarkEnd w:id="423"/>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2472"/>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2"/>
        <w:spacing w:line="477" w:lineRule="auto"/>
        <w:ind w:left="6882" w:right="817" w:hanging="119"/>
        <w:jc w:val="left"/>
        <w:rPr>
          <w:b w:val="0"/>
          <w:bCs w:val="0"/>
        </w:rPr>
      </w:pPr>
      <w:r>
        <w:rPr>
          <w:w w:val="95"/>
        </w:rPr>
        <w:t>厦门安妮股份有限公司</w:t>
      </w:r>
      <w:r>
        <w:rPr>
          <w:spacing w:val="-4"/>
          <w:w w:val="95"/>
        </w:rPr>
        <w:t> </w:t>
      </w:r>
      <w:r>
        <w:rPr/>
        <w:t>法定代表人：张杰</w:t>
      </w:r>
      <w:r>
        <w:rPr>
          <w:b w:val="0"/>
          <w:bCs w:val="0"/>
        </w:rPr>
      </w:r>
    </w:p>
    <w:p>
      <w:pPr>
        <w:pStyle w:val="Heading2"/>
        <w:spacing w:line="240" w:lineRule="auto" w:before="72"/>
        <w:ind w:left="6660" w:right="817"/>
        <w:jc w:val="left"/>
        <w:rPr>
          <w:b w:val="0"/>
          <w:bCs w:val="0"/>
        </w:rPr>
      </w:pPr>
      <w:r>
        <w:rPr/>
        <w:t>二〇一九年四月二十九日</w:t>
      </w:r>
      <w:r>
        <w:rPr>
          <w:b w:val="0"/>
          <w:bCs w:val="0"/>
        </w:rPr>
      </w:r>
    </w:p>
    <w:sectPr>
      <w:pgSz w:w="11910" w:h="16840"/>
      <w:pgMar w:header="0"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874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98096" type="#_x0000_t75" stroked="false">
          <v:imagedata r:id="rId1" o:title=""/>
        </v:shape>
      </w:pict>
    </w:r>
    <w:r>
      <w:rPr/>
      <w:pict>
        <v:shape style="position:absolute;margin-left:755.47998pt;margin-top:535.357971pt;width:15.5pt;height:11pt;mso-position-horizontal-relative:page;mso-position-vertical-relative:page;z-index:-8980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8000" type="#_x0000_t75" stroked="false">
          <v:imagedata r:id="rId1" o:title=""/>
        </v:shape>
      </w:pict>
    </w:r>
    <w:r>
      <w:rPr/>
      <w:pict>
        <v:shape style="position:absolute;margin-left:523.179993pt;margin-top:781.957947pt;width:17.5pt;height:11pt;mso-position-horizontal-relative:page;mso-position-vertical-relative:page;z-index:-897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7952" type="#_x0000_t75" stroked="false">
          <v:imagedata r:id="rId1" o:title=""/>
        </v:shape>
      </w:pict>
    </w:r>
    <w:r>
      <w:rPr/>
      <w:pict>
        <v:shape style="position:absolute;margin-left:523.179993pt;margin-top:781.957947pt;width:17.5pt;height:11pt;mso-position-horizontal-relative:page;mso-position-vertical-relative:page;z-index:-897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8720" type="#_x0000_t75" stroked="false">
          <v:imagedata r:id="rId1" o:title=""/>
        </v:shape>
      </w:pict>
    </w:r>
    <w:r>
      <w:rPr/>
      <w:pict>
        <v:shape style="position:absolute;margin-left:527.679993pt;margin-top:781.957947pt;width:13pt;height:11pt;mso-position-horizontal-relative:page;mso-position-vertical-relative:page;z-index:-898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98648" type="#_x0000_t75" stroked="false">
          <v:imagedata r:id="rId1" o:title=""/>
        </v:shape>
      </w:pict>
    </w:r>
    <w:r>
      <w:rPr/>
      <w:pict>
        <v:shape style="position:absolute;margin-left:758.97998pt;margin-top:535.357971pt;width:13pt;height:11pt;mso-position-horizontal-relative:page;mso-position-vertical-relative:page;z-index:-898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8552" type="#_x0000_t75" stroked="false">
          <v:imagedata r:id="rId1" o:title=""/>
        </v:shape>
      </w:pict>
    </w:r>
    <w:r>
      <w:rPr/>
      <w:pict>
        <v:shape style="position:absolute;margin-left:527.679993pt;margin-top:781.957947pt;width:13pt;height:11pt;mso-position-horizontal-relative:page;mso-position-vertical-relative:page;z-index:-898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98480" type="#_x0000_t75" stroked="false">
          <v:imagedata r:id="rId1" o:title=""/>
        </v:shape>
      </w:pict>
    </w:r>
    <w:r>
      <w:rPr/>
      <w:pict>
        <v:shape style="position:absolute;margin-left:758.97998pt;margin-top:535.357971pt;width:13pt;height:11pt;mso-position-horizontal-relative:page;mso-position-vertical-relative:page;z-index:-898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8384" type="#_x0000_t75" stroked="false">
          <v:imagedata r:id="rId1" o:title=""/>
        </v:shape>
      </w:pict>
    </w:r>
    <w:r>
      <w:rPr/>
      <w:pict>
        <v:shape style="position:absolute;margin-left:527.679993pt;margin-top:781.957947pt;width:13pt;height:11pt;mso-position-horizontal-relative:page;mso-position-vertical-relative:page;z-index:-898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98312" type="#_x0000_t75" stroked="false">
          <v:imagedata r:id="rId1" o:title=""/>
        </v:shape>
      </w:pict>
    </w:r>
    <w:r>
      <w:rPr/>
      <w:pict>
        <v:shape style="position:absolute;margin-left:758.97998pt;margin-top:535.357971pt;width:13pt;height:11pt;mso-position-horizontal-relative:page;mso-position-vertical-relative:page;z-index:-898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8216" type="#_x0000_t75" stroked="false">
          <v:imagedata r:id="rId1" o:title=""/>
        </v:shape>
      </w:pict>
    </w:r>
    <w:r>
      <w:rPr/>
      <w:pict>
        <v:shape style="position:absolute;margin-left:527.679993pt;margin-top:781.957947pt;width:13pt;height:11pt;mso-position-horizontal-relative:page;mso-position-vertical-relative:page;z-index:-898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98144" type="#_x0000_t75" stroked="false">
          <v:imagedata r:id="rId1" o:title=""/>
        </v:shape>
      </w:pict>
    </w:r>
    <w:r>
      <w:rPr/>
      <w:pict>
        <v:shape style="position:absolute;margin-left:758.97998pt;margin-top:535.357971pt;width:13pt;height:11pt;mso-position-horizontal-relative:page;mso-position-vertical-relative:page;z-index:-898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898768"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898672"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9860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898576"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898504"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9843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898408"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898336"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982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898240"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898168"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9804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898024" type="#_x0000_t202" filled="false" stroked="false">
          <v:textbox inset="0,0,0,0">
            <w:txbxContent>
              <w:p>
                <w:pPr>
                  <w:pStyle w:val="BodyText"/>
                  <w:spacing w:line="214" w:lineRule="exact"/>
                  <w:ind w:left="20" w:right="0"/>
                  <w:jc w:val="left"/>
                </w:pPr>
                <w:r>
                  <w:rPr/>
                  <w:t>厦门安妮股份有限公司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4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574"/>
      <w:outlineLvl w:val="3"/>
    </w:pPr>
    <w:rPr>
      <w:rFonts w:ascii="黑体" w:hAnsi="黑体" w:eastAsia="黑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28"/>
      <w:ind w:left="154"/>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anne.com.cn/" TargetMode="External"/><Relationship Id="rId10" Type="http://schemas.openxmlformats.org/officeDocument/2006/relationships/hyperlink" Target="mailto:anne@anne.com.cn" TargetMode="External"/><Relationship Id="rId11" Type="http://schemas.openxmlformats.org/officeDocument/2006/relationships/hyperlink" Target="mailto:chenwenjian@anne.com.cn" TargetMode="External"/><Relationship Id="rId12" Type="http://schemas.openxmlformats.org/officeDocument/2006/relationships/hyperlink" Target="mailto:xierong@anne.com.cn"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header" Target="header5.xml"/><Relationship Id="rId23" Type="http://schemas.openxmlformats.org/officeDocument/2006/relationships/footer" Target="footer6.xml"/><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header" Target="header7.xml"/><Relationship Id="rId27" Type="http://schemas.openxmlformats.org/officeDocument/2006/relationships/footer" Target="footer8.xml"/><Relationship Id="rId28" Type="http://schemas.openxmlformats.org/officeDocument/2006/relationships/image" Target="media/image5.png"/><Relationship Id="rId29" Type="http://schemas.openxmlformats.org/officeDocument/2006/relationships/header" Target="header8.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9.xml"/><Relationship Id="rId33" Type="http://schemas.openxmlformats.org/officeDocument/2006/relationships/footer" Target="footer11.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image" Target="media/image1.jpeg"/><Relationship Id="rId37"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厦门安妮股份有限公司</dc:creator>
  <dc:title>厦门安妮股份有限公司2018年年度报告全文</dc:title>
  <dcterms:created xsi:type="dcterms:W3CDTF">2020-05-05T06:11:40Z</dcterms:created>
  <dcterms:modified xsi:type="dcterms:W3CDTF">2020-05-05T06:11:40Z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Creator">
    <vt:lpwstr>Microsoft® Office Word 2007</vt:lpwstr>
  </property>
  <property fmtid="{D5CDD505-2E9C-101B-9397-08002B2CF9AE}" pid="4" name="LastSaved">
    <vt:filetime>2020-05-04T00:00:00Z</vt:filetime>
  </property>
</Properties>
</file>