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80013pt;width:484.95pt;height:.1pt;mso-position-horizontal-relative:page;mso-position-vertical-relative:page;z-index:0" coordorigin="1104,982" coordsize="9699,2">
            <v:shape style="position:absolute;left:1104;top:982;width:9699;height:2" coordorigin="1104,982" coordsize="9699,0" path="m1104,982l10802,982e" filled="false" stroked="true" strokeweight=".71997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p>
      <w:pPr>
        <w:spacing w:line="1587" w:lineRule="exact"/>
        <w:ind w:left="99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1"/>
          <w:sz w:val="20"/>
          <w:szCs w:val="20"/>
        </w:rPr>
        <w:drawing>
          <wp:inline distT="0" distB="0" distL="0" distR="0">
            <wp:extent cx="5075102" cy="1008126"/>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5075102" cy="1008126"/>
                    </a:xfrm>
                    <a:prstGeom prst="rect">
                      <a:avLst/>
                    </a:prstGeom>
                  </pic:spPr>
                </pic:pic>
              </a:graphicData>
            </a:graphic>
          </wp:inline>
        </w:drawing>
      </w:r>
      <w:r>
        <w:rPr>
          <w:rFonts w:ascii="Times New Roman" w:hAnsi="Times New Roman" w:cs="Times New Roman" w:eastAsia="Times New Roman" w:hint="default"/>
          <w:position w:val="-31"/>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1"/>
          <w:szCs w:val="21"/>
        </w:rPr>
      </w:pPr>
    </w:p>
    <w:p>
      <w:pPr>
        <w:spacing w:line="540" w:lineRule="exact" w:before="0"/>
        <w:ind w:left="2856" w:right="3610" w:firstLine="0"/>
        <w:jc w:val="center"/>
        <w:rPr>
          <w:rFonts w:ascii="宋体" w:hAnsi="宋体" w:cs="宋体" w:eastAsia="宋体" w:hint="default"/>
          <w:sz w:val="44"/>
          <w:szCs w:val="44"/>
        </w:rPr>
      </w:pPr>
      <w:r>
        <w:rPr>
          <w:rFonts w:ascii="宋体" w:hAnsi="宋体" w:cs="宋体" w:eastAsia="宋体" w:hint="default"/>
          <w:b/>
          <w:bCs/>
          <w:sz w:val="44"/>
          <w:szCs w:val="44"/>
        </w:rPr>
        <w:t>厦门安妮股份有限公司 </w:t>
      </w:r>
      <w:r>
        <w:rPr>
          <w:rFonts w:ascii="宋体" w:hAnsi="宋体" w:cs="宋体" w:eastAsia="宋体" w:hint="default"/>
          <w:sz w:val="44"/>
          <w:szCs w:val="44"/>
        </w:rPr>
      </w:r>
    </w:p>
    <w:p>
      <w:pPr>
        <w:spacing w:before="394"/>
        <w:ind w:left="2855" w:right="3610" w:firstLine="0"/>
        <w:jc w:val="center"/>
        <w:rPr>
          <w:rFonts w:ascii="宋体" w:hAnsi="宋体" w:cs="宋体" w:eastAsia="宋体" w:hint="default"/>
          <w:sz w:val="44"/>
          <w:szCs w:val="44"/>
        </w:rPr>
      </w:pPr>
      <w:r>
        <w:rPr>
          <w:rFonts w:ascii="宋体" w:hAnsi="宋体" w:cs="宋体" w:eastAsia="宋体" w:hint="default"/>
          <w:b/>
          <w:bCs/>
          <w:sz w:val="44"/>
          <w:szCs w:val="44"/>
        </w:rPr>
        <w:t>2019</w:t>
      </w:r>
      <w:r>
        <w:rPr>
          <w:rFonts w:ascii="宋体" w:hAnsi="宋体" w:cs="宋体" w:eastAsia="宋体" w:hint="default"/>
          <w:b/>
          <w:bCs/>
          <w:spacing w:val="-117"/>
          <w:sz w:val="44"/>
          <w:szCs w:val="44"/>
        </w:rPr>
        <w:t> </w:t>
      </w:r>
      <w:r>
        <w:rPr>
          <w:rFonts w:ascii="宋体" w:hAnsi="宋体" w:cs="宋体" w:eastAsia="宋体" w:hint="default"/>
          <w:b/>
          <w:bCs/>
          <w:sz w:val="44"/>
          <w:szCs w:val="44"/>
        </w:rPr>
        <w:t>年年度报告 </w:t>
      </w:r>
      <w:r>
        <w:rPr>
          <w:rFonts w:ascii="宋体" w:hAnsi="宋体" w:cs="宋体" w:eastAsia="宋体" w:hint="default"/>
          <w:sz w:val="44"/>
          <w:szCs w:val="44"/>
        </w:rPr>
      </w: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2"/>
        <w:rPr>
          <w:rFonts w:ascii="宋体" w:hAnsi="宋体" w:cs="宋体" w:eastAsia="宋体" w:hint="default"/>
          <w:b/>
          <w:bCs/>
          <w:sz w:val="61"/>
          <w:szCs w:val="61"/>
        </w:rPr>
      </w:pPr>
    </w:p>
    <w:p>
      <w:pPr>
        <w:spacing w:before="0"/>
        <w:ind w:left="2634" w:right="3610"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2020</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3"/>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982" w:top="1060" w:bottom="1180" w:left="980" w:right="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003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85" w:right="0"/>
        <w:jc w:val="left"/>
        <w:rPr>
          <w:b w:val="0"/>
          <w:bCs w:val="0"/>
        </w:rPr>
      </w:pPr>
      <w:bookmarkStart w:name="_TOC_250012" w:id="1"/>
      <w:r>
        <w:rPr/>
        <w:t>第一节重要提示、目录和释义</w:t>
      </w:r>
      <w:bookmarkEnd w:id="1"/>
      <w:r>
        <w:rPr>
          <w:b w:val="0"/>
          <w:bCs w:val="0"/>
        </w:rPr>
      </w:r>
    </w:p>
    <w:p>
      <w:pPr>
        <w:spacing w:line="240" w:lineRule="auto" w:before="0"/>
        <w:rPr>
          <w:rFonts w:ascii="宋体" w:hAnsi="宋体" w:cs="宋体" w:eastAsia="宋体" w:hint="default"/>
          <w:b/>
          <w:bCs/>
          <w:sz w:val="32"/>
          <w:szCs w:val="32"/>
        </w:rPr>
      </w:pPr>
    </w:p>
    <w:p>
      <w:pPr>
        <w:spacing w:line="408" w:lineRule="auto" w:before="211"/>
        <w:ind w:left="153" w:right="1127" w:firstLine="561"/>
        <w:jc w:val="both"/>
        <w:rPr>
          <w:rFonts w:ascii="宋体" w:hAnsi="宋体" w:cs="宋体" w:eastAsia="宋体" w:hint="default"/>
          <w:sz w:val="28"/>
          <w:szCs w:val="28"/>
        </w:rPr>
      </w:pPr>
      <w:r>
        <w:rPr>
          <w:rFonts w:ascii="宋体" w:hAnsi="宋体" w:cs="宋体" w:eastAsia="宋体" w:hint="default"/>
          <w:b/>
          <w:bCs/>
          <w:spacing w:val="4"/>
          <w:w w:val="95"/>
          <w:sz w:val="28"/>
          <w:szCs w:val="28"/>
        </w:rPr>
        <w:t>一、公司董事会、监事会及董事、监事、高级管理人员保证年度报告内容</w:t>
      </w:r>
      <w:r>
        <w:rPr>
          <w:rFonts w:ascii="宋体" w:hAnsi="宋体" w:cs="宋体" w:eastAsia="宋体" w:hint="default"/>
          <w:b/>
          <w:bCs/>
          <w:spacing w:val="4"/>
          <w:w w:val="99"/>
          <w:sz w:val="28"/>
          <w:szCs w:val="28"/>
        </w:rPr>
        <w:t> </w:t>
      </w:r>
      <w:r>
        <w:rPr>
          <w:rFonts w:ascii="宋体" w:hAnsi="宋体" w:cs="宋体" w:eastAsia="宋体" w:hint="default"/>
          <w:b/>
          <w:bCs/>
          <w:spacing w:val="3"/>
          <w:w w:val="95"/>
          <w:sz w:val="28"/>
          <w:szCs w:val="28"/>
        </w:rPr>
        <w:t>的真实、准确、完整，不存在虚假记载、误导性陈述或重大遗漏，并承担个别</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z w:val="28"/>
          <w:szCs w:val="28"/>
        </w:rPr>
        <w:t>和连带的法律责任。</w:t>
      </w:r>
      <w:r>
        <w:rPr>
          <w:rFonts w:ascii="宋体" w:hAnsi="宋体" w:cs="宋体" w:eastAsia="宋体" w:hint="default"/>
          <w:sz w:val="28"/>
          <w:szCs w:val="28"/>
        </w:rPr>
      </w:r>
    </w:p>
    <w:p>
      <w:pPr>
        <w:spacing w:line="386" w:lineRule="auto" w:before="161"/>
        <w:ind w:left="153" w:right="1131" w:firstLine="561"/>
        <w:jc w:val="both"/>
        <w:rPr>
          <w:rFonts w:ascii="宋体" w:hAnsi="宋体" w:cs="宋体" w:eastAsia="宋体" w:hint="default"/>
          <w:sz w:val="28"/>
          <w:szCs w:val="28"/>
        </w:rPr>
      </w:pPr>
      <w:r>
        <w:rPr>
          <w:rFonts w:ascii="宋体" w:hAnsi="宋体" w:cs="宋体" w:eastAsia="宋体" w:hint="default"/>
          <w:b/>
          <w:bCs/>
          <w:w w:val="95"/>
          <w:sz w:val="28"/>
          <w:szCs w:val="28"/>
        </w:rPr>
        <w:t>公司负责人张杰、主管会计工作负责人张杰及会计机构负责人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会计主管人</w:t>
      </w:r>
      <w:r>
        <w:rPr>
          <w:rFonts w:ascii="宋体" w:hAnsi="宋体" w:cs="宋体" w:eastAsia="宋体" w:hint="default"/>
          <w:b/>
          <w:bCs/>
          <w:spacing w:val="1"/>
          <w:w w:val="99"/>
          <w:sz w:val="28"/>
          <w:szCs w:val="28"/>
        </w:rPr>
        <w:t> </w:t>
      </w:r>
      <w:r>
        <w:rPr>
          <w:rFonts w:ascii="宋体" w:hAnsi="宋体" w:cs="宋体" w:eastAsia="宋体" w:hint="default"/>
          <w:b/>
          <w:bCs/>
          <w:sz w:val="28"/>
          <w:szCs w:val="28"/>
        </w:rPr>
        <w:t>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许志强声明：保证年度报告中财务报告的真实、准确、完整。</w:t>
      </w:r>
      <w:r>
        <w:rPr>
          <w:rFonts w:ascii="宋体" w:hAnsi="宋体" w:cs="宋体" w:eastAsia="宋体" w:hint="default"/>
          <w:sz w:val="28"/>
          <w:szCs w:val="28"/>
        </w:rPr>
      </w:r>
    </w:p>
    <w:p>
      <w:pPr>
        <w:spacing w:line="472" w:lineRule="auto" w:before="147"/>
        <w:ind w:left="715" w:right="0" w:firstLine="0"/>
        <w:jc w:val="left"/>
        <w:rPr>
          <w:rFonts w:ascii="宋体" w:hAnsi="宋体" w:cs="宋体" w:eastAsia="宋体" w:hint="default"/>
          <w:sz w:val="28"/>
          <w:szCs w:val="28"/>
        </w:rPr>
      </w:pPr>
      <w:r>
        <w:rPr>
          <w:rFonts w:ascii="宋体" w:hAnsi="宋体" w:cs="宋体" w:eastAsia="宋体" w:hint="default"/>
          <w:b/>
          <w:bCs/>
          <w:sz w:val="28"/>
          <w:szCs w:val="28"/>
        </w:rPr>
        <w:t>二、所有董事均已出席了审议本报告的董事会会议。</w:t>
      </w:r>
      <w:r>
        <w:rPr>
          <w:rFonts w:ascii="宋体" w:hAnsi="宋体" w:cs="宋体" w:eastAsia="宋体" w:hint="default"/>
          <w:b/>
          <w:bCs/>
          <w:spacing w:val="1"/>
          <w:w w:val="99"/>
          <w:sz w:val="28"/>
          <w:szCs w:val="28"/>
        </w:rPr>
        <w:t> </w:t>
      </w:r>
      <w:r>
        <w:rPr>
          <w:rFonts w:ascii="宋体" w:hAnsi="宋体" w:cs="宋体" w:eastAsia="宋体" w:hint="default"/>
          <w:b/>
          <w:bCs/>
          <w:spacing w:val="4"/>
          <w:w w:val="95"/>
          <w:sz w:val="28"/>
          <w:szCs w:val="28"/>
        </w:rPr>
        <w:t>三、本报告中如涉及未来计划等前瞻性描述，不构成公司对投资者的实质</w:t>
      </w:r>
      <w:r>
        <w:rPr>
          <w:rFonts w:ascii="宋体" w:hAnsi="宋体" w:cs="宋体" w:eastAsia="宋体" w:hint="default"/>
          <w:sz w:val="28"/>
          <w:szCs w:val="28"/>
        </w:rPr>
      </w:r>
    </w:p>
    <w:p>
      <w:pPr>
        <w:spacing w:line="408" w:lineRule="auto" w:before="0"/>
        <w:ind w:left="153" w:right="1129"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性承诺。该等前瞻性陈述内容是否能够实现，受市场环境、政策因素及公司业</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务开展实际情况影响较大，存在不确定性。公司提醒投资者及相关人士对此保</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z w:val="28"/>
          <w:szCs w:val="28"/>
        </w:rPr>
        <w:t>持足够的风险认识，并理解计划、预测与承诺之间的差异。</w:t>
      </w:r>
      <w:r>
        <w:rPr>
          <w:rFonts w:ascii="宋体" w:hAnsi="宋体" w:cs="宋体" w:eastAsia="宋体" w:hint="default"/>
          <w:sz w:val="28"/>
          <w:szCs w:val="28"/>
        </w:rPr>
      </w:r>
    </w:p>
    <w:p>
      <w:pPr>
        <w:spacing w:before="162"/>
        <w:ind w:left="715" w:right="0" w:firstLine="0"/>
        <w:jc w:val="left"/>
        <w:rPr>
          <w:rFonts w:ascii="宋体" w:hAnsi="宋体" w:cs="宋体" w:eastAsia="宋体" w:hint="default"/>
          <w:sz w:val="28"/>
          <w:szCs w:val="28"/>
        </w:rPr>
      </w:pPr>
      <w:r>
        <w:rPr>
          <w:rFonts w:ascii="宋体" w:hAnsi="宋体" w:cs="宋体" w:eastAsia="宋体" w:hint="default"/>
          <w:b/>
          <w:bCs/>
          <w:sz w:val="28"/>
          <w:szCs w:val="28"/>
        </w:rPr>
        <w:t>四、公司提醒投资者认真阅读年度报告全文，并特别注意下列风险因素：</w:t>
      </w:r>
      <w:r>
        <w:rPr>
          <w:rFonts w:ascii="宋体" w:hAnsi="宋体" w:cs="宋体" w:eastAsia="宋体" w:hint="default"/>
          <w:sz w:val="28"/>
          <w:szCs w:val="28"/>
        </w:rPr>
      </w:r>
    </w:p>
    <w:p>
      <w:pPr>
        <w:spacing w:line="240" w:lineRule="auto" w:before="4"/>
        <w:rPr>
          <w:rFonts w:ascii="宋体" w:hAnsi="宋体" w:cs="宋体" w:eastAsia="宋体" w:hint="default"/>
          <w:b/>
          <w:bCs/>
          <w:sz w:val="27"/>
          <w:szCs w:val="27"/>
        </w:rPr>
      </w:pPr>
    </w:p>
    <w:p>
      <w:pPr>
        <w:spacing w:before="0"/>
        <w:ind w:left="715"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1</w:t>
      </w:r>
      <w:r>
        <w:rPr>
          <w:rFonts w:ascii="宋体" w:hAnsi="宋体" w:cs="宋体" w:eastAsia="宋体" w:hint="default"/>
          <w:b/>
          <w:bCs/>
          <w:sz w:val="28"/>
          <w:szCs w:val="28"/>
        </w:rPr>
        <w:t>、宏观经济波动及重大事件带来的不确定风险</w:t>
      </w:r>
      <w:r>
        <w:rPr>
          <w:rFonts w:ascii="宋体" w:hAnsi="宋体" w:cs="宋体" w:eastAsia="宋体" w:hint="default"/>
          <w:sz w:val="28"/>
          <w:szCs w:val="28"/>
        </w:rPr>
      </w:r>
    </w:p>
    <w:p>
      <w:pPr>
        <w:spacing w:line="240" w:lineRule="auto" w:before="8"/>
        <w:rPr>
          <w:rFonts w:ascii="宋体" w:hAnsi="宋体" w:cs="宋体" w:eastAsia="宋体" w:hint="default"/>
          <w:b/>
          <w:bCs/>
          <w:sz w:val="25"/>
          <w:szCs w:val="25"/>
        </w:rPr>
      </w:pPr>
    </w:p>
    <w:p>
      <w:pPr>
        <w:spacing w:line="408" w:lineRule="auto" w:before="0"/>
        <w:ind w:left="153" w:right="1130" w:firstLine="561"/>
        <w:jc w:val="both"/>
        <w:rPr>
          <w:rFonts w:ascii="宋体" w:hAnsi="宋体" w:cs="宋体" w:eastAsia="宋体" w:hint="default"/>
          <w:sz w:val="28"/>
          <w:szCs w:val="28"/>
        </w:rPr>
      </w:pPr>
      <w:r>
        <w:rPr>
          <w:rFonts w:ascii="宋体" w:hAnsi="宋体" w:cs="宋体" w:eastAsia="宋体" w:hint="default"/>
          <w:b/>
          <w:bCs/>
          <w:sz w:val="28"/>
          <w:szCs w:val="28"/>
        </w:rPr>
        <w:t>2020</w:t>
      </w:r>
      <w:r>
        <w:rPr>
          <w:rFonts w:ascii="宋体" w:hAnsi="宋体" w:cs="宋体" w:eastAsia="宋体" w:hint="default"/>
          <w:b/>
          <w:bCs/>
          <w:spacing w:val="-74"/>
          <w:sz w:val="28"/>
          <w:szCs w:val="28"/>
        </w:rPr>
        <w:t> </w:t>
      </w:r>
      <w:r>
        <w:rPr>
          <w:rFonts w:ascii="宋体" w:hAnsi="宋体" w:cs="宋体" w:eastAsia="宋体" w:hint="default"/>
          <w:b/>
          <w:bCs/>
          <w:sz w:val="28"/>
          <w:szCs w:val="28"/>
        </w:rPr>
        <w:t>年初，中国爆发“新冠肺炎”疫情，社会经济生活受到了一定程度的</w:t>
      </w:r>
      <w:r>
        <w:rPr>
          <w:rFonts w:ascii="宋体" w:hAnsi="宋体" w:cs="宋体" w:eastAsia="宋体" w:hint="default"/>
          <w:b/>
          <w:bCs/>
          <w:spacing w:val="1"/>
          <w:w w:val="99"/>
          <w:sz w:val="28"/>
          <w:szCs w:val="28"/>
        </w:rPr>
        <w:t> </w:t>
      </w:r>
      <w:r>
        <w:rPr>
          <w:rFonts w:ascii="宋体" w:hAnsi="宋体" w:cs="宋体" w:eastAsia="宋体" w:hint="default"/>
          <w:b/>
          <w:bCs/>
          <w:spacing w:val="3"/>
          <w:w w:val="95"/>
          <w:sz w:val="28"/>
          <w:szCs w:val="28"/>
        </w:rPr>
        <w:t>影响，虽然目前国内疫情得到了控制，但是随着“新冠肺炎”疫情在全球范围</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的扩散蔓延，世界经济下行风险加剧，疫情的结束时间以及结束后对于社会经</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济形势以及企业生产经营等方面的影响存在较大不确定性，不排除受疫情及宏</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观经济波动的影响，消费者群体的收入水平、消费结构等发生变动，由于版权</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行业属于第三产业，受实体经济活动的活跃度和行业活跃度的影响较大，公司</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的客户群体复工复产延后及后续的恢复情况的不确定，将对公司业务开展产生</w:t>
      </w:r>
      <w:r>
        <w:rPr>
          <w:rFonts w:ascii="宋体" w:hAnsi="宋体" w:cs="宋体" w:eastAsia="宋体" w:hint="default"/>
          <w:sz w:val="28"/>
          <w:szCs w:val="28"/>
        </w:rPr>
      </w:r>
    </w:p>
    <w:p>
      <w:pPr>
        <w:spacing w:after="0" w:line="408" w:lineRule="auto"/>
        <w:jc w:val="both"/>
        <w:rPr>
          <w:rFonts w:ascii="宋体" w:hAnsi="宋体" w:cs="宋体" w:eastAsia="宋体" w:hint="default"/>
          <w:sz w:val="28"/>
          <w:szCs w:val="28"/>
        </w:rPr>
        <w:sectPr>
          <w:footerReference w:type="default" r:id="rId8"/>
          <w:pgSz w:w="11910" w:h="16840"/>
          <w:pgMar w:footer="982" w:header="747" w:top="1060" w:bottom="1180" w:left="980" w:right="0"/>
          <w:pgNumType w:start="2"/>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003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29"/>
          <w:szCs w:val="29"/>
        </w:rPr>
      </w:pPr>
    </w:p>
    <w:p>
      <w:pPr>
        <w:spacing w:line="408" w:lineRule="auto" w:before="13"/>
        <w:ind w:left="153" w:right="1129"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直接的影响。针对这一系统性风险，公司会在确保符合政府疫情防控相关规定</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和业务开展安全性的前提下，稳健经营、控制风险，同时更加积极挖掘客户需</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z w:val="28"/>
          <w:szCs w:val="28"/>
        </w:rPr>
        <w:t>求，尽力将疫情的影响降至最低。</w:t>
      </w:r>
      <w:r>
        <w:rPr>
          <w:rFonts w:ascii="宋体" w:hAnsi="宋体" w:cs="宋体" w:eastAsia="宋体" w:hint="default"/>
          <w:sz w:val="28"/>
          <w:szCs w:val="28"/>
        </w:rPr>
      </w:r>
    </w:p>
    <w:p>
      <w:pPr>
        <w:spacing w:line="448" w:lineRule="auto" w:before="161"/>
        <w:ind w:left="715"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2</w:t>
      </w:r>
      <w:r>
        <w:rPr>
          <w:rFonts w:ascii="宋体" w:hAnsi="宋体" w:cs="宋体" w:eastAsia="宋体" w:hint="default"/>
          <w:b/>
          <w:bCs/>
          <w:sz w:val="28"/>
          <w:szCs w:val="28"/>
        </w:rPr>
        <w:t>、募投项目实施效果及收益不达预期的风险</w:t>
      </w:r>
      <w:r>
        <w:rPr>
          <w:rFonts w:ascii="宋体" w:hAnsi="宋体" w:cs="宋体" w:eastAsia="宋体" w:hint="default"/>
          <w:b/>
          <w:bCs/>
          <w:spacing w:val="1"/>
          <w:w w:val="99"/>
          <w:sz w:val="28"/>
          <w:szCs w:val="28"/>
        </w:rPr>
        <w:t> </w:t>
      </w:r>
      <w:r>
        <w:rPr>
          <w:rFonts w:ascii="宋体" w:hAnsi="宋体" w:cs="宋体" w:eastAsia="宋体" w:hint="default"/>
          <w:b/>
          <w:bCs/>
          <w:spacing w:val="3"/>
          <w:w w:val="95"/>
          <w:sz w:val="28"/>
          <w:szCs w:val="28"/>
        </w:rPr>
        <w:t>公司前期对</w:t>
      </w:r>
      <w:r>
        <w:rPr>
          <w:rFonts w:ascii="Times New Roman" w:hAnsi="Times New Roman" w:cs="Times New Roman" w:eastAsia="Times New Roman" w:hint="default"/>
          <w:b/>
          <w:bCs/>
          <w:spacing w:val="3"/>
          <w:w w:val="95"/>
          <w:sz w:val="28"/>
          <w:szCs w:val="28"/>
        </w:rPr>
        <w:t>“</w:t>
      </w:r>
      <w:r>
        <w:rPr>
          <w:rFonts w:ascii="宋体" w:hAnsi="宋体" w:cs="宋体" w:eastAsia="宋体" w:hint="default"/>
          <w:b/>
          <w:bCs/>
          <w:spacing w:val="3"/>
          <w:w w:val="95"/>
          <w:sz w:val="28"/>
          <w:szCs w:val="28"/>
        </w:rPr>
        <w:t>版权大数据平台建设</w:t>
      </w:r>
      <w:r>
        <w:rPr>
          <w:rFonts w:ascii="Times New Roman" w:hAnsi="Times New Roman" w:cs="Times New Roman" w:eastAsia="Times New Roman" w:hint="default"/>
          <w:b/>
          <w:bCs/>
          <w:spacing w:val="3"/>
          <w:w w:val="95"/>
          <w:sz w:val="28"/>
          <w:szCs w:val="28"/>
        </w:rPr>
        <w:t>”</w:t>
      </w:r>
      <w:r>
        <w:rPr>
          <w:rFonts w:ascii="宋体" w:hAnsi="宋体" w:cs="宋体" w:eastAsia="宋体" w:hint="default"/>
          <w:b/>
          <w:bCs/>
          <w:spacing w:val="3"/>
          <w:w w:val="95"/>
          <w:sz w:val="28"/>
          <w:szCs w:val="28"/>
        </w:rPr>
        <w:t>项目的可行性进行了充分论证和财务测</w:t>
      </w:r>
      <w:r>
        <w:rPr>
          <w:rFonts w:ascii="宋体" w:hAnsi="宋体" w:cs="宋体" w:eastAsia="宋体" w:hint="default"/>
          <w:spacing w:val="3"/>
          <w:sz w:val="28"/>
          <w:szCs w:val="28"/>
        </w:rPr>
      </w:r>
    </w:p>
    <w:p>
      <w:pPr>
        <w:spacing w:line="333" w:lineRule="exact" w:before="0"/>
        <w:ind w:left="153" w:right="0" w:firstLine="0"/>
        <w:jc w:val="both"/>
        <w:rPr>
          <w:rFonts w:ascii="宋体" w:hAnsi="宋体" w:cs="宋体" w:eastAsia="宋体" w:hint="default"/>
          <w:sz w:val="28"/>
          <w:szCs w:val="28"/>
        </w:rPr>
      </w:pPr>
      <w:r>
        <w:rPr>
          <w:rFonts w:ascii="宋体" w:hAnsi="宋体" w:cs="宋体" w:eastAsia="宋体" w:hint="default"/>
          <w:b/>
          <w:bCs/>
          <w:spacing w:val="3"/>
          <w:sz w:val="28"/>
          <w:szCs w:val="28"/>
        </w:rPr>
        <w:t>算，综合评价了风险和收益。但募投项目的实际实施效果受宏观经济大环境及</w:t>
      </w:r>
      <w:r>
        <w:rPr>
          <w:rFonts w:ascii="宋体" w:hAnsi="宋体" w:cs="宋体" w:eastAsia="宋体" w:hint="default"/>
          <w:sz w:val="28"/>
          <w:szCs w:val="28"/>
        </w:rPr>
      </w:r>
    </w:p>
    <w:p>
      <w:pPr>
        <w:spacing w:line="240" w:lineRule="auto" w:before="9"/>
        <w:rPr>
          <w:rFonts w:ascii="宋体" w:hAnsi="宋体" w:cs="宋体" w:eastAsia="宋体" w:hint="default"/>
          <w:b/>
          <w:bCs/>
          <w:sz w:val="19"/>
          <w:szCs w:val="19"/>
        </w:rPr>
      </w:pPr>
    </w:p>
    <w:p>
      <w:pPr>
        <w:spacing w:line="400" w:lineRule="auto" w:before="0"/>
        <w:ind w:left="153" w:right="1130"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行业发展进度等多方面因素的影响，存在一定的不确定性。谨慎起见，公司也</w:t>
      </w:r>
      <w:r>
        <w:rPr>
          <w:rFonts w:ascii="宋体" w:hAnsi="宋体" w:cs="宋体" w:eastAsia="宋体" w:hint="default"/>
          <w:b/>
          <w:bCs/>
          <w:spacing w:val="20"/>
          <w:w w:val="95"/>
          <w:sz w:val="28"/>
          <w:szCs w:val="28"/>
        </w:rPr>
        <w:t> </w:t>
      </w:r>
      <w:r>
        <w:rPr>
          <w:rFonts w:ascii="宋体" w:hAnsi="宋体" w:cs="宋体" w:eastAsia="宋体" w:hint="default"/>
          <w:b/>
          <w:bCs/>
          <w:spacing w:val="20"/>
          <w:w w:val="95"/>
          <w:sz w:val="28"/>
          <w:szCs w:val="28"/>
        </w:rPr>
      </w:r>
      <w:r>
        <w:rPr>
          <w:rFonts w:ascii="宋体" w:hAnsi="宋体" w:cs="宋体" w:eastAsia="宋体" w:hint="default"/>
          <w:b/>
          <w:bCs/>
          <w:sz w:val="28"/>
          <w:szCs w:val="28"/>
        </w:rPr>
        <w:t>在报告期内将募投项目建设周期延长二年至</w:t>
      </w:r>
      <w:r>
        <w:rPr>
          <w:rFonts w:ascii="宋体" w:hAnsi="宋体" w:cs="宋体" w:eastAsia="宋体" w:hint="default"/>
          <w:b/>
          <w:bCs/>
          <w:spacing w:val="-73"/>
          <w:sz w:val="28"/>
          <w:szCs w:val="28"/>
        </w:rPr>
        <w:t> </w:t>
      </w:r>
      <w:r>
        <w:rPr>
          <w:rFonts w:ascii="Times New Roman" w:hAnsi="Times New Roman" w:cs="Times New Roman" w:eastAsia="Times New Roman" w:hint="default"/>
          <w:b/>
          <w:bCs/>
          <w:sz w:val="28"/>
          <w:szCs w:val="28"/>
        </w:rPr>
        <w:t>2021</w:t>
      </w:r>
      <w:r>
        <w:rPr>
          <w:rFonts w:ascii="Times New Roman" w:hAnsi="Times New Roman" w:cs="Times New Roman" w:eastAsia="Times New Roman" w:hint="default"/>
          <w:b/>
          <w:bCs/>
          <w:spacing w:val="-3"/>
          <w:sz w:val="28"/>
          <w:szCs w:val="28"/>
        </w:rPr>
        <w:t> </w:t>
      </w:r>
      <w:r>
        <w:rPr>
          <w:rFonts w:ascii="宋体" w:hAnsi="宋体" w:cs="宋体" w:eastAsia="宋体" w:hint="default"/>
          <w:b/>
          <w:bCs/>
          <w:sz w:val="28"/>
          <w:szCs w:val="28"/>
        </w:rPr>
        <w:t>年</w:t>
      </w:r>
      <w:r>
        <w:rPr>
          <w:rFonts w:ascii="宋体" w:hAnsi="宋体" w:cs="宋体" w:eastAsia="宋体" w:hint="default"/>
          <w:b/>
          <w:bCs/>
          <w:spacing w:val="-75"/>
          <w:sz w:val="28"/>
          <w:szCs w:val="28"/>
        </w:rPr>
        <w:t> </w:t>
      </w:r>
      <w:r>
        <w:rPr>
          <w:rFonts w:ascii="Times New Roman" w:hAnsi="Times New Roman" w:cs="Times New Roman" w:eastAsia="Times New Roman" w:hint="default"/>
          <w:b/>
          <w:bCs/>
          <w:sz w:val="28"/>
          <w:szCs w:val="28"/>
        </w:rPr>
        <w:t>12</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月</w:t>
      </w:r>
      <w:r>
        <w:rPr>
          <w:rFonts w:ascii="宋体" w:hAnsi="宋体" w:cs="宋体" w:eastAsia="宋体" w:hint="default"/>
          <w:b/>
          <w:bCs/>
          <w:spacing w:val="-74"/>
          <w:sz w:val="28"/>
          <w:szCs w:val="28"/>
        </w:rPr>
        <w:t> </w:t>
      </w:r>
      <w:r>
        <w:rPr>
          <w:rFonts w:ascii="Times New Roman" w:hAnsi="Times New Roman" w:cs="Times New Roman" w:eastAsia="Times New Roman" w:hint="default"/>
          <w:b/>
          <w:bCs/>
          <w:sz w:val="28"/>
          <w:szCs w:val="28"/>
        </w:rPr>
        <w:t>31</w:t>
      </w:r>
      <w:r>
        <w:rPr>
          <w:rFonts w:ascii="Times New Roman" w:hAnsi="Times New Roman" w:cs="Times New Roman" w:eastAsia="Times New Roman" w:hint="default"/>
          <w:b/>
          <w:bCs/>
          <w:spacing w:val="-3"/>
          <w:sz w:val="28"/>
          <w:szCs w:val="28"/>
        </w:rPr>
        <w:t> </w:t>
      </w:r>
      <w:r>
        <w:rPr>
          <w:rFonts w:ascii="宋体" w:hAnsi="宋体" w:cs="宋体" w:eastAsia="宋体" w:hint="default"/>
          <w:b/>
          <w:bCs/>
          <w:spacing w:val="-7"/>
          <w:sz w:val="28"/>
          <w:szCs w:val="28"/>
        </w:rPr>
        <w:t>日，公司在募集资</w:t>
      </w:r>
      <w:r>
        <w:rPr>
          <w:rFonts w:ascii="宋体" w:hAnsi="宋体" w:cs="宋体" w:eastAsia="宋体" w:hint="default"/>
          <w:b/>
          <w:bCs/>
          <w:spacing w:val="1"/>
          <w:w w:val="99"/>
          <w:sz w:val="28"/>
          <w:szCs w:val="28"/>
        </w:rPr>
        <w:t> </w:t>
      </w:r>
      <w:r>
        <w:rPr>
          <w:rFonts w:ascii="宋体" w:hAnsi="宋体" w:cs="宋体" w:eastAsia="宋体" w:hint="default"/>
          <w:b/>
          <w:bCs/>
          <w:spacing w:val="3"/>
          <w:w w:val="95"/>
          <w:sz w:val="28"/>
          <w:szCs w:val="28"/>
        </w:rPr>
        <w:t>金的使用中，会坚持充分论证、科学决策、谨慎投资的原则，同时不断完善公</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z w:val="28"/>
          <w:szCs w:val="28"/>
        </w:rPr>
        <w:t>司内部控制机制，降低投资失误的风险。</w:t>
      </w:r>
      <w:r>
        <w:rPr>
          <w:rFonts w:ascii="宋体" w:hAnsi="宋体" w:cs="宋体" w:eastAsia="宋体" w:hint="default"/>
          <w:sz w:val="28"/>
          <w:szCs w:val="28"/>
        </w:rPr>
      </w:r>
    </w:p>
    <w:p>
      <w:pPr>
        <w:spacing w:line="446" w:lineRule="auto" w:before="169"/>
        <w:ind w:left="715"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3</w:t>
      </w:r>
      <w:r>
        <w:rPr>
          <w:rFonts w:ascii="宋体" w:hAnsi="宋体" w:cs="宋体" w:eastAsia="宋体" w:hint="default"/>
          <w:b/>
          <w:bCs/>
          <w:sz w:val="28"/>
          <w:szCs w:val="28"/>
        </w:rPr>
        <w:t>、与合作方关系不稳定的风险</w:t>
      </w:r>
      <w:r>
        <w:rPr>
          <w:rFonts w:ascii="宋体" w:hAnsi="宋体" w:cs="宋体" w:eastAsia="宋体" w:hint="default"/>
          <w:b/>
          <w:bCs/>
          <w:spacing w:val="1"/>
          <w:w w:val="99"/>
          <w:sz w:val="28"/>
          <w:szCs w:val="28"/>
        </w:rPr>
        <w:t> </w:t>
      </w:r>
      <w:r>
        <w:rPr>
          <w:rFonts w:ascii="宋体" w:hAnsi="宋体" w:cs="宋体" w:eastAsia="宋体" w:hint="default"/>
          <w:b/>
          <w:bCs/>
          <w:spacing w:val="-1"/>
          <w:w w:val="95"/>
          <w:sz w:val="28"/>
          <w:szCs w:val="28"/>
        </w:rPr>
        <w:t>公司与电信运营商、互联网平台、内容生产方之间保持了良好的合作关系，</w:t>
      </w:r>
      <w:r>
        <w:rPr>
          <w:rFonts w:ascii="宋体" w:hAnsi="宋体" w:cs="宋体" w:eastAsia="宋体" w:hint="default"/>
          <w:sz w:val="28"/>
          <w:szCs w:val="28"/>
        </w:rPr>
      </w:r>
    </w:p>
    <w:p>
      <w:pPr>
        <w:spacing w:line="408" w:lineRule="auto" w:before="17"/>
        <w:ind w:left="153" w:right="1130"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为合作伙伴提供确权、授权、维权等服务。若公司未来与合作方的合作关系出</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现不稳定的情况，将会影响公司的盈利能力。公司将通过夯实与现有合作伙伴</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z w:val="28"/>
          <w:szCs w:val="28"/>
        </w:rPr>
        <w:t>互利共赢关系，同时大力拓展新合作伙伴的方式来规避相关风险。</w:t>
      </w:r>
      <w:r>
        <w:rPr>
          <w:rFonts w:ascii="宋体" w:hAnsi="宋体" w:cs="宋体" w:eastAsia="宋体" w:hint="default"/>
          <w:sz w:val="28"/>
          <w:szCs w:val="28"/>
        </w:rPr>
      </w:r>
    </w:p>
    <w:p>
      <w:pPr>
        <w:spacing w:before="162"/>
        <w:ind w:left="715"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4</w:t>
      </w:r>
      <w:r>
        <w:rPr>
          <w:rFonts w:ascii="宋体" w:hAnsi="宋体" w:cs="宋体" w:eastAsia="宋体" w:hint="default"/>
          <w:b/>
          <w:bCs/>
          <w:sz w:val="28"/>
          <w:szCs w:val="28"/>
        </w:rPr>
        <w:t>、商誉减值的风险</w:t>
      </w:r>
      <w:r>
        <w:rPr>
          <w:rFonts w:ascii="宋体" w:hAnsi="宋体" w:cs="宋体" w:eastAsia="宋体" w:hint="default"/>
          <w:sz w:val="28"/>
          <w:szCs w:val="28"/>
        </w:rPr>
      </w:r>
    </w:p>
    <w:p>
      <w:pPr>
        <w:spacing w:line="240" w:lineRule="auto" w:before="8"/>
        <w:rPr>
          <w:rFonts w:ascii="宋体" w:hAnsi="宋体" w:cs="宋体" w:eastAsia="宋体" w:hint="default"/>
          <w:b/>
          <w:bCs/>
          <w:sz w:val="25"/>
          <w:szCs w:val="25"/>
        </w:rPr>
      </w:pPr>
    </w:p>
    <w:p>
      <w:pPr>
        <w:spacing w:before="0"/>
        <w:ind w:left="715" w:right="0" w:firstLine="0"/>
        <w:jc w:val="left"/>
        <w:rPr>
          <w:rFonts w:ascii="宋体" w:hAnsi="宋体" w:cs="宋体" w:eastAsia="宋体" w:hint="default"/>
          <w:sz w:val="28"/>
          <w:szCs w:val="28"/>
        </w:rPr>
      </w:pPr>
      <w:r>
        <w:rPr>
          <w:rFonts w:ascii="宋体" w:hAnsi="宋体" w:cs="宋体" w:eastAsia="宋体" w:hint="default"/>
          <w:b/>
          <w:bCs/>
          <w:sz w:val="28"/>
          <w:szCs w:val="28"/>
        </w:rPr>
        <w:t>截止</w:t>
      </w:r>
      <w:r>
        <w:rPr>
          <w:rFonts w:ascii="宋体" w:hAnsi="宋体" w:cs="宋体" w:eastAsia="宋体" w:hint="default"/>
          <w:b/>
          <w:bCs/>
          <w:spacing w:val="-83"/>
          <w:sz w:val="28"/>
          <w:szCs w:val="28"/>
        </w:rPr>
        <w:t> </w:t>
      </w:r>
      <w:r>
        <w:rPr>
          <w:rFonts w:ascii="Times New Roman" w:hAnsi="Times New Roman" w:cs="Times New Roman" w:eastAsia="Times New Roman" w:hint="default"/>
          <w:b/>
          <w:bCs/>
          <w:sz w:val="28"/>
          <w:szCs w:val="28"/>
        </w:rPr>
        <w:t>2019</w:t>
      </w:r>
      <w:r>
        <w:rPr>
          <w:rFonts w:ascii="Times New Roman" w:hAnsi="Times New Roman" w:cs="Times New Roman" w:eastAsia="Times New Roman" w:hint="default"/>
          <w:b/>
          <w:bCs/>
          <w:spacing w:val="-12"/>
          <w:sz w:val="28"/>
          <w:szCs w:val="28"/>
        </w:rPr>
        <w:t> </w:t>
      </w:r>
      <w:r>
        <w:rPr>
          <w:rFonts w:ascii="宋体" w:hAnsi="宋体" w:cs="宋体" w:eastAsia="宋体" w:hint="default"/>
          <w:b/>
          <w:bCs/>
          <w:sz w:val="28"/>
          <w:szCs w:val="28"/>
        </w:rPr>
        <w:t>年</w:t>
      </w:r>
      <w:r>
        <w:rPr>
          <w:rFonts w:ascii="宋体" w:hAnsi="宋体" w:cs="宋体" w:eastAsia="宋体" w:hint="default"/>
          <w:b/>
          <w:bCs/>
          <w:spacing w:val="-83"/>
          <w:sz w:val="28"/>
          <w:szCs w:val="28"/>
        </w:rPr>
        <w:t> </w:t>
      </w:r>
      <w:r>
        <w:rPr>
          <w:rFonts w:ascii="Times New Roman" w:hAnsi="Times New Roman" w:cs="Times New Roman" w:eastAsia="Times New Roman" w:hint="default"/>
          <w:b/>
          <w:bCs/>
          <w:sz w:val="28"/>
          <w:szCs w:val="28"/>
        </w:rPr>
        <w:t>12</w:t>
      </w:r>
      <w:r>
        <w:rPr>
          <w:rFonts w:ascii="Times New Roman" w:hAnsi="Times New Roman" w:cs="Times New Roman" w:eastAsia="Times New Roman" w:hint="default"/>
          <w:b/>
          <w:bCs/>
          <w:spacing w:val="-13"/>
          <w:sz w:val="28"/>
          <w:szCs w:val="28"/>
        </w:rPr>
        <w:t> </w:t>
      </w:r>
      <w:r>
        <w:rPr>
          <w:rFonts w:ascii="宋体" w:hAnsi="宋体" w:cs="宋体" w:eastAsia="宋体" w:hint="default"/>
          <w:b/>
          <w:bCs/>
          <w:sz w:val="28"/>
          <w:szCs w:val="28"/>
        </w:rPr>
        <w:t>月</w:t>
      </w:r>
      <w:r>
        <w:rPr>
          <w:rFonts w:ascii="宋体" w:hAnsi="宋体" w:cs="宋体" w:eastAsia="宋体" w:hint="default"/>
          <w:b/>
          <w:bCs/>
          <w:spacing w:val="-83"/>
          <w:sz w:val="28"/>
          <w:szCs w:val="28"/>
        </w:rPr>
        <w:t> </w:t>
      </w:r>
      <w:r>
        <w:rPr>
          <w:rFonts w:ascii="Times New Roman" w:hAnsi="Times New Roman" w:cs="Times New Roman" w:eastAsia="Times New Roman" w:hint="default"/>
          <w:b/>
          <w:bCs/>
          <w:sz w:val="28"/>
          <w:szCs w:val="28"/>
        </w:rPr>
        <w:t>31</w:t>
      </w:r>
      <w:r>
        <w:rPr>
          <w:rFonts w:ascii="Times New Roman" w:hAnsi="Times New Roman" w:cs="Times New Roman" w:eastAsia="Times New Roman" w:hint="default"/>
          <w:b/>
          <w:bCs/>
          <w:spacing w:val="-12"/>
          <w:sz w:val="28"/>
          <w:szCs w:val="28"/>
        </w:rPr>
        <w:t> </w:t>
      </w:r>
      <w:r>
        <w:rPr>
          <w:rFonts w:ascii="宋体" w:hAnsi="宋体" w:cs="宋体" w:eastAsia="宋体" w:hint="default"/>
          <w:b/>
          <w:bCs/>
          <w:sz w:val="28"/>
          <w:szCs w:val="28"/>
        </w:rPr>
        <w:t>日，公司投资并购畅元国讯产生的商誉剩余账面价值</w:t>
      </w:r>
      <w:r>
        <w:rPr>
          <w:rFonts w:ascii="宋体" w:hAnsi="宋体" w:cs="宋体" w:eastAsia="宋体" w:hint="default"/>
          <w:sz w:val="28"/>
          <w:szCs w:val="28"/>
        </w:rPr>
      </w:r>
    </w:p>
    <w:p>
      <w:pPr>
        <w:spacing w:line="400" w:lineRule="auto" w:before="236"/>
        <w:ind w:left="153" w:right="1130" w:firstLine="0"/>
        <w:jc w:val="both"/>
        <w:rPr>
          <w:rFonts w:ascii="宋体" w:hAnsi="宋体" w:cs="宋体" w:eastAsia="宋体" w:hint="default"/>
          <w:sz w:val="28"/>
          <w:szCs w:val="28"/>
        </w:rPr>
      </w:pPr>
      <w:r>
        <w:rPr>
          <w:rFonts w:ascii="宋体" w:hAnsi="宋体" w:cs="宋体" w:eastAsia="宋体" w:hint="default"/>
          <w:b/>
          <w:bCs/>
          <w:sz w:val="28"/>
          <w:szCs w:val="28"/>
        </w:rPr>
        <w:t>为</w:t>
      </w:r>
      <w:r>
        <w:rPr>
          <w:rFonts w:ascii="宋体" w:hAnsi="宋体" w:cs="宋体" w:eastAsia="宋体" w:hint="default"/>
          <w:b/>
          <w:bCs/>
          <w:spacing w:val="-81"/>
          <w:sz w:val="28"/>
          <w:szCs w:val="28"/>
        </w:rPr>
        <w:t> </w:t>
      </w:r>
      <w:r>
        <w:rPr>
          <w:rFonts w:ascii="Times New Roman" w:hAnsi="Times New Roman" w:cs="Times New Roman" w:eastAsia="Times New Roman" w:hint="default"/>
          <w:b/>
          <w:bCs/>
          <w:sz w:val="28"/>
          <w:szCs w:val="28"/>
        </w:rPr>
        <w:t>51741.47</w:t>
      </w:r>
      <w:r>
        <w:rPr>
          <w:rFonts w:ascii="Times New Roman" w:hAnsi="Times New Roman" w:cs="Times New Roman" w:eastAsia="Times New Roman" w:hint="default"/>
          <w:b/>
          <w:bCs/>
          <w:spacing w:val="-10"/>
          <w:sz w:val="28"/>
          <w:szCs w:val="28"/>
        </w:rPr>
        <w:t> </w:t>
      </w:r>
      <w:r>
        <w:rPr>
          <w:rFonts w:ascii="宋体" w:hAnsi="宋体" w:cs="宋体" w:eastAsia="宋体" w:hint="default"/>
          <w:b/>
          <w:bCs/>
          <w:sz w:val="28"/>
          <w:szCs w:val="28"/>
        </w:rPr>
        <w:t>万元，报告期内计提畅元国讯商誉减值</w:t>
      </w:r>
      <w:r>
        <w:rPr>
          <w:rFonts w:ascii="宋体" w:hAnsi="宋体" w:cs="宋体" w:eastAsia="宋体" w:hint="default"/>
          <w:b/>
          <w:bCs/>
          <w:spacing w:val="-81"/>
          <w:sz w:val="28"/>
          <w:szCs w:val="28"/>
        </w:rPr>
        <w:t> </w:t>
      </w:r>
      <w:r>
        <w:rPr>
          <w:rFonts w:ascii="Times New Roman" w:hAnsi="Times New Roman" w:cs="Times New Roman" w:eastAsia="Times New Roman" w:hint="default"/>
          <w:b/>
          <w:bCs/>
          <w:sz w:val="28"/>
          <w:szCs w:val="28"/>
        </w:rPr>
        <w:t>22061.48</w:t>
      </w:r>
      <w:r>
        <w:rPr>
          <w:rFonts w:ascii="Times New Roman" w:hAnsi="Times New Roman" w:cs="Times New Roman" w:eastAsia="Times New Roman" w:hint="default"/>
          <w:b/>
          <w:bCs/>
          <w:spacing w:val="-10"/>
          <w:sz w:val="28"/>
          <w:szCs w:val="28"/>
        </w:rPr>
        <w:t> </w:t>
      </w:r>
      <w:r>
        <w:rPr>
          <w:rFonts w:ascii="宋体" w:hAnsi="宋体" w:cs="宋体" w:eastAsia="宋体" w:hint="default"/>
          <w:b/>
          <w:bCs/>
          <w:spacing w:val="-3"/>
          <w:sz w:val="28"/>
          <w:szCs w:val="28"/>
        </w:rPr>
        <w:t>万元。若投资并购</w:t>
      </w:r>
      <w:r>
        <w:rPr>
          <w:rFonts w:ascii="宋体" w:hAnsi="宋体" w:cs="宋体" w:eastAsia="宋体" w:hint="default"/>
          <w:b/>
          <w:bCs/>
          <w:spacing w:val="1"/>
          <w:w w:val="99"/>
          <w:sz w:val="28"/>
          <w:szCs w:val="28"/>
        </w:rPr>
        <w:t> </w:t>
      </w:r>
      <w:r>
        <w:rPr>
          <w:rFonts w:ascii="宋体" w:hAnsi="宋体" w:cs="宋体" w:eastAsia="宋体" w:hint="default"/>
          <w:b/>
          <w:bCs/>
          <w:spacing w:val="3"/>
          <w:w w:val="95"/>
          <w:sz w:val="28"/>
          <w:szCs w:val="28"/>
        </w:rPr>
        <w:t>的子公司盈利情况未来不达预期，将可能形成商誉减值，从而影响当期损益。</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公司将紧密关注并购子公司的经营情况及行业发展趋势，通过人才、管理及业</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务协同的方式来强化投后管理，整合优势资源，夯实核心竞争力，保障子公司</w:t>
      </w:r>
      <w:r>
        <w:rPr>
          <w:rFonts w:ascii="宋体" w:hAnsi="宋体" w:cs="宋体" w:eastAsia="宋体" w:hint="default"/>
          <w:sz w:val="28"/>
          <w:szCs w:val="28"/>
        </w:rPr>
      </w:r>
    </w:p>
    <w:p>
      <w:pPr>
        <w:spacing w:after="0" w:line="400" w:lineRule="auto"/>
        <w:jc w:val="both"/>
        <w:rPr>
          <w:rFonts w:ascii="宋体" w:hAnsi="宋体" w:cs="宋体" w:eastAsia="宋体" w:hint="default"/>
          <w:sz w:val="28"/>
          <w:szCs w:val="28"/>
        </w:rPr>
        <w:sectPr>
          <w:pgSz w:w="11910" w:h="16840"/>
          <w:pgMar w:header="747" w:footer="982" w:top="1060" w:bottom="118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13"/>
        <w:ind w:left="154" w:right="0" w:firstLine="0"/>
        <w:jc w:val="both"/>
        <w:rPr>
          <w:rFonts w:ascii="宋体" w:hAnsi="宋体" w:cs="宋体" w:eastAsia="宋体" w:hint="default"/>
          <w:sz w:val="28"/>
          <w:szCs w:val="28"/>
        </w:rPr>
      </w:pPr>
      <w:r>
        <w:rPr>
          <w:rFonts w:ascii="宋体" w:hAnsi="宋体" w:cs="宋体" w:eastAsia="宋体" w:hint="default"/>
          <w:b/>
          <w:bCs/>
          <w:sz w:val="28"/>
          <w:szCs w:val="28"/>
        </w:rPr>
        <w:t>稳健发展，降低商誉减值的风险。</w:t>
      </w:r>
      <w:r>
        <w:rPr>
          <w:rFonts w:ascii="宋体" w:hAnsi="宋体" w:cs="宋体" w:eastAsia="宋体" w:hint="default"/>
          <w:sz w:val="28"/>
          <w:szCs w:val="28"/>
        </w:rPr>
      </w:r>
    </w:p>
    <w:p>
      <w:pPr>
        <w:spacing w:line="240" w:lineRule="auto" w:before="4"/>
        <w:rPr>
          <w:rFonts w:ascii="宋体" w:hAnsi="宋体" w:cs="宋体" w:eastAsia="宋体" w:hint="default"/>
          <w:b/>
          <w:bCs/>
          <w:sz w:val="27"/>
          <w:szCs w:val="27"/>
        </w:rPr>
      </w:pPr>
    </w:p>
    <w:p>
      <w:pPr>
        <w:spacing w:line="448" w:lineRule="auto" w:before="0"/>
        <w:ind w:left="715"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5</w:t>
      </w:r>
      <w:r>
        <w:rPr>
          <w:rFonts w:ascii="宋体" w:hAnsi="宋体" w:cs="宋体" w:eastAsia="宋体" w:hint="default"/>
          <w:b/>
          <w:bCs/>
          <w:sz w:val="28"/>
          <w:szCs w:val="28"/>
        </w:rPr>
        <w:t>、人才管理的风险</w:t>
      </w:r>
      <w:r>
        <w:rPr>
          <w:rFonts w:ascii="宋体" w:hAnsi="宋体" w:cs="宋体" w:eastAsia="宋体" w:hint="default"/>
          <w:b/>
          <w:bCs/>
          <w:spacing w:val="1"/>
          <w:w w:val="99"/>
          <w:sz w:val="28"/>
          <w:szCs w:val="28"/>
        </w:rPr>
        <w:t> </w:t>
      </w:r>
      <w:r>
        <w:rPr>
          <w:rFonts w:ascii="宋体" w:hAnsi="宋体" w:cs="宋体" w:eastAsia="宋体" w:hint="default"/>
          <w:b/>
          <w:bCs/>
          <w:spacing w:val="4"/>
          <w:w w:val="95"/>
          <w:sz w:val="28"/>
          <w:szCs w:val="28"/>
        </w:rPr>
        <w:t>版权业务已经成为上市公司重要的业务组成部分之一，公司目前已经拥有</w:t>
      </w:r>
      <w:r>
        <w:rPr>
          <w:rFonts w:ascii="宋体" w:hAnsi="宋体" w:cs="宋体" w:eastAsia="宋体" w:hint="default"/>
          <w:sz w:val="28"/>
          <w:szCs w:val="28"/>
        </w:rPr>
      </w:r>
    </w:p>
    <w:p>
      <w:pPr>
        <w:spacing w:line="408" w:lineRule="auto" w:before="14"/>
        <w:ind w:left="153" w:right="1130" w:firstLine="0"/>
        <w:jc w:val="both"/>
        <w:rPr>
          <w:rFonts w:ascii="宋体" w:hAnsi="宋体" w:cs="宋体" w:eastAsia="宋体" w:hint="default"/>
          <w:sz w:val="28"/>
          <w:szCs w:val="28"/>
        </w:rPr>
      </w:pPr>
      <w:r>
        <w:rPr>
          <w:rFonts w:ascii="宋体" w:hAnsi="宋体" w:cs="宋体" w:eastAsia="宋体" w:hint="default"/>
          <w:b/>
          <w:bCs/>
          <w:spacing w:val="3"/>
          <w:w w:val="95"/>
          <w:sz w:val="28"/>
          <w:szCs w:val="28"/>
        </w:rPr>
        <w:t>稳定的版权服务管理团队和人才储备库，同时通过专业的人才管理措施稳定和</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壮大优秀人才队伍，但与公司发展战略和发展目标的要求相比目前人才储备规</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pacing w:val="3"/>
          <w:w w:val="95"/>
          <w:sz w:val="28"/>
          <w:szCs w:val="28"/>
        </w:rPr>
        <w:t>模仍有待进一步加强。公司将积极采取多种人才管理措施，加强激励措施，加</w:t>
      </w:r>
      <w:r>
        <w:rPr>
          <w:rFonts w:ascii="宋体" w:hAnsi="宋体" w:cs="宋体" w:eastAsia="宋体" w:hint="default"/>
          <w:b/>
          <w:bCs/>
          <w:spacing w:val="19"/>
          <w:w w:val="95"/>
          <w:sz w:val="28"/>
          <w:szCs w:val="28"/>
        </w:rPr>
        <w:t> </w:t>
      </w:r>
      <w:r>
        <w:rPr>
          <w:rFonts w:ascii="宋体" w:hAnsi="宋体" w:cs="宋体" w:eastAsia="宋体" w:hint="default"/>
          <w:b/>
          <w:bCs/>
          <w:spacing w:val="19"/>
          <w:w w:val="95"/>
          <w:sz w:val="28"/>
          <w:szCs w:val="28"/>
        </w:rPr>
      </w:r>
      <w:r>
        <w:rPr>
          <w:rFonts w:ascii="宋体" w:hAnsi="宋体" w:cs="宋体" w:eastAsia="宋体" w:hint="default"/>
          <w:b/>
          <w:bCs/>
          <w:sz w:val="28"/>
          <w:szCs w:val="28"/>
        </w:rPr>
        <w:t>强公司人才储备，减少核心专业人才变动给公司经营业务带来的负面影响。</w:t>
      </w:r>
      <w:r>
        <w:rPr>
          <w:rFonts w:ascii="宋体" w:hAnsi="宋体" w:cs="宋体" w:eastAsia="宋体" w:hint="default"/>
          <w:sz w:val="28"/>
          <w:szCs w:val="28"/>
        </w:rPr>
      </w:r>
    </w:p>
    <w:p>
      <w:pPr>
        <w:spacing w:before="161"/>
        <w:ind w:left="715" w:right="0" w:firstLine="0"/>
        <w:jc w:val="left"/>
        <w:rPr>
          <w:rFonts w:ascii="宋体" w:hAnsi="宋体" w:cs="宋体" w:eastAsia="宋体" w:hint="default"/>
          <w:sz w:val="28"/>
          <w:szCs w:val="28"/>
        </w:rPr>
      </w:pPr>
      <w:r>
        <w:rPr>
          <w:rFonts w:ascii="宋体" w:hAnsi="宋体" w:cs="宋体" w:eastAsia="宋体" w:hint="default"/>
          <w:b/>
          <w:bCs/>
          <w:sz w:val="28"/>
          <w:szCs w:val="28"/>
        </w:rPr>
        <w:t>五、公司计划不派发现金红利，不送红股，不以公积金转增股本。</w:t>
      </w:r>
      <w:r>
        <w:rPr>
          <w:rFonts w:ascii="宋体" w:hAnsi="宋体" w:cs="宋体" w:eastAsia="宋体" w:hint="default"/>
          <w:sz w:val="28"/>
          <w:szCs w:val="28"/>
        </w:rPr>
      </w:r>
    </w:p>
    <w:p>
      <w:pPr>
        <w:spacing w:after="0"/>
        <w:jc w:val="left"/>
        <w:rPr>
          <w:rFonts w:ascii="宋体" w:hAnsi="宋体" w:cs="宋体" w:eastAsia="宋体" w:hint="default"/>
          <w:sz w:val="28"/>
          <w:szCs w:val="28"/>
        </w:rPr>
        <w:sectPr>
          <w:pgSz w:w="11910" w:h="16840"/>
          <w:pgMar w:header="747" w:footer="982" w:top="1060" w:bottom="118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23"/>
        <w:ind w:left="2634" w:right="3610"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81"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2">
            <w:r>
              <w:rPr/>
              <w:t>第一节</w:t>
            </w:r>
            <w:r>
              <w:rPr>
                <w:spacing w:val="-19"/>
              </w:rPr>
              <w:t> </w:t>
            </w:r>
            <w:r>
              <w:rPr/>
              <w:t>重要提示、目录和释义</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2</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11">
            <w:r>
              <w:rPr/>
              <w:t>第二节</w:t>
            </w:r>
            <w:r>
              <w:rPr>
                <w:spacing w:val="-18"/>
              </w:rPr>
              <w:t> </w:t>
            </w:r>
            <w:r>
              <w:rPr/>
              <w:t>公司简介和主要财务指标</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10">
            <w:r>
              <w:rPr/>
              <w:t>第三节</w:t>
            </w:r>
            <w:r>
              <w:rPr>
                <w:spacing w:val="-18"/>
              </w:rPr>
              <w:t> </w:t>
            </w:r>
            <w:r>
              <w:rPr/>
              <w:t>公司业务概要</w:t>
            </w:r>
            <w:r>
              <w:rPr>
                <w:rFonts w:ascii="Times New Roman" w:hAnsi="Times New Roman" w:cs="Times New Roman" w:eastAsia="Times New Roman" w:hint="default"/>
                <w:b w:val="0"/>
                <w:bCs w:val="0"/>
              </w:rPr>
              <w:tab/>
            </w:r>
            <w:r>
              <w:rPr>
                <w:rFonts w:ascii="Times New Roman" w:hAnsi="Times New Roman" w:cs="Times New Roman" w:eastAsia="Times New Roman" w:hint="default"/>
                <w:spacing w:val="-7"/>
              </w:rPr>
              <w:t>11</w:t>
            </w:r>
            <w:r>
              <w:rPr>
                <w:rFonts w:ascii="Times New Roman" w:hAnsi="Times New Roman" w:cs="Times New Roman" w:eastAsia="Times New Roman" w:hint="default"/>
                <w:b w:val="0"/>
                <w:bCs w:val="0"/>
                <w:spacing w:val="-7"/>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第四节</w:t>
            </w:r>
            <w:r>
              <w:rPr>
                <w:spacing w:val="-19"/>
              </w:rPr>
              <w:t> </w:t>
            </w:r>
            <w:r>
              <w:rPr/>
              <w:t>经营情况讨论与分析</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15</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t>第五节</w:t>
            </w:r>
            <w:r>
              <w:rPr>
                <w:spacing w:val="-19"/>
              </w:rPr>
              <w:t> </w:t>
            </w:r>
            <w:r>
              <w:rPr/>
              <w:t>重要事项</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40</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第六节</w:t>
            </w:r>
            <w:r>
              <w:rPr>
                <w:spacing w:val="-19"/>
              </w:rPr>
              <w:t> </w:t>
            </w:r>
            <w:r>
              <w:rPr/>
              <w:t>股份变动及股东情况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57</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第七节</w:t>
            </w:r>
            <w:r>
              <w:rPr>
                <w:spacing w:val="-19"/>
              </w:rPr>
              <w:t> </w:t>
            </w:r>
            <w:r>
              <w:rPr/>
              <w:t>优先股相关情况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64</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t>第八节</w:t>
            </w:r>
            <w:r>
              <w:rPr>
                <w:spacing w:val="-18"/>
              </w:rPr>
              <w:t> </w:t>
            </w:r>
            <w:r>
              <w:rPr/>
              <w:t>可转换公司债券相关情况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65</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t>第九节</w:t>
            </w:r>
            <w:r>
              <w:rPr>
                <w:spacing w:val="-19"/>
              </w:rPr>
              <w:t> </w:t>
            </w:r>
            <w:r>
              <w:rPr/>
              <w:t>董事、监事、高级管理人员和员工情况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65</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第十节</w:t>
            </w:r>
            <w:r>
              <w:rPr>
                <w:spacing w:val="-19"/>
              </w:rPr>
              <w:t> </w:t>
            </w:r>
            <w:r>
              <w:rPr/>
              <w:t>公司治理</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72</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第十一节</w:t>
            </w:r>
            <w:r>
              <w:rPr>
                <w:spacing w:val="-19"/>
              </w:rPr>
              <w:t> </w:t>
            </w:r>
            <w:r>
              <w:rPr/>
              <w:t>公司债券相关情况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79</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第十二节</w:t>
            </w:r>
            <w:r>
              <w:rPr>
                <w:spacing w:val="-19"/>
              </w:rPr>
              <w:t> </w:t>
            </w:r>
            <w:r>
              <w:rPr/>
              <w:t>财务报告</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80</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第十三节</w:t>
            </w:r>
            <w:r>
              <w:rPr>
                <w:spacing w:val="-20"/>
              </w:rPr>
              <w:t> </w:t>
            </w:r>
            <w:r>
              <w:rPr/>
              <w:t>备查文件目录</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210</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47" w:footer="982" w:top="1060" w:bottom="1180" w:left="980" w:right="0"/>
        </w:sectPr>
      </w:pPr>
    </w:p>
    <w:p>
      <w:pPr>
        <w:spacing w:before="946"/>
        <w:ind w:left="2634" w:right="3610"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524"/>
        <w:gridCol w:w="620"/>
        <w:gridCol w:w="5424"/>
      </w:tblGrid>
      <w:tr>
        <w:trPr>
          <w:trHeight w:val="402" w:hRule="exact"/>
        </w:trPr>
        <w:tc>
          <w:tcPr>
            <w:tcW w:w="35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公司、本公司</w:t>
            </w:r>
          </w:p>
        </w:tc>
        <w:tc>
          <w:tcPr>
            <w:tcW w:w="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畅元国讯</w:t>
            </w:r>
          </w:p>
        </w:tc>
        <w:tc>
          <w:tcPr>
            <w:tcW w:w="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全版权</w:t>
            </w:r>
          </w:p>
        </w:tc>
        <w:tc>
          <w:tcPr>
            <w:tcW w:w="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北京安妮全版权科技发展有限公司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版全家</w:t>
            </w:r>
          </w:p>
        </w:tc>
        <w:tc>
          <w:tcPr>
            <w:tcW w:w="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北京版全家科技发展有限公司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c>
          <w:tcPr>
            <w:tcW w:w="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bl>
    <w:p>
      <w:pPr>
        <w:spacing w:after="0" w:line="240" w:lineRule="auto"/>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b/>
          <w:bCs/>
          <w:sz w:val="20"/>
          <w:szCs w:val="20"/>
        </w:rPr>
      </w:pPr>
      <w:r>
        <w:rPr/>
        <w:pict>
          <v:shape style="position:absolute;margin-left:138pt;margin-top:272.760010pt;width:396.9pt;height:19.6pt;mso-position-horizontal-relative:page;mso-position-vertical-relative:page;z-index:-963544"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（如有）</w:t>
                  </w:r>
                </w:p>
              </w:txbxContent>
            </v:textbox>
            <w10:wrap type="none"/>
          </v:shape>
        </w:pict>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left="2724" w:right="0"/>
        <w:jc w:val="left"/>
        <w:rPr>
          <w:b w:val="0"/>
          <w:bCs w:val="0"/>
        </w:rPr>
      </w:pPr>
      <w:bookmarkStart w:name="_TOC_250011" w:id="2"/>
      <w:r>
        <w:rPr/>
        <w:t>第二节公司简介和主要财务指标</w:t>
      </w:r>
      <w:bookmarkEnd w:id="2"/>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84"/>
        <w:gridCol w:w="2953"/>
        <w:gridCol w:w="2156"/>
        <w:gridCol w:w="2176"/>
      </w:tblGrid>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安妮股份</w:t>
            </w:r>
          </w:p>
        </w:tc>
        <w:tc>
          <w:tcPr>
            <w:tcW w:w="21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002235</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安妮股份</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Xiamen    anne  </w:t>
            </w:r>
            <w:r>
              <w:rPr>
                <w:rFonts w:ascii="Times New Roman"/>
                <w:spacing w:val="42"/>
                <w:sz w:val="18"/>
              </w:rPr>
              <w:t> </w:t>
            </w:r>
            <w:r>
              <w:rPr>
                <w:rFonts w:ascii="Times New Roman"/>
                <w:sz w:val="18"/>
              </w:rPr>
              <w:t>co.ltd</w:t>
            </w:r>
          </w:p>
        </w:tc>
      </w:tr>
      <w:tr>
        <w:trPr>
          <w:trHeight w:val="402" w:hRule="exact"/>
        </w:trPr>
        <w:tc>
          <w:tcPr>
            <w:tcW w:w="2284" w:type="dxa"/>
            <w:tcBorders>
              <w:top w:val="single" w:sz="4" w:space="0" w:color="000000"/>
              <w:left w:val="single" w:sz="4" w:space="0" w:color="000000"/>
              <w:bottom w:val="single" w:sz="4" w:space="0" w:color="000000"/>
              <w:right w:val="single" w:sz="10" w:space="0" w:color="FFFFFF"/>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公司的外文名称缩写</w:t>
            </w:r>
          </w:p>
        </w:tc>
        <w:tc>
          <w:tcPr>
            <w:tcW w:w="7285" w:type="dxa"/>
            <w:gridSpan w:val="3"/>
            <w:tcBorders>
              <w:top w:val="single" w:sz="4" w:space="0" w:color="000000"/>
              <w:left w:val="single" w:sz="10" w:space="0" w:color="FFFFFF"/>
              <w:bottom w:val="single" w:sz="4" w:space="0" w:color="000000"/>
              <w:right w:val="single" w:sz="9" w:space="0" w:color="FFFFFF"/>
            </w:tcBorders>
          </w:tcPr>
          <w:p>
            <w:pPr>
              <w:pStyle w:val="TableParagraph"/>
              <w:spacing w:line="240" w:lineRule="auto" w:before="92"/>
              <w:ind w:left="16" w:right="0"/>
              <w:jc w:val="left"/>
              <w:rPr>
                <w:rFonts w:ascii="Times New Roman" w:hAnsi="Times New Roman" w:cs="Times New Roman" w:eastAsia="Times New Roman" w:hint="default"/>
                <w:sz w:val="18"/>
                <w:szCs w:val="18"/>
              </w:rPr>
            </w:pPr>
            <w:r>
              <w:rPr>
                <w:rFonts w:ascii="Times New Roman"/>
                <w:sz w:val="18"/>
              </w:rPr>
              <w:t>Anne</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张杰</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福建省厦门市集美区杏林锦园南路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361002</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福建省厦门市集美区杏林锦园南路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361002</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hyperlink r:id="rId9">
              <w:r>
                <w:rPr>
                  <w:rFonts w:ascii="Times New Roman"/>
                  <w:sz w:val="18"/>
                </w:rPr>
                <w:t>www.anne.com.cn</w:t>
              </w:r>
            </w:hyperlink>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hyperlink r:id="rId10">
              <w:r>
                <w:rPr>
                  <w:rFonts w:ascii="Times New Roman"/>
                  <w:sz w:val="18"/>
                </w:rPr>
                <w:t>anne@anne.com.cn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陈文坚</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谢蓉</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0592-3152372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0592-3152372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0592-3152406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0592-3152406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1">
              <w:r>
                <w:rPr>
                  <w:rFonts w:ascii="Times New Roman"/>
                  <w:sz w:val="18"/>
                </w:rPr>
                <w:t>chenwenjian@anne.com.cn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2">
              <w:r>
                <w:rPr>
                  <w:rFonts w:ascii="Times New Roman"/>
                  <w:sz w:val="18"/>
                </w:rPr>
                <w:t>xierong@anne.com.cn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2"/>
        <w:gridCol w:w="5575"/>
      </w:tblGrid>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《证券日报</w:t>
            </w:r>
            <w:r>
              <w:rPr>
                <w:rFonts w:ascii="宋体" w:hAnsi="宋体" w:cs="宋体" w:eastAsia="宋体" w:hint="default"/>
                <w:spacing w:val="-90"/>
                <w:sz w:val="18"/>
                <w:szCs w:val="18"/>
              </w:rPr>
              <w:t>》、</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《上海证券报》</w:t>
            </w:r>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73"/>
                <w:sz w:val="18"/>
                <w:szCs w:val="18"/>
              </w:rPr>
              <w:t> </w:t>
            </w:r>
            <w:hyperlink r:id="rId13">
              <w:r>
                <w:rPr>
                  <w:rFonts w:ascii="Times New Roman" w:hAnsi="Times New Roman" w:cs="Times New Roman" w:eastAsia="Times New Roman" w:hint="default"/>
                  <w:sz w:val="18"/>
                  <w:szCs w:val="18"/>
                </w:rPr>
                <w:t>http://www.cninfo.com.cn</w:t>
              </w:r>
            </w:hyperlink>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本公司投资者关系部</w:t>
            </w:r>
          </w:p>
        </w:tc>
      </w:tr>
    </w:tbl>
    <w:p>
      <w:pPr>
        <w:spacing w:after="0" w:line="240" w:lineRule="auto"/>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9"/>
        <w:rPr>
          <w:rFonts w:ascii="宋体" w:hAnsi="宋体" w:cs="宋体" w:eastAsia="宋体" w:hint="default"/>
          <w:b/>
          <w:bCs/>
          <w:sz w:val="23"/>
          <w:szCs w:val="23"/>
        </w:rPr>
      </w:pPr>
    </w:p>
    <w:p>
      <w:pPr>
        <w:pStyle w:val="Heading2"/>
        <w:spacing w:line="240" w:lineRule="auto" w:before="26"/>
        <w:ind w:right="0"/>
        <w:jc w:val="left"/>
        <w:rPr>
          <w:b w:val="0"/>
          <w:bCs w:val="0"/>
        </w:rPr>
      </w:pPr>
      <w:r>
        <w:rPr/>
        <w:t>四、注册变更情况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6378"/>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260129249</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 有）</w:t>
            </w:r>
          </w:p>
        </w:tc>
        <w:tc>
          <w:tcPr>
            <w:tcW w:w="6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版权服务业务成为公司的主营业务之一</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r>
        <w:rPr/>
        <w:t>五、其他有关资料</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2"/>
        <w:gridCol w:w="6906"/>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大信会计师事务所（特殊普通合伙）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北京市海淀区知春路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号学院国际大厦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室</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陈菁佩、连伟</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line="338" w:lineRule="auto" w:before="117"/>
        <w:ind w:left="154" w:right="67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公司聘请的报告期内履行持续督导职责的财务顾问</w:t>
      </w:r>
    </w:p>
    <w:p>
      <w:pPr>
        <w:spacing w:before="4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r>
        <w:rPr/>
        <w:t>六、主要会计数据和财务指标</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6"/>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621"/>
        <w:gridCol w:w="1739"/>
        <w:gridCol w:w="1736"/>
        <w:gridCol w:w="1738"/>
        <w:gridCol w:w="1735"/>
      </w:tblGrid>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432,752,748.83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714,872,486.11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-39.46%</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658,420,472.76</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24,057,565.30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75,525,209.45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-68.15%</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-365,071,834.92</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66"/>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39"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-239,770,406.84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13,564,916.22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-1,867.58%</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-411,132,588.76</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69,955,034.18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-137,740,785.49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150.79%</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-22,309,892.36</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0.0388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2"/>
                <w:sz w:val="18"/>
              </w:rPr>
              <w:t>0.1211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-67.96%</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-0.5875</w:t>
            </w:r>
            <w:r>
              <w:rPr>
                <w:rFonts w:ascii="Times New Roman"/>
                <w:sz w:val="18"/>
              </w:rPr>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0.0388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2"/>
                <w:sz w:val="18"/>
              </w:rPr>
              <w:t>0.1211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-67.96%</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-0.5875</w:t>
            </w:r>
            <w:r>
              <w:rPr>
                <w:rFonts w:ascii="Times New Roman"/>
                <w:sz w:val="18"/>
              </w:rPr>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1.08%</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3.42%</w:t>
            </w:r>
            <w:r>
              <w:rPr>
                <w:rFonts w:ascii="Times New Roman"/>
                <w:sz w:val="18"/>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-2.34%</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-16.63%</w:t>
            </w:r>
            <w:r>
              <w:rPr>
                <w:rFonts w:ascii="Times New Roman"/>
                <w:sz w:val="18"/>
              </w:rPr>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2,255,563,045.72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2,521,858,973.64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-10.56%</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2,495,861,011.91</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1,856,266,554.61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2,186,643,871.73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-15.11%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2,217,695,298.47</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82" w:top="1060" w:bottom="118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0"/>
        <w:jc w:val="left"/>
        <w:rPr>
          <w:b w:val="0"/>
          <w:bCs w:val="0"/>
        </w:rPr>
      </w:pPr>
      <w:r>
        <w:rPr/>
        <w:t>七、境内外会计准则下会计数据差异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21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公司报告期不存在按照国际会计准则与按照中国会计准则披露的财务报告中净利润和净资产差异情况。</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265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r>
        <w:rPr/>
        <w:t>八、分季度主要财务指标</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21"/>
        <w:gridCol w:w="1740"/>
        <w:gridCol w:w="1739"/>
        <w:gridCol w:w="1740"/>
        <w:gridCol w:w="1729"/>
      </w:tblGrid>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7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03"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109,921,294.29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87,610,727.26</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87,131,679.53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148,089,047.75</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99,520,927.44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738,097.97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-13,246,146.73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-62,955,313.38</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66"/>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243,807.92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-5,112,751.56</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-14,140,127.84</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-220,761,335.36</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19,639,925.87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3,473,898.55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2,870,495.91</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43,970,713.85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6"/>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r>
        <w:rPr/>
        <w:t>九、非经常性损益项目及金额</w:t>
      </w:r>
      <w:r>
        <w:rPr>
          <w:b w:val="0"/>
          <w:bCs w:val="0"/>
        </w:rPr>
      </w:r>
    </w:p>
    <w:p>
      <w:pPr>
        <w:spacing w:line="240" w:lineRule="auto" w:before="2"/>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273"/>
        <w:gridCol w:w="1531"/>
        <w:gridCol w:w="1520"/>
        <w:gridCol w:w="1522"/>
        <w:gridCol w:w="1710"/>
      </w:tblGrid>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1" w:right="11"/>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11,750,039.51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58,335.34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13,619.58</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1" w:right="11"/>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1,988,581.54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213,791.88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8,433,844.67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1" w:right="11"/>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 占用费</w:t>
            </w:r>
          </w:p>
        </w:tc>
        <w:tc>
          <w:tcPr>
            <w:tcW w:w="1531" w:type="dxa"/>
            <w:tcBorders>
              <w:top w:val="single" w:sz="4" w:space="0" w:color="000000"/>
              <w:left w:val="single" w:sz="13" w:space="0" w:color="D3D3D3"/>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3"/>
                <w:sz w:val="18"/>
              </w:rPr>
              <w:t>283,111.11</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610" w:hRule="exact"/>
        </w:trPr>
        <w:tc>
          <w:tcPr>
            <w:tcW w:w="32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1" w:right="11"/>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值业务外，持有交易性金融资产、衍生金 融资产、交易性金融负债、衍生金融负债 产生的公允价值变动损益，以及处置交易 性金融资产、衍生金融资产、交易性金融</w:t>
            </w:r>
          </w:p>
        </w:tc>
        <w:tc>
          <w:tcPr>
            <w:tcW w:w="1531" w:type="dxa"/>
            <w:tcBorders>
              <w:top w:val="single" w:sz="4" w:space="0" w:color="000000"/>
              <w:left w:val="single" w:sz="10" w:space="0" w:color="D3D3D3"/>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23,104,319.87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34,154,340.86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36,947,838.37</w:t>
            </w: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296"/>
        <w:gridCol w:w="1519"/>
        <w:gridCol w:w="1520"/>
        <w:gridCol w:w="1522"/>
        <w:gridCol w:w="1710"/>
      </w:tblGrid>
      <w:tr>
        <w:trPr>
          <w:trHeight w:val="674"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负债、衍生金融负债和其他债权投资取得 的投资收益</w:t>
            </w:r>
          </w:p>
        </w:tc>
        <w:tc>
          <w:tcPr>
            <w:tcW w:w="1519"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单独进行减值测试的应收款项、合同资产 减值准备转回</w:t>
            </w:r>
          </w:p>
        </w:tc>
        <w:tc>
          <w:tcPr>
            <w:tcW w:w="1519"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635,678.07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227,160,283.89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28,074,863.78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-85,653.56</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175,226.47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540,862.23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167,258.00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少数股东权益影响额（税后）</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26.20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176.40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426.40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263,827,972.14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61,960,293.23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46,060,753.84</w:t>
            </w:r>
          </w:p>
        </w:tc>
        <w:tc>
          <w:tcPr>
            <w:tcW w:w="17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7"/>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r>
        <w:rPr>
          <w:rFonts w:ascii="宋体" w:hAnsi="宋体" w:cs="宋体" w:eastAsia="宋体" w:hint="default"/>
          <w:sz w:val="18"/>
          <w:szCs w:val="18"/>
        </w:rPr>
      </w:r>
    </w:p>
    <w:p>
      <w:pPr>
        <w:spacing w:line="302" w:lineRule="auto" w:before="61"/>
        <w:ind w:left="154" w:right="1117"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说明原因</w:t>
      </w:r>
    </w:p>
    <w:p>
      <w:pPr>
        <w:spacing w:before="7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302" w:lineRule="auto" w:before="101"/>
        <w:ind w:left="154" w:right="1114"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非经常性损益》定义、列举的非经常性损益</w:t>
      </w:r>
      <w:r>
        <w:rPr>
          <w:rFonts w:ascii="宋体" w:hAnsi="宋体" w:cs="宋体" w:eastAsia="宋体" w:hint="default"/>
          <w:sz w:val="18"/>
          <w:szCs w:val="18"/>
        </w:rPr>
        <w:t> 项目界定为经常性损益的项目的情形。</w:t>
      </w:r>
    </w:p>
    <w:p>
      <w:pPr>
        <w:spacing w:after="0" w:line="302" w:lineRule="auto"/>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527" w:right="0"/>
        <w:jc w:val="left"/>
        <w:rPr>
          <w:b w:val="0"/>
          <w:bCs w:val="0"/>
        </w:rPr>
      </w:pPr>
      <w:bookmarkStart w:name="_TOC_250010" w:id="3"/>
      <w:r>
        <w:rPr/>
        <w:t>第三节公司业务概要</w:t>
      </w:r>
      <w:bookmarkEnd w:id="3"/>
      <w:r>
        <w:rPr>
          <w:b w:val="0"/>
          <w:bCs w:val="0"/>
        </w:rPr>
      </w:r>
    </w:p>
    <w:p>
      <w:pPr>
        <w:spacing w:line="240" w:lineRule="auto" w:before="11"/>
        <w:rPr>
          <w:rFonts w:ascii="宋体" w:hAnsi="宋体" w:cs="宋体" w:eastAsia="宋体" w:hint="default"/>
          <w:b/>
          <w:bCs/>
          <w:sz w:val="38"/>
          <w:szCs w:val="38"/>
        </w:rPr>
      </w:pPr>
    </w:p>
    <w:p>
      <w:pPr>
        <w:pStyle w:val="Heading2"/>
        <w:spacing w:line="240" w:lineRule="auto"/>
        <w:ind w:right="0"/>
        <w:jc w:val="both"/>
        <w:rPr>
          <w:b w:val="0"/>
          <w:bCs w:val="0"/>
        </w:rPr>
      </w:pPr>
      <w:r>
        <w:rPr/>
        <w:t>一、报告期内公司从事的主要业务</w:t>
      </w:r>
      <w:r>
        <w:rPr>
          <w:b w:val="0"/>
          <w:bCs w:val="0"/>
        </w:rPr>
      </w:r>
    </w:p>
    <w:p>
      <w:pPr>
        <w:spacing w:line="240" w:lineRule="auto" w:before="6"/>
        <w:rPr>
          <w:rFonts w:ascii="宋体" w:hAnsi="宋体" w:cs="宋体" w:eastAsia="宋体" w:hint="default"/>
          <w:b/>
          <w:bCs/>
          <w:sz w:val="32"/>
          <w:szCs w:val="32"/>
        </w:rPr>
      </w:pPr>
    </w:p>
    <w:p>
      <w:pPr>
        <w:spacing w:line="477" w:lineRule="auto" w:before="0"/>
        <w:ind w:left="646" w:right="1129" w:firstLine="0"/>
        <w:jc w:val="left"/>
        <w:rPr>
          <w:rFonts w:ascii="宋体" w:hAnsi="宋体" w:cs="宋体" w:eastAsia="宋体" w:hint="default"/>
          <w:sz w:val="18"/>
          <w:szCs w:val="18"/>
        </w:rPr>
      </w:pPr>
      <w:r>
        <w:rPr>
          <w:rFonts w:ascii="宋体" w:hAnsi="宋体" w:cs="宋体" w:eastAsia="宋体" w:hint="default"/>
          <w:b/>
          <w:bCs/>
          <w:sz w:val="18"/>
          <w:szCs w:val="18"/>
        </w:rPr>
        <w:t>（一）公司主要业务</w:t>
      </w:r>
      <w:r>
        <w:rPr>
          <w:rFonts w:ascii="宋体" w:hAnsi="宋体" w:cs="宋体" w:eastAsia="宋体" w:hint="default"/>
          <w:b/>
          <w:bCs/>
          <w:w w:val="99"/>
          <w:sz w:val="18"/>
          <w:szCs w:val="18"/>
        </w:rPr>
        <w:t> </w:t>
      </w:r>
      <w:r>
        <w:rPr>
          <w:rFonts w:ascii="宋体" w:hAnsi="宋体" w:cs="宋体" w:eastAsia="宋体" w:hint="default"/>
          <w:spacing w:val="-1"/>
          <w:sz w:val="18"/>
          <w:szCs w:val="18"/>
        </w:rPr>
        <w:t>安妮股份是一家以互联网应用和服务为主要领域和方向的综合企业集团，报告期内，公司主要业务为版权综合服务和</w:t>
      </w:r>
    </w:p>
    <w:p>
      <w:pPr>
        <w:spacing w:before="54"/>
        <w:ind w:left="154" w:right="0" w:firstLine="0"/>
        <w:jc w:val="both"/>
        <w:rPr>
          <w:rFonts w:ascii="宋体" w:hAnsi="宋体" w:cs="宋体" w:eastAsia="宋体" w:hint="default"/>
          <w:sz w:val="18"/>
          <w:szCs w:val="18"/>
        </w:rPr>
      </w:pPr>
      <w:r>
        <w:rPr>
          <w:rFonts w:ascii="宋体" w:hAnsi="宋体" w:cs="宋体" w:eastAsia="宋体" w:hint="default"/>
          <w:sz w:val="18"/>
          <w:szCs w:val="18"/>
        </w:rPr>
        <w:t>商务信息用纸服务。 </w:t>
      </w:r>
    </w:p>
    <w:p>
      <w:pPr>
        <w:spacing w:line="240" w:lineRule="auto" w:before="10"/>
        <w:rPr>
          <w:rFonts w:ascii="宋体" w:hAnsi="宋体" w:cs="宋体" w:eastAsia="宋体" w:hint="default"/>
          <w:sz w:val="17"/>
          <w:szCs w:val="17"/>
        </w:rPr>
      </w:pPr>
    </w:p>
    <w:p>
      <w:pPr>
        <w:spacing w:line="477" w:lineRule="auto" w:before="0"/>
        <w:ind w:left="646" w:right="1129" w:firstLine="50"/>
        <w:jc w:val="left"/>
        <w:rPr>
          <w:rFonts w:ascii="宋体" w:hAnsi="宋体" w:cs="宋体" w:eastAsia="宋体" w:hint="default"/>
          <w:sz w:val="18"/>
          <w:szCs w:val="18"/>
        </w:rPr>
      </w:pPr>
      <w:r>
        <w:rPr>
          <w:rFonts w:ascii="宋体" w:hAnsi="宋体" w:cs="宋体" w:eastAsia="宋体" w:hint="default"/>
          <w:b/>
          <w:bCs/>
          <w:sz w:val="18"/>
          <w:szCs w:val="18"/>
        </w:rPr>
        <w:t>1、版权综合服务</w:t>
      </w:r>
      <w:r>
        <w:rPr>
          <w:rFonts w:ascii="宋体" w:hAnsi="宋体" w:cs="宋体" w:eastAsia="宋体" w:hint="default"/>
          <w:b/>
          <w:bCs/>
          <w:spacing w:val="1"/>
          <w:w w:val="99"/>
          <w:sz w:val="18"/>
          <w:szCs w:val="18"/>
        </w:rPr>
        <w:t> </w:t>
      </w:r>
      <w:r>
        <w:rPr>
          <w:rFonts w:ascii="宋体" w:hAnsi="宋体" w:cs="宋体" w:eastAsia="宋体" w:hint="default"/>
          <w:spacing w:val="-1"/>
          <w:sz w:val="18"/>
          <w:szCs w:val="18"/>
        </w:rPr>
        <w:t>公司以“让版权实现更大价值”为使命，以成为世界上最大的版权服务商为愿景，以顾客思维为基础，提出了“创作</w:t>
      </w:r>
    </w:p>
    <w:p>
      <w:pPr>
        <w:spacing w:line="477" w:lineRule="auto" w:before="54"/>
        <w:ind w:left="154" w:right="1128" w:firstLine="0"/>
        <w:jc w:val="both"/>
        <w:rPr>
          <w:rFonts w:ascii="宋体" w:hAnsi="宋体" w:cs="宋体" w:eastAsia="宋体" w:hint="default"/>
          <w:sz w:val="18"/>
          <w:szCs w:val="18"/>
        </w:rPr>
      </w:pPr>
      <w:r>
        <w:rPr>
          <w:rFonts w:ascii="宋体" w:hAnsi="宋体" w:cs="宋体" w:eastAsia="宋体" w:hint="default"/>
          <w:sz w:val="18"/>
          <w:szCs w:val="18"/>
        </w:rPr>
        <w:t>即确权、使用即授权、发现即维权”的核心蓝图产品思路，开发出了以人工智能（A）、区块链（B）、云计算（C）、大数</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据（D）为技术底层，提供确权、授权、维权、信息服务、资产管理、金融化六项服务的“版权家”版权综合服务平台，为</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权利人提供全面的版权服务，即从版权内容诞生到版权内容变现的全方位全价值链服务。 </w:t>
      </w:r>
    </w:p>
    <w:p>
      <w:pPr>
        <w:spacing w:line="477" w:lineRule="auto" w:before="54"/>
        <w:ind w:left="646" w:right="0" w:hanging="492"/>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b/>
          <w:bCs/>
          <w:sz w:val="18"/>
          <w:szCs w:val="18"/>
        </w:rPr>
        <w:t>2、商务信息用纸服务</w:t>
      </w:r>
      <w:r>
        <w:rPr>
          <w:rFonts w:ascii="宋体" w:hAnsi="宋体" w:cs="宋体" w:eastAsia="宋体" w:hint="default"/>
          <w:b/>
          <w:bCs/>
          <w:w w:val="99"/>
          <w:sz w:val="18"/>
          <w:szCs w:val="18"/>
        </w:rPr>
        <w:t> </w:t>
      </w:r>
      <w:r>
        <w:rPr>
          <w:rFonts w:ascii="宋体" w:hAnsi="宋体" w:cs="宋体" w:eastAsia="宋体" w:hint="default"/>
          <w:spacing w:val="-1"/>
          <w:sz w:val="18"/>
          <w:szCs w:val="18"/>
        </w:rPr>
        <w:t>公司以客户需求为导向，为客户提供以标签为主的商用定制产品，以复印纸、热敏纸为主的办公用纸产品以及为国家</w:t>
      </w:r>
    </w:p>
    <w:p>
      <w:pPr>
        <w:spacing w:line="477" w:lineRule="auto" w:before="54"/>
        <w:ind w:left="154" w:right="1129" w:firstLine="0"/>
        <w:jc w:val="both"/>
        <w:rPr>
          <w:rFonts w:ascii="宋体" w:hAnsi="宋体" w:cs="宋体" w:eastAsia="宋体" w:hint="default"/>
          <w:sz w:val="18"/>
          <w:szCs w:val="18"/>
        </w:rPr>
      </w:pPr>
      <w:r>
        <w:rPr>
          <w:rFonts w:ascii="宋体" w:hAnsi="宋体" w:cs="宋体" w:eastAsia="宋体" w:hint="default"/>
          <w:spacing w:val="-2"/>
          <w:sz w:val="18"/>
          <w:szCs w:val="18"/>
        </w:rPr>
        <w:t>彩票中心提供产品制造供应与服务。公司经过20余年的耕耘与产品经验积累，已经形成了良好的产品口碑及品牌效应，在与</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各大客户保持着长期稳定的合作关系的同时，积极开发新技术，通过一体化生产体系，为客户提供定制化服务，并提供多系</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列产品、技术及整体解决方案，不断提升公司的产品品质和服务品质。 </w:t>
      </w:r>
    </w:p>
    <w:p>
      <w:pPr>
        <w:spacing w:line="477" w:lineRule="auto" w:before="54"/>
        <w:ind w:left="154" w:right="1028" w:firstLine="492"/>
        <w:jc w:val="left"/>
        <w:rPr>
          <w:rFonts w:ascii="宋体" w:hAnsi="宋体" w:cs="宋体" w:eastAsia="宋体" w:hint="default"/>
          <w:sz w:val="18"/>
          <w:szCs w:val="18"/>
        </w:rPr>
      </w:pPr>
      <w:r>
        <w:rPr>
          <w:rFonts w:ascii="宋体" w:hAnsi="宋体" w:cs="宋体" w:eastAsia="宋体" w:hint="default"/>
          <w:spacing w:val="-4"/>
          <w:sz w:val="18"/>
          <w:szCs w:val="18"/>
        </w:rPr>
        <w:t>报告期内，公司的标签业务主要的产品范围为汽车润滑油标签、日化产品标签、电子标签等，主要客户覆盖了BP、RIO、</w:t>
      </w:r>
      <w:r>
        <w:rPr>
          <w:rFonts w:ascii="宋体" w:hAnsi="宋体" w:cs="宋体" w:eastAsia="宋体" w:hint="default"/>
          <w:sz w:val="18"/>
          <w:szCs w:val="18"/>
        </w:rPr>
        <w:t> </w:t>
      </w:r>
      <w:r>
        <w:rPr>
          <w:rFonts w:ascii="宋体" w:hAnsi="宋体" w:cs="宋体" w:eastAsia="宋体" w:hint="default"/>
          <w:spacing w:val="-2"/>
          <w:sz w:val="18"/>
          <w:szCs w:val="18"/>
        </w:rPr>
        <w:t>固特异轮胎、BOSCH、TOTAL、中石油、SK、龙蟠、固特异、高露洁、胜牌、福斯、比亚迪等。公司通过引入精益生产管理系</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2"/>
          <w:sz w:val="18"/>
          <w:szCs w:val="18"/>
        </w:rPr>
        <w:t>统提升生产效率和产品质量，通过技术创新针对性解决客户的痛点（如外观设计年轻化的需求、防伪溯源的需求、抵御极端</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5"/>
          <w:sz w:val="18"/>
          <w:szCs w:val="18"/>
        </w:rPr>
        <w:t>环境条件的需求等），赢得了各行业客户的赞赏，为未来持续的市场开拓打下坚实的基础。同时，公司也积极响应政府的“绿</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水青山就是金山银山”的号召，通过节约生产办公能源消耗、废弃物无害化处理及生产资料回收再利用等方式，积极提升生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产过程中的环保水平。 </w:t>
      </w:r>
    </w:p>
    <w:p>
      <w:pPr>
        <w:spacing w:line="477" w:lineRule="auto" w:before="54"/>
        <w:ind w:left="646" w:right="0" w:hanging="131"/>
        <w:jc w:val="left"/>
        <w:rPr>
          <w:rFonts w:ascii="宋体" w:hAnsi="宋体" w:cs="宋体" w:eastAsia="宋体" w:hint="default"/>
          <w:sz w:val="18"/>
          <w:szCs w:val="18"/>
        </w:rPr>
      </w:pPr>
      <w:r>
        <w:rPr>
          <w:rFonts w:ascii="宋体" w:hAnsi="宋体" w:cs="宋体" w:eastAsia="宋体" w:hint="default"/>
          <w:b/>
          <w:bCs/>
          <w:sz w:val="18"/>
          <w:szCs w:val="18"/>
        </w:rPr>
        <w:t>（二）版权行业发展介绍</w:t>
      </w:r>
      <w:r>
        <w:rPr>
          <w:rFonts w:ascii="宋体" w:hAnsi="宋体" w:cs="宋体" w:eastAsia="宋体" w:hint="default"/>
          <w:b/>
          <w:bCs/>
          <w:w w:val="99"/>
          <w:sz w:val="18"/>
          <w:szCs w:val="18"/>
        </w:rPr>
        <w:t> </w:t>
      </w:r>
      <w:r>
        <w:rPr>
          <w:rFonts w:ascii="宋体" w:hAnsi="宋体" w:cs="宋体" w:eastAsia="宋体" w:hint="default"/>
          <w:spacing w:val="-1"/>
          <w:sz w:val="18"/>
          <w:szCs w:val="18"/>
        </w:rPr>
        <w:t>版权行业是一个具有广泛覆盖面的历史悠久的行业，从中国古代四大发明之二的造纸术和印刷术发明之后，出版业开</w:t>
      </w:r>
    </w:p>
    <w:p>
      <w:pPr>
        <w:spacing w:line="477" w:lineRule="auto" w:before="54"/>
        <w:ind w:left="154" w:right="1041" w:firstLine="0"/>
        <w:jc w:val="both"/>
        <w:rPr>
          <w:rFonts w:ascii="宋体" w:hAnsi="宋体" w:cs="宋体" w:eastAsia="宋体" w:hint="default"/>
          <w:sz w:val="18"/>
          <w:szCs w:val="18"/>
        </w:rPr>
      </w:pPr>
      <w:r>
        <w:rPr>
          <w:rFonts w:ascii="宋体" w:hAnsi="宋体" w:cs="宋体" w:eastAsia="宋体" w:hint="default"/>
          <w:spacing w:val="-2"/>
          <w:sz w:val="18"/>
          <w:szCs w:val="18"/>
        </w:rPr>
        <w:t>始普及，书籍生产成本大幅度降低，逐渐成为一种都市商品，从唐代开始就发现了盗版现象。为了保护自身利益，出版商开</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始寻求有别于普通财产的特殊保护。宋代程念人在其刻印的《东都市略》目录后有长方牌记云：“眉山程念人宅刊行，已申</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上司，不许复版”，表明了出版商力图独占著作权益的诉求，标志着中国版权意识的萌芽。但是在一千多年前的宋代，这种</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4"/>
          <w:sz w:val="18"/>
          <w:szCs w:val="18"/>
        </w:rPr>
        <w:t>对版权保护申请的许可只是属于官府的行政庇护，非来自于制度性保护，而这种保护也只是处于个别的、局部的、区域性的，</w:t>
      </w:r>
    </w:p>
    <w:p>
      <w:pPr>
        <w:spacing w:after="0" w:line="477" w:lineRule="auto"/>
        <w:jc w:val="both"/>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53" w:right="1128" w:firstLine="0"/>
        <w:jc w:val="both"/>
        <w:rPr>
          <w:rFonts w:ascii="宋体" w:hAnsi="宋体" w:cs="宋体" w:eastAsia="宋体" w:hint="default"/>
          <w:sz w:val="18"/>
          <w:szCs w:val="18"/>
        </w:rPr>
      </w:pPr>
      <w:r>
        <w:rPr>
          <w:rFonts w:ascii="宋体" w:hAnsi="宋体" w:cs="宋体" w:eastAsia="宋体" w:hint="default"/>
          <w:spacing w:val="-2"/>
          <w:sz w:val="18"/>
          <w:szCs w:val="18"/>
        </w:rPr>
        <w:t>难以进行大规模推广，因此中国古代的版权产业发展相对缓慢。而反观西方，1710年英国议会通过了被公认为“世界上第一</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部版权法”的《安妮法案》，成为版权产业发展的重要里程碑。该法案的全称是《于法定期间授予被印图书原稿之作者或购</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买者复制原稿权益促进知识之法》，已经隐含了现代《著作权法》的基本元素。《安妮法案》之后的近两个世纪，版权保护</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的理念经过几代出版人不断的完善和细化，也基本形成了国际通行的《保护文学和艺术作品伯尔尼公约》，该公约奉行“国</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民待遇原则”、“自动保护原则”、“独立保护原则”和“最低保护限度原则”，在四项原则下，保护缔约国国民的或在缔</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约国内首次发表的一切文学艺术作品的精神权利和经济权利。在经过了历时近百年的多次增补和修订后，《伯尔尼公约》的</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实体条文于1971年获得绝大多数成员国的批准，标志着国际版权保护体系的初步形成。1992年10月，中国成为该公约的成员</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国。 </w:t>
      </w:r>
    </w:p>
    <w:p>
      <w:pPr>
        <w:spacing w:line="477" w:lineRule="auto" w:before="54"/>
        <w:ind w:left="153" w:right="1041" w:firstLine="492"/>
        <w:jc w:val="both"/>
        <w:rPr>
          <w:rFonts w:ascii="宋体" w:hAnsi="宋体" w:cs="宋体" w:eastAsia="宋体" w:hint="default"/>
          <w:sz w:val="18"/>
          <w:szCs w:val="18"/>
        </w:rPr>
      </w:pPr>
      <w:r>
        <w:rPr>
          <w:rFonts w:ascii="宋体" w:hAnsi="宋体" w:cs="宋体" w:eastAsia="宋体" w:hint="default"/>
          <w:sz w:val="18"/>
          <w:szCs w:val="18"/>
        </w:rPr>
        <w:t>在2000年前后，随着互联网及IT技术的蓬勃发展，作品的表现形式日趋丰富，内容数字化成为必然的趋势，而对于数 字版权的保护也成为版权行业从业者面临的全新课题。其中的里程碑事件是美国于1998年宣布正式生效的《数字千年版权</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2"/>
          <w:sz w:val="18"/>
          <w:szCs w:val="18"/>
        </w:rPr>
        <w:t>法》，这一法案实现了“印刷版权-电子版权-网络版权”保护的制度创新，是美国为应对数字化时代的挑战和世界知识产权</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4"/>
          <w:sz w:val="18"/>
          <w:szCs w:val="18"/>
        </w:rPr>
        <w:t>组织的新规范而实施的重要法律，也针对数字技术和网络环境的特点，为全球数字版权的认证和保护提供了新的思考和范例。</w:t>
      </w:r>
    </w:p>
    <w:p>
      <w:pPr>
        <w:spacing w:line="477" w:lineRule="auto" w:before="54"/>
        <w:ind w:left="646" w:right="0" w:hanging="492"/>
        <w:jc w:val="left"/>
        <w:rPr>
          <w:rFonts w:ascii="宋体" w:hAnsi="宋体" w:cs="宋体" w:eastAsia="宋体" w:hint="default"/>
          <w:sz w:val="18"/>
          <w:szCs w:val="18"/>
        </w:rPr>
      </w:pPr>
      <w:r>
        <w:rPr>
          <w:rFonts w:ascii="宋体" w:hAnsi="宋体" w:cs="宋体" w:eastAsia="宋体" w:hint="default"/>
          <w:spacing w:val="-3"/>
          <w:sz w:val="18"/>
          <w:szCs w:val="18"/>
        </w:rPr>
        <w:t>《数字千年版权法》实施后的1998年到2015年，美国核心版权业产值复合增速达到了5.5%，2015年产值突破了1.2万亿美元。</w:t>
      </w:r>
      <w:r>
        <w:rPr>
          <w:rFonts w:ascii="宋体" w:hAnsi="宋体" w:cs="宋体" w:eastAsia="宋体" w:hint="default"/>
          <w:spacing w:val="-89"/>
          <w:sz w:val="18"/>
          <w:szCs w:val="18"/>
        </w:rPr>
        <w:t> </w:t>
      </w:r>
      <w:r>
        <w:rPr>
          <w:rFonts w:ascii="宋体" w:hAnsi="宋体" w:cs="宋体" w:eastAsia="宋体" w:hint="default"/>
          <w:sz w:val="18"/>
          <w:szCs w:val="18"/>
        </w:rPr>
        <w:t>回归到国内数字版权行业的发展。随着2001年中国加入WTO，逐步融入全球经济贸易体系，经济增长飞速发展。特别</w:t>
      </w:r>
    </w:p>
    <w:p>
      <w:pPr>
        <w:spacing w:line="477" w:lineRule="auto" w:before="54"/>
        <w:ind w:left="154" w:right="1128" w:firstLine="0"/>
        <w:jc w:val="both"/>
        <w:rPr>
          <w:rFonts w:ascii="宋体" w:hAnsi="宋体" w:cs="宋体" w:eastAsia="宋体" w:hint="default"/>
          <w:sz w:val="18"/>
          <w:szCs w:val="18"/>
        </w:rPr>
      </w:pPr>
      <w:r>
        <w:rPr>
          <w:rFonts w:ascii="宋体" w:hAnsi="宋体" w:cs="宋体" w:eastAsia="宋体" w:hint="default"/>
          <w:spacing w:val="-2"/>
          <w:sz w:val="18"/>
          <w:szCs w:val="18"/>
        </w:rPr>
        <w:t>是在2008年金融危机之后，以4G技术普遍应用为引领的移动互联时代在国内快速到来，网络数字版权成为版权行业里面越来</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越重要的一个分支。根据《中国网络版权产业发展报告（2019）》统计显示，2018年中国网络版权的市场规模突破了7400</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宋体" w:hAnsi="宋体" w:cs="宋体" w:eastAsia="宋体" w:hint="default"/>
          <w:spacing w:val="-2"/>
          <w:sz w:val="18"/>
          <w:szCs w:val="18"/>
        </w:rPr>
        <w:t>亿元人民币，同比增速为16.6%，从2013年至2018年的年复合增速达到了28%；而在产业细分结构方面，新闻、游戏和视频成</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为三大支柱，合计贡献了85%的份额，同时，直播、动漫和短视频的占比也逐步提高，产业结构日益多元化；更重要的是，</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从盈利模式上看，广告收入与用户付费的占比已经接近1:1，说明用户付费意识的觉醒，也为产业的发展，特别是优质内容</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的创作提供了更有利的生存环境。 </w:t>
      </w:r>
    </w:p>
    <w:p>
      <w:pPr>
        <w:spacing w:before="54"/>
        <w:ind w:left="646" w:right="0" w:firstLine="0"/>
        <w:jc w:val="left"/>
        <w:rPr>
          <w:rFonts w:ascii="宋体" w:hAnsi="宋体" w:cs="宋体" w:eastAsia="宋体" w:hint="default"/>
          <w:sz w:val="18"/>
          <w:szCs w:val="18"/>
        </w:rPr>
      </w:pPr>
      <w:r>
        <w:rPr>
          <w:rFonts w:ascii="宋体" w:hAnsi="宋体" w:cs="宋体" w:eastAsia="宋体" w:hint="default"/>
          <w:sz w:val="18"/>
          <w:szCs w:val="18"/>
        </w:rPr>
        <w:t>目前，数字版权产业的发展有以下几个鲜明的特点： </w:t>
      </w:r>
    </w:p>
    <w:p>
      <w:pPr>
        <w:spacing w:line="240" w:lineRule="auto" w:before="10"/>
        <w:rPr>
          <w:rFonts w:ascii="宋体" w:hAnsi="宋体" w:cs="宋体" w:eastAsia="宋体" w:hint="default"/>
          <w:sz w:val="17"/>
          <w:szCs w:val="17"/>
        </w:rPr>
      </w:pPr>
    </w:p>
    <w:p>
      <w:pPr>
        <w:spacing w:line="477" w:lineRule="auto" w:before="0"/>
        <w:ind w:left="574" w:right="1126" w:hanging="360"/>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31"/>
          <w:sz w:val="18"/>
          <w:szCs w:val="18"/>
        </w:rPr>
        <w:t> </w:t>
      </w:r>
      <w:r>
        <w:rPr>
          <w:rFonts w:ascii="宋体" w:hAnsi="宋体" w:cs="宋体" w:eastAsia="宋体" w:hint="default"/>
          <w:sz w:val="18"/>
          <w:szCs w:val="18"/>
        </w:rPr>
        <w:t>内容生产大众化——“人人都是创作者、人人都是版权人”，以手机和其他外设工具为代表的创作工具的普及、AI技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术的不断成熟以及内容消费需求的个性化趋势为基础，以各种创作平台/自媒体平台的蓬勃发展为环境，内容生产由原</w:t>
      </w:r>
      <w:r>
        <w:rPr>
          <w:rFonts w:ascii="宋体" w:hAnsi="宋体" w:cs="宋体" w:eastAsia="宋体" w:hint="default"/>
          <w:sz w:val="18"/>
          <w:szCs w:val="18"/>
        </w:rPr>
        <w:t> 来具有较高门槛的专业商业化行为逐渐变为低门槛的普通大众化行为，大量非职业创作人进入内容生产领域，如何为</w:t>
      </w:r>
      <w:r>
        <w:rPr>
          <w:rFonts w:ascii="宋体" w:hAnsi="宋体" w:cs="宋体" w:eastAsia="宋体" w:hint="default"/>
          <w:spacing w:val="1"/>
          <w:sz w:val="18"/>
          <w:szCs w:val="18"/>
        </w:rPr>
        <w:t> </w:t>
      </w:r>
      <w:r>
        <w:rPr>
          <w:rFonts w:ascii="宋体" w:hAnsi="宋体" w:cs="宋体" w:eastAsia="宋体" w:hint="default"/>
          <w:sz w:val="18"/>
          <w:szCs w:val="18"/>
        </w:rPr>
        <w:t>海量创作者提供优质高效的服务将会是未来行业所面临的课题，也会是最大的行业增长点。 </w:t>
      </w:r>
    </w:p>
    <w:p>
      <w:pPr>
        <w:spacing w:line="477" w:lineRule="auto" w:before="54"/>
        <w:ind w:left="574" w:right="0" w:hanging="360"/>
        <w:jc w:val="left"/>
        <w:rPr>
          <w:rFonts w:ascii="宋体" w:hAnsi="宋体" w:cs="宋体" w:eastAsia="宋体" w:hint="default"/>
          <w:sz w:val="18"/>
          <w:szCs w:val="18"/>
        </w:rPr>
      </w:pPr>
      <w:r>
        <w:rPr>
          <w:rFonts w:ascii="宋体" w:hAnsi="宋体" w:cs="宋体" w:eastAsia="宋体" w:hint="default"/>
          <w:sz w:val="18"/>
          <w:szCs w:val="18"/>
        </w:rPr>
        <w:t>· 版权服务智能化——随着人工智能、区块链、云计算、大数据等技术的日益成熟，逐渐成为版权产业改变的重要推动</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力量，在内容生产、分发、消费的各个环节发挥越来越大的作用。主要表现为智能化生产、算法化分发、个性化&amp;社交</w:t>
      </w:r>
      <w:r>
        <w:rPr>
          <w:rFonts w:ascii="宋体" w:hAnsi="宋体" w:cs="宋体" w:eastAsia="宋体" w:hint="default"/>
          <w:sz w:val="18"/>
          <w:szCs w:val="18"/>
        </w:rPr>
        <w:t> </w:t>
      </w:r>
      <w:r>
        <w:rPr>
          <w:rFonts w:ascii="宋体" w:hAnsi="宋体" w:cs="宋体" w:eastAsia="宋体" w:hint="default"/>
          <w:spacing w:val="-3"/>
          <w:sz w:val="18"/>
          <w:szCs w:val="18"/>
        </w:rPr>
        <w:t>化消费，三者首尾相扣形成完整的闭环，相互影响相互驱动；而以传统巨头BAT和新兴巨头字节跳动为代表的各大平台，</w:t>
      </w:r>
      <w:r>
        <w:rPr>
          <w:rFonts w:ascii="宋体" w:hAnsi="宋体" w:cs="宋体" w:eastAsia="宋体" w:hint="default"/>
          <w:sz w:val="18"/>
          <w:szCs w:val="18"/>
        </w:rPr>
        <w:t> 也在逐步构建内容新生态，如何利用技术提高服务的效率、扩大服务的范围成为从业者面临的新课题。 </w:t>
      </w:r>
    </w:p>
    <w:p>
      <w:pPr>
        <w:spacing w:before="54"/>
        <w:ind w:left="214" w:right="0" w:firstLine="0"/>
        <w:jc w:val="both"/>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3"/>
          <w:sz w:val="18"/>
          <w:szCs w:val="18"/>
        </w:rPr>
        <w:t> </w:t>
      </w:r>
      <w:r>
        <w:rPr>
          <w:rFonts w:ascii="宋体" w:hAnsi="宋体" w:cs="宋体" w:eastAsia="宋体" w:hint="default"/>
          <w:sz w:val="18"/>
          <w:szCs w:val="18"/>
        </w:rPr>
        <w:t>用户范围扩大化——随着移动互联网的高速发展，以微博、微信、抖音、快手等平台为代表的社交媒体快速壮大（微</w:t>
      </w:r>
    </w:p>
    <w:p>
      <w:pPr>
        <w:spacing w:after="0"/>
        <w:jc w:val="both"/>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574" w:right="1126" w:firstLine="0"/>
        <w:jc w:val="both"/>
        <w:rPr>
          <w:rFonts w:ascii="宋体" w:hAnsi="宋体" w:cs="宋体" w:eastAsia="宋体" w:hint="default"/>
          <w:sz w:val="18"/>
          <w:szCs w:val="18"/>
        </w:rPr>
      </w:pPr>
      <w:r>
        <w:rPr>
          <w:rFonts w:ascii="宋体" w:hAnsi="宋体" w:cs="宋体" w:eastAsia="宋体" w:hint="default"/>
          <w:spacing w:val="-1"/>
          <w:sz w:val="18"/>
          <w:szCs w:val="18"/>
        </w:rPr>
        <w:t>博平台MAU接近5亿，平均DAU超2亿；3500万微信公众号中活跃比例已达15%以上；抖音平台的DAU更是超过了4亿），这</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些庞大的用户催生了许多新兴的应用场景和服务，产业规模快速扩大，导致了对优质版权创作内容需求的激增，反向</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刺激了内容生产领域由小众专业市场向大众非专业市场的转变。 </w:t>
      </w:r>
    </w:p>
    <w:p>
      <w:pPr>
        <w:spacing w:line="477" w:lineRule="auto" w:before="54"/>
        <w:ind w:left="514" w:right="0" w:hanging="30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31"/>
          <w:sz w:val="18"/>
          <w:szCs w:val="18"/>
        </w:rPr>
        <w:t> </w:t>
      </w:r>
      <w:r>
        <w:rPr>
          <w:rFonts w:ascii="宋体" w:hAnsi="宋体" w:cs="宋体" w:eastAsia="宋体" w:hint="default"/>
          <w:sz w:val="18"/>
          <w:szCs w:val="18"/>
        </w:rPr>
        <w:t>版权保护规范化——随着中美贸易协定的逐步签署，知识产权成为其中最为引人关注的议题。而作为知识产权重要组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成部分的版权，国家的保护力度也在不断加大，始于2010年的“剑网行动”对网络侵权行为的打击日见成效，以《著</w:t>
      </w:r>
      <w:r>
        <w:rPr>
          <w:rFonts w:ascii="宋体" w:hAnsi="宋体" w:cs="宋体" w:eastAsia="宋体" w:hint="default"/>
          <w:spacing w:val="1"/>
          <w:sz w:val="18"/>
          <w:szCs w:val="18"/>
        </w:rPr>
        <w:t> </w:t>
      </w:r>
      <w:r>
        <w:rPr>
          <w:rFonts w:ascii="宋体" w:hAnsi="宋体" w:cs="宋体" w:eastAsia="宋体" w:hint="default"/>
          <w:sz w:val="18"/>
          <w:szCs w:val="18"/>
        </w:rPr>
        <w:t>作权法》为代表的相关法律不断完善。而公众版权意识的不断加强，也是版权产业不断壮大的核心推动力。在2019年</w:t>
      </w:r>
      <w:r>
        <w:rPr>
          <w:rFonts w:ascii="宋体" w:hAnsi="宋体" w:cs="宋体" w:eastAsia="宋体" w:hint="default"/>
          <w:sz w:val="18"/>
          <w:szCs w:val="18"/>
        </w:rPr>
        <w:t> 的《政府工作报告》中，总理提到“全面加强知识产权保护，健全知识产权侵权惩罚性赔偿制度，促进发明创造的转</w:t>
      </w:r>
      <w:r>
        <w:rPr>
          <w:rFonts w:ascii="宋体" w:hAnsi="宋体" w:cs="宋体" w:eastAsia="宋体" w:hint="default"/>
          <w:spacing w:val="1"/>
          <w:sz w:val="18"/>
          <w:szCs w:val="18"/>
        </w:rPr>
        <w:t> </w:t>
      </w:r>
      <w:r>
        <w:rPr>
          <w:rFonts w:ascii="宋体" w:hAnsi="宋体" w:cs="宋体" w:eastAsia="宋体" w:hint="default"/>
          <w:sz w:val="18"/>
          <w:szCs w:val="18"/>
        </w:rPr>
        <w:t>化运用”；而中共中央在印发的《深化党和国家机构改革方案》中，决定由中央宣传部统一管理版权工作。这一系列</w:t>
      </w:r>
      <w:r>
        <w:rPr>
          <w:rFonts w:ascii="宋体" w:hAnsi="宋体" w:cs="宋体" w:eastAsia="宋体" w:hint="default"/>
          <w:spacing w:val="1"/>
          <w:sz w:val="18"/>
          <w:szCs w:val="18"/>
        </w:rPr>
        <w:t> </w:t>
      </w:r>
      <w:r>
        <w:rPr>
          <w:rFonts w:ascii="宋体" w:hAnsi="宋体" w:cs="宋体" w:eastAsia="宋体" w:hint="default"/>
          <w:sz w:val="18"/>
          <w:szCs w:val="18"/>
        </w:rPr>
        <w:t>的措施，无不体现了党和国家对知识产权保护工作的高度重视，这也为版权产业的发展提供了新契机。 </w:t>
      </w:r>
      <w:r>
        <w:rPr>
          <w:rFonts w:ascii="宋体" w:hAnsi="宋体" w:cs="宋体" w:eastAsia="宋体" w:hint="default"/>
          <w:spacing w:val="-2"/>
          <w:sz w:val="18"/>
          <w:szCs w:val="18"/>
        </w:rPr>
        <w:t>“内容生产大众化、版权服务智能化、用户范围扩大化、版权保护规范化”等趋势，推动版权行业高速发展，而中国的</w:t>
      </w:r>
    </w:p>
    <w:p>
      <w:pPr>
        <w:spacing w:before="54"/>
        <w:ind w:left="154" w:right="0" w:firstLine="0"/>
        <w:jc w:val="left"/>
        <w:rPr>
          <w:rFonts w:ascii="宋体" w:hAnsi="宋体" w:cs="宋体" w:eastAsia="宋体" w:hint="default"/>
          <w:sz w:val="18"/>
          <w:szCs w:val="18"/>
        </w:rPr>
      </w:pPr>
      <w:r>
        <w:rPr>
          <w:rFonts w:ascii="宋体" w:hAnsi="宋体" w:cs="宋体" w:eastAsia="宋体" w:hint="default"/>
          <w:sz w:val="18"/>
          <w:szCs w:val="18"/>
        </w:rPr>
        <w:t>数字版权产业，也在展现出五大新气象： </w:t>
      </w:r>
    </w:p>
    <w:p>
      <w:pPr>
        <w:spacing w:line="240" w:lineRule="auto" w:before="10"/>
        <w:rPr>
          <w:rFonts w:ascii="宋体" w:hAnsi="宋体" w:cs="宋体" w:eastAsia="宋体" w:hint="default"/>
          <w:sz w:val="17"/>
          <w:szCs w:val="17"/>
        </w:rPr>
      </w:pPr>
    </w:p>
    <w:p>
      <w:pPr>
        <w:spacing w:before="0"/>
        <w:ind w:left="514" w:right="0" w:firstLine="0"/>
        <w:jc w:val="both"/>
        <w:rPr>
          <w:rFonts w:ascii="宋体" w:hAnsi="宋体" w:cs="宋体" w:eastAsia="宋体" w:hint="default"/>
          <w:sz w:val="18"/>
          <w:szCs w:val="18"/>
        </w:rPr>
      </w:pPr>
      <w:r>
        <w:rPr>
          <w:rFonts w:ascii="宋体" w:hAnsi="宋体" w:cs="宋体" w:eastAsia="宋体" w:hint="default"/>
          <w:sz w:val="18"/>
          <w:szCs w:val="18"/>
        </w:rPr>
        <w:t>（1）主动承担社会责任、反映社会现实生活； </w:t>
      </w:r>
    </w:p>
    <w:p>
      <w:pPr>
        <w:spacing w:line="240" w:lineRule="auto" w:before="10"/>
        <w:rPr>
          <w:rFonts w:ascii="宋体" w:hAnsi="宋体" w:cs="宋体" w:eastAsia="宋体" w:hint="default"/>
          <w:sz w:val="17"/>
          <w:szCs w:val="17"/>
        </w:rPr>
      </w:pPr>
    </w:p>
    <w:p>
      <w:pPr>
        <w:spacing w:before="0"/>
        <w:ind w:left="514" w:right="0" w:firstLine="0"/>
        <w:jc w:val="both"/>
        <w:rPr>
          <w:rFonts w:ascii="宋体" w:hAnsi="宋体" w:cs="宋体" w:eastAsia="宋体" w:hint="default"/>
          <w:sz w:val="18"/>
          <w:szCs w:val="18"/>
        </w:rPr>
      </w:pPr>
      <w:r>
        <w:rPr>
          <w:rFonts w:ascii="宋体" w:hAnsi="宋体" w:cs="宋体" w:eastAsia="宋体" w:hint="default"/>
          <w:sz w:val="18"/>
          <w:szCs w:val="18"/>
        </w:rPr>
        <w:t>（2）用户版权意识提高、付费意愿逐步增强； </w:t>
      </w:r>
    </w:p>
    <w:p>
      <w:pPr>
        <w:spacing w:line="240" w:lineRule="auto" w:before="10"/>
        <w:rPr>
          <w:rFonts w:ascii="宋体" w:hAnsi="宋体" w:cs="宋体" w:eastAsia="宋体" w:hint="default"/>
          <w:sz w:val="17"/>
          <w:szCs w:val="17"/>
        </w:rPr>
      </w:pPr>
    </w:p>
    <w:p>
      <w:pPr>
        <w:spacing w:before="0"/>
        <w:ind w:left="514" w:right="0" w:firstLine="0"/>
        <w:jc w:val="both"/>
        <w:rPr>
          <w:rFonts w:ascii="宋体" w:hAnsi="宋体" w:cs="宋体" w:eastAsia="宋体" w:hint="default"/>
          <w:sz w:val="18"/>
          <w:szCs w:val="18"/>
        </w:rPr>
      </w:pPr>
      <w:r>
        <w:rPr>
          <w:rFonts w:ascii="宋体" w:hAnsi="宋体" w:cs="宋体" w:eastAsia="宋体" w:hint="default"/>
          <w:sz w:val="18"/>
          <w:szCs w:val="18"/>
        </w:rPr>
        <w:t>（3）版权产业跨界融合、产业生态不断创新； </w:t>
      </w:r>
    </w:p>
    <w:p>
      <w:pPr>
        <w:spacing w:line="240" w:lineRule="auto" w:before="10"/>
        <w:rPr>
          <w:rFonts w:ascii="宋体" w:hAnsi="宋体" w:cs="宋体" w:eastAsia="宋体" w:hint="default"/>
          <w:sz w:val="17"/>
          <w:szCs w:val="17"/>
        </w:rPr>
      </w:pPr>
    </w:p>
    <w:p>
      <w:pPr>
        <w:spacing w:before="0"/>
        <w:ind w:left="514" w:right="0" w:firstLine="0"/>
        <w:jc w:val="both"/>
        <w:rPr>
          <w:rFonts w:ascii="宋体" w:hAnsi="宋体" w:cs="宋体" w:eastAsia="宋体" w:hint="default"/>
          <w:sz w:val="18"/>
          <w:szCs w:val="18"/>
        </w:rPr>
      </w:pPr>
      <w:r>
        <w:rPr>
          <w:rFonts w:ascii="宋体" w:hAnsi="宋体" w:cs="宋体" w:eastAsia="宋体" w:hint="default"/>
          <w:sz w:val="18"/>
          <w:szCs w:val="18"/>
        </w:rPr>
        <w:t>（4）创作形式持续创新、技术推动产业发展； </w:t>
      </w:r>
    </w:p>
    <w:p>
      <w:pPr>
        <w:spacing w:line="240" w:lineRule="auto" w:before="10"/>
        <w:rPr>
          <w:rFonts w:ascii="宋体" w:hAnsi="宋体" w:cs="宋体" w:eastAsia="宋体" w:hint="default"/>
          <w:sz w:val="17"/>
          <w:szCs w:val="17"/>
        </w:rPr>
      </w:pPr>
    </w:p>
    <w:p>
      <w:pPr>
        <w:spacing w:line="477" w:lineRule="auto"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（5）海外布局力度加大、原创文化国际认可。 </w:t>
      </w:r>
      <w:r>
        <w:rPr>
          <w:rFonts w:ascii="宋体" w:hAnsi="宋体" w:cs="宋体" w:eastAsia="宋体" w:hint="default"/>
          <w:spacing w:val="-2"/>
          <w:sz w:val="18"/>
          <w:szCs w:val="18"/>
        </w:rPr>
        <w:t>数字版权行业的高速发展壮大，为公司核心主营业务的增长提供了广阔的空间，公司将迎来高速发展的历史机遇期。公</w:t>
      </w:r>
    </w:p>
    <w:p>
      <w:pPr>
        <w:spacing w:line="477" w:lineRule="auto" w:before="54"/>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司将坚持以“让版权实现更大价值”为使命，以成为世界上最大的版权服务商为愿景，向内潜心修炼内功、向外积极拓展客</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户，通过不断强化以“版权家”为核心的对应不同业务品类的小生态，构建版权服务的大生态。 </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052"/>
        <w:gridCol w:w="6516"/>
      </w:tblGrid>
      <w:tr>
        <w:trPr>
          <w:trHeight w:val="186" w:hRule="exact"/>
        </w:trPr>
        <w:tc>
          <w:tcPr>
            <w:tcW w:w="3052" w:type="dxa"/>
            <w:tcBorders>
              <w:top w:val="single" w:sz="4" w:space="0" w:color="000000"/>
              <w:left w:val="single" w:sz="4" w:space="0" w:color="000000"/>
              <w:bottom w:val="nil" w:sz="6" w:space="0" w:color="auto"/>
              <w:right w:val="single" w:sz="4" w:space="0" w:color="000000"/>
            </w:tcBorders>
            <w:shd w:val="clear" w:color="auto" w:fill="D3D3D3"/>
          </w:tcPr>
          <w:p>
            <w:pPr/>
          </w:p>
        </w:tc>
        <w:tc>
          <w:tcPr>
            <w:tcW w:w="6516"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392" w:hRule="exact"/>
        </w:trPr>
        <w:tc>
          <w:tcPr>
            <w:tcW w:w="305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52" w:type="dxa"/>
            <w:tcBorders>
              <w:top w:val="nil" w:sz="6" w:space="0" w:color="auto"/>
              <w:left w:val="single" w:sz="4" w:space="0" w:color="000000"/>
              <w:bottom w:val="single" w:sz="4" w:space="0" w:color="000000"/>
              <w:right w:val="single" w:sz="4" w:space="0" w:color="000000"/>
            </w:tcBorders>
            <w:shd w:val="clear" w:color="auto" w:fill="D3D3D3"/>
          </w:tcPr>
          <w:p>
            <w:pPr/>
          </w:p>
        </w:tc>
        <w:tc>
          <w:tcPr>
            <w:tcW w:w="6516" w:type="dxa"/>
            <w:tcBorders>
              <w:top w:val="nil" w:sz="6" w:space="0" w:color="auto"/>
              <w:left w:val="single" w:sz="4" w:space="0" w:color="000000"/>
              <w:bottom w:val="single" w:sz="4" w:space="0" w:color="000000"/>
              <w:right w:val="single" w:sz="4" w:space="0" w:color="000000"/>
            </w:tcBorders>
            <w:shd w:val="clear" w:color="auto" w:fill="D3D3D3"/>
          </w:tcPr>
          <w:p>
            <w:pPr/>
          </w:p>
        </w:tc>
      </w:tr>
      <w:tr>
        <w:trPr>
          <w:trHeight w:val="317" w:hRule="exact"/>
        </w:trPr>
        <w:tc>
          <w:tcPr>
            <w:tcW w:w="3052" w:type="dxa"/>
            <w:tcBorders>
              <w:top w:val="single" w:sz="4" w:space="0" w:color="000000"/>
              <w:left w:val="single" w:sz="4" w:space="0" w:color="000000"/>
              <w:bottom w:val="nil" w:sz="6" w:space="0" w:color="auto"/>
              <w:right w:val="single" w:sz="4" w:space="0" w:color="000000"/>
            </w:tcBorders>
            <w:shd w:val="clear" w:color="auto" w:fill="D3D3D3"/>
          </w:tcPr>
          <w:p>
            <w:pPr/>
          </w:p>
        </w:tc>
        <w:tc>
          <w:tcPr>
            <w:tcW w:w="6516" w:type="dxa"/>
            <w:vMerge w:val="restart"/>
            <w:tcBorders>
              <w:top w:val="single" w:sz="4" w:space="0" w:color="000000"/>
              <w:left w:val="single" w:sz="4" w:space="0" w:color="000000"/>
              <w:right w:val="single" w:sz="4" w:space="0" w:color="000000"/>
            </w:tcBorders>
          </w:tcPr>
          <w:p>
            <w:pPr>
              <w:pStyle w:val="TableParagraph"/>
              <w:spacing w:line="309" w:lineRule="auto" w:before="51"/>
              <w:ind w:left="22" w:right="19"/>
              <w:jc w:val="both"/>
              <w:rPr>
                <w:rFonts w:ascii="宋体" w:hAnsi="宋体" w:cs="宋体" w:eastAsia="宋体" w:hint="default"/>
                <w:sz w:val="18"/>
                <w:szCs w:val="18"/>
              </w:rPr>
            </w:pPr>
            <w:r>
              <w:rPr>
                <w:rFonts w:ascii="宋体" w:hAnsi="宋体" w:cs="宋体" w:eastAsia="宋体" w:hint="default"/>
                <w:spacing w:val="-1"/>
                <w:sz w:val="18"/>
                <w:szCs w:val="18"/>
              </w:rPr>
              <w:t>投资设立厦门安妮文化产业开发有限公司，安妮版权创新发展科技（深圳）有限公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司，安妮创意设计服务（深圳）有限公司，参股</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设立厦门安普农食品有限公司 子公司。淘智惠设立子公司北京稿稿文化传播有限公司。</w:t>
            </w:r>
          </w:p>
        </w:tc>
      </w:tr>
      <w:tr>
        <w:trPr>
          <w:trHeight w:val="392" w:hRule="exact"/>
        </w:trPr>
        <w:tc>
          <w:tcPr>
            <w:tcW w:w="305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6" w:type="dxa"/>
            <w:vMerge/>
            <w:tcBorders>
              <w:left w:val="single" w:sz="4" w:space="0" w:color="000000"/>
              <w:right w:val="single" w:sz="4" w:space="0" w:color="000000"/>
            </w:tcBorders>
          </w:tcPr>
          <w:p>
            <w:pPr/>
          </w:p>
        </w:tc>
      </w:tr>
      <w:tr>
        <w:trPr>
          <w:trHeight w:val="317" w:hRule="exact"/>
        </w:trPr>
        <w:tc>
          <w:tcPr>
            <w:tcW w:w="3052" w:type="dxa"/>
            <w:tcBorders>
              <w:top w:val="nil" w:sz="6" w:space="0" w:color="auto"/>
              <w:left w:val="single" w:sz="4" w:space="0" w:color="000000"/>
              <w:bottom w:val="single" w:sz="4" w:space="0" w:color="000000"/>
              <w:right w:val="single" w:sz="4" w:space="0" w:color="000000"/>
            </w:tcBorders>
            <w:shd w:val="clear" w:color="auto" w:fill="D3D3D3"/>
          </w:tcPr>
          <w:p>
            <w:pPr/>
          </w:p>
        </w:tc>
        <w:tc>
          <w:tcPr>
            <w:tcW w:w="6516" w:type="dxa"/>
            <w:vMerge/>
            <w:tcBorders>
              <w:left w:val="single" w:sz="4" w:space="0" w:color="000000"/>
              <w:bottom w:val="single" w:sz="4" w:space="0" w:color="000000"/>
              <w:right w:val="single" w:sz="4" w:space="0" w:color="000000"/>
            </w:tcBorders>
          </w:tcPr>
          <w:p>
            <w:pP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无变化</w:t>
            </w:r>
          </w:p>
        </w:tc>
      </w:tr>
    </w:tbl>
    <w:p>
      <w:pPr>
        <w:spacing w:after="0" w:line="240" w:lineRule="auto"/>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10"/>
        <w:rPr>
          <w:rFonts w:ascii="宋体" w:hAnsi="宋体" w:cs="宋体" w:eastAsia="宋体" w:hint="default"/>
          <w:b/>
          <w:bCs/>
          <w:sz w:val="24"/>
          <w:szCs w:val="24"/>
        </w:rPr>
      </w:pPr>
    </w:p>
    <w:p>
      <w:pPr>
        <w:pStyle w:val="Heading4"/>
        <w:spacing w:line="240" w:lineRule="auto" w:before="35"/>
        <w:ind w:right="0"/>
        <w:jc w:val="both"/>
        <w:rPr>
          <w:b w:val="0"/>
          <w:bCs w:val="0"/>
        </w:rPr>
      </w:pP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both"/>
        <w:rPr>
          <w:b w:val="0"/>
          <w:bCs w:val="0"/>
        </w:rPr>
      </w:pPr>
      <w:r>
        <w:rPr/>
        <w:t>三、核心竞争力分析</w:t>
      </w:r>
      <w:r>
        <w:rPr>
          <w:b w:val="0"/>
          <w:bCs w:val="0"/>
        </w:rPr>
      </w:r>
    </w:p>
    <w:p>
      <w:pPr>
        <w:spacing w:line="240" w:lineRule="auto" w:before="7"/>
        <w:rPr>
          <w:rFonts w:ascii="宋体" w:hAnsi="宋体" w:cs="宋体" w:eastAsia="宋体" w:hint="default"/>
          <w:b/>
          <w:bCs/>
          <w:sz w:val="32"/>
          <w:szCs w:val="32"/>
        </w:rPr>
      </w:pPr>
    </w:p>
    <w:p>
      <w:pPr>
        <w:spacing w:line="477" w:lineRule="auto" w:before="0"/>
        <w:ind w:left="514" w:right="1115" w:firstLine="0"/>
        <w:jc w:val="left"/>
        <w:rPr>
          <w:rFonts w:ascii="宋体" w:hAnsi="宋体" w:cs="宋体" w:eastAsia="宋体" w:hint="default"/>
          <w:sz w:val="18"/>
          <w:szCs w:val="18"/>
        </w:rPr>
      </w:pPr>
      <w:r>
        <w:rPr>
          <w:rFonts w:ascii="宋体" w:hAnsi="宋体" w:cs="宋体" w:eastAsia="宋体" w:hint="default"/>
          <w:sz w:val="18"/>
          <w:szCs w:val="18"/>
        </w:rPr>
        <w:t>1、完整的产品矩阵和业务体系 </w:t>
      </w:r>
      <w:r>
        <w:rPr>
          <w:rFonts w:ascii="宋体" w:hAnsi="宋体" w:cs="宋体" w:eastAsia="宋体" w:hint="default"/>
          <w:spacing w:val="-5"/>
          <w:sz w:val="18"/>
          <w:szCs w:val="18"/>
        </w:rPr>
        <w:t>公司在“版权家”版权综合服务平台的基础上，针对客户版权信息一站式搜索的需求痛点，开发了版权信息搜索引擎——</w:t>
      </w:r>
    </w:p>
    <w:p>
      <w:pPr>
        <w:spacing w:line="477" w:lineRule="auto" w:before="54"/>
        <w:ind w:left="153" w:right="1127" w:firstLine="0"/>
        <w:jc w:val="both"/>
        <w:rPr>
          <w:rFonts w:ascii="宋体" w:hAnsi="宋体" w:cs="宋体" w:eastAsia="宋体" w:hint="default"/>
          <w:sz w:val="18"/>
          <w:szCs w:val="18"/>
        </w:rPr>
      </w:pPr>
      <w:r>
        <w:rPr>
          <w:rFonts w:ascii="宋体" w:hAnsi="宋体" w:cs="宋体" w:eastAsia="宋体" w:hint="default"/>
          <w:spacing w:val="-2"/>
          <w:sz w:val="18"/>
          <w:szCs w:val="18"/>
        </w:rPr>
        <w:t>“版权百科”；针对不同品类客户的需求特性，开发了服务于各品类垂直市场的稿件交易平台——“稿稿平台”、歌曲交易</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平台——“华云音乐”、游戏交易平台——“就爱就玩”、剧本交易平台——“剧派网”、软件著作权/游戏版号登记平台</w:t>
      </w:r>
    </w:p>
    <w:p>
      <w:pPr>
        <w:spacing w:line="477" w:lineRule="auto" w:before="54"/>
        <w:ind w:left="153" w:right="1131" w:firstLine="0"/>
        <w:jc w:val="both"/>
        <w:rPr>
          <w:rFonts w:ascii="宋体" w:hAnsi="宋体" w:cs="宋体" w:eastAsia="宋体" w:hint="default"/>
          <w:sz w:val="18"/>
          <w:szCs w:val="18"/>
        </w:rPr>
      </w:pPr>
      <w:r>
        <w:rPr>
          <w:rFonts w:ascii="宋体" w:hAnsi="宋体" w:cs="宋体" w:eastAsia="宋体" w:hint="default"/>
          <w:spacing w:val="-2"/>
          <w:sz w:val="18"/>
          <w:szCs w:val="18"/>
        </w:rPr>
        <w:t>——“软游助手”；针对客户无法高效监测侵权行为的痛点，通过投资入股的方式，与版权监测维权平台——“图盾”通力</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合作，为客户提供实时的监测服务。构建了确权-授权-维权的一体化产品矩阵。 </w:t>
      </w:r>
    </w:p>
    <w:p>
      <w:pPr>
        <w:spacing w:line="477" w:lineRule="auto" w:before="54"/>
        <w:ind w:left="513" w:right="0" w:firstLine="0"/>
        <w:jc w:val="left"/>
        <w:rPr>
          <w:rFonts w:ascii="宋体" w:hAnsi="宋体" w:cs="宋体" w:eastAsia="宋体" w:hint="default"/>
          <w:sz w:val="18"/>
          <w:szCs w:val="18"/>
        </w:rPr>
      </w:pPr>
      <w:r>
        <w:rPr>
          <w:rFonts w:ascii="宋体" w:hAnsi="宋体" w:cs="宋体" w:eastAsia="宋体" w:hint="default"/>
          <w:sz w:val="18"/>
          <w:szCs w:val="18"/>
        </w:rPr>
        <w:t>2、技术及资源优势 </w:t>
      </w:r>
      <w:r>
        <w:rPr>
          <w:rFonts w:ascii="宋体" w:hAnsi="宋体" w:cs="宋体" w:eastAsia="宋体" w:hint="default"/>
          <w:spacing w:val="-4"/>
          <w:sz w:val="18"/>
          <w:szCs w:val="18"/>
        </w:rPr>
        <w:t>“版权家”版权综合服务平台应用人工智能、区块链、云计算、大数据等技术进行开发，为权利人提供全面的版权服务，</w:t>
      </w:r>
    </w:p>
    <w:p>
      <w:pPr>
        <w:spacing w:line="477" w:lineRule="auto" w:before="54"/>
        <w:ind w:left="153" w:right="1128" w:firstLine="0"/>
        <w:jc w:val="both"/>
        <w:rPr>
          <w:rFonts w:ascii="宋体" w:hAnsi="宋体" w:cs="宋体" w:eastAsia="宋体" w:hint="default"/>
          <w:sz w:val="18"/>
          <w:szCs w:val="18"/>
        </w:rPr>
      </w:pPr>
      <w:r>
        <w:rPr>
          <w:rFonts w:ascii="宋体" w:hAnsi="宋体" w:cs="宋体" w:eastAsia="宋体" w:hint="default"/>
          <w:spacing w:val="-2"/>
          <w:sz w:val="18"/>
          <w:szCs w:val="18"/>
        </w:rPr>
        <w:t>即从版权内容诞生到版权内容变现的全方位全价值链服务。公司的“版权家”系统基于区块链等技术深度开发，通过积极对</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接工信部电子技术标准研究院、IEEE等组织，积极参加区块链多项国际/国家/行业标准的拟定工作，并成为中国版权保护中</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心牵头发起的DCI标准联盟链首批12家成员单位之一。报告期内，公司成为首批获得区块链信息服务备案的机构之一，公司</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的“版权家可信存证系统”获得第三届中国区块链开发大赛的一等奖，由公司牵头并由中国区块链技术和产业发展论坛各单</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位参与编写的团体标准T/CESA1048-2018《区块链存证应用指南》成为入选“百项团体标准应用示范项目”的区块链领域唯</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一标准。 </w:t>
      </w:r>
    </w:p>
    <w:p>
      <w:pPr>
        <w:spacing w:line="477" w:lineRule="auto" w:before="54"/>
        <w:ind w:left="513" w:right="0" w:firstLine="0"/>
        <w:jc w:val="left"/>
        <w:rPr>
          <w:rFonts w:ascii="宋体" w:hAnsi="宋体" w:cs="宋体" w:eastAsia="宋体" w:hint="default"/>
          <w:sz w:val="18"/>
          <w:szCs w:val="18"/>
        </w:rPr>
      </w:pPr>
      <w:r>
        <w:rPr>
          <w:rFonts w:ascii="宋体" w:hAnsi="宋体" w:cs="宋体" w:eastAsia="宋体" w:hint="default"/>
          <w:sz w:val="18"/>
          <w:szCs w:val="18"/>
        </w:rPr>
        <w:t>3、客户资源优势 </w:t>
      </w:r>
      <w:r>
        <w:rPr>
          <w:rFonts w:ascii="宋体" w:hAnsi="宋体" w:cs="宋体" w:eastAsia="宋体" w:hint="default"/>
          <w:spacing w:val="-2"/>
          <w:sz w:val="18"/>
          <w:szCs w:val="18"/>
        </w:rPr>
        <w:t>公司与俄罗斯艾尔米塔什博物馆（冬宫）签订了关于其艺术品IP在中国区域内授权开发的业务协议，并通过自主研发及</w:t>
      </w:r>
    </w:p>
    <w:p>
      <w:pPr>
        <w:spacing w:line="477" w:lineRule="auto" w:before="54"/>
        <w:ind w:left="153" w:right="1131" w:firstLine="0"/>
        <w:jc w:val="both"/>
        <w:rPr>
          <w:rFonts w:ascii="宋体" w:hAnsi="宋体" w:cs="宋体" w:eastAsia="宋体" w:hint="default"/>
          <w:sz w:val="18"/>
          <w:szCs w:val="18"/>
        </w:rPr>
      </w:pPr>
      <w:r>
        <w:rPr>
          <w:rFonts w:ascii="宋体" w:hAnsi="宋体" w:cs="宋体" w:eastAsia="宋体" w:hint="default"/>
          <w:spacing w:val="-2"/>
          <w:sz w:val="18"/>
          <w:szCs w:val="18"/>
        </w:rPr>
        <w:t>外部授权合作的方式，深入挖掘艺术品IP的价值；公司与德国“红点设计博物馆“达成战略合作，旨在未来进行原创设计版</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权领域的深度合作；公司与腾讯课堂签订了版权服务协议，为其提供教育类视频的版权确权等综合服务；公司还与线装书局</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签订战略合作协议，为其丰富的线装书资源提供版权管理和侵权监测等服务。公司与深圳前海管理局达成合作，由公司和前</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海科创投牵头，共同发起设立了“版权创新研究院”，全面助力“国家版权创新发展基地”的建设。 </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before="44"/>
        <w:ind w:left="513" w:right="0" w:firstLine="0"/>
        <w:jc w:val="left"/>
        <w:rPr>
          <w:rFonts w:ascii="宋体" w:hAnsi="宋体" w:cs="宋体" w:eastAsia="宋体" w:hint="default"/>
          <w:sz w:val="18"/>
          <w:szCs w:val="18"/>
        </w:rPr>
      </w:pPr>
      <w:r>
        <w:rPr>
          <w:rFonts w:ascii="宋体"/>
          <w:sz w:val="18"/>
        </w:rPr>
        <w:t> </w:t>
      </w:r>
    </w:p>
    <w:p>
      <w:pPr>
        <w:spacing w:after="0"/>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046" w:right="0"/>
        <w:jc w:val="left"/>
        <w:rPr>
          <w:b w:val="0"/>
          <w:bCs w:val="0"/>
        </w:rPr>
      </w:pPr>
      <w:bookmarkStart w:name="_TOC_250009" w:id="4"/>
      <w:r>
        <w:rPr/>
        <w:t>第四节经营情况讨论与分析</w:t>
      </w:r>
      <w:bookmarkEnd w:id="4"/>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r>
        <w:rPr/>
        <w:t>一、概述</w:t>
      </w:r>
      <w:r>
        <w:rPr>
          <w:b w:val="0"/>
          <w:bCs w:val="0"/>
        </w:rPr>
      </w:r>
    </w:p>
    <w:p>
      <w:pPr>
        <w:spacing w:line="240" w:lineRule="auto" w:before="6"/>
        <w:rPr>
          <w:rFonts w:ascii="宋体" w:hAnsi="宋体" w:cs="宋体" w:eastAsia="宋体" w:hint="default"/>
          <w:b/>
          <w:bCs/>
          <w:sz w:val="32"/>
          <w:szCs w:val="32"/>
        </w:rPr>
      </w:pPr>
    </w:p>
    <w:p>
      <w:pPr>
        <w:spacing w:line="477" w:lineRule="auto" w:before="0"/>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报告期内，公司持续践行“让版权实现更大价值”，深耕版权综合服务市场，依托内部研发不断的技术迭代，提升版权</w:t>
      </w:r>
      <w:r>
        <w:rPr>
          <w:rFonts w:ascii="宋体" w:hAnsi="宋体" w:cs="宋体" w:eastAsia="宋体" w:hint="default"/>
          <w:sz w:val="18"/>
          <w:szCs w:val="18"/>
        </w:rPr>
        <w:t> </w:t>
      </w:r>
      <w:r>
        <w:rPr>
          <w:rFonts w:ascii="宋体" w:hAnsi="宋体" w:cs="宋体" w:eastAsia="宋体" w:hint="default"/>
          <w:spacing w:val="-4"/>
          <w:sz w:val="18"/>
          <w:szCs w:val="18"/>
        </w:rPr>
        <w:t>产品服务、版权经营服务、版权管理服务的能力。公司组建不同的团队，针对版权领域不同的品类进行针对性的开发和拓展，</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2"/>
          <w:sz w:val="18"/>
          <w:szCs w:val="18"/>
        </w:rPr>
        <w:t>努力争取抓住版权行业高速发展的历史机遇期，在不断发展壮大的市场规模蛋糕中分得更多的市场份额。同时，公司在原有</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的传统互联网营销服务升级成新媒体矩阵的基础上，新增短视频广告植入等业务，努力实现传统产业的转型升级和资源的最</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大化利用。在商务信息用纸方面，公司依靠多年行业资源和品牌美誉度的积累，与重要客户持续保持稳定的合作关系，同时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加紧开拓新客户和新市场，推进商纸业务的平稳发展。 </w:t>
      </w:r>
    </w:p>
    <w:p>
      <w:pPr>
        <w:spacing w:line="477" w:lineRule="auto" w:before="54"/>
        <w:ind w:left="645" w:right="1117" w:hanging="132"/>
        <w:jc w:val="left"/>
        <w:rPr>
          <w:rFonts w:ascii="宋体" w:hAnsi="宋体" w:cs="宋体" w:eastAsia="宋体" w:hint="default"/>
          <w:sz w:val="18"/>
          <w:szCs w:val="18"/>
        </w:rPr>
      </w:pPr>
      <w:r>
        <w:rPr>
          <w:rFonts w:ascii="宋体" w:hAnsi="宋体" w:cs="宋体" w:eastAsia="宋体" w:hint="default"/>
          <w:sz w:val="18"/>
          <w:szCs w:val="18"/>
        </w:rPr>
        <w:t>（一）版权业务 </w:t>
      </w:r>
      <w:r>
        <w:rPr>
          <w:rFonts w:ascii="宋体" w:hAnsi="宋体" w:cs="宋体" w:eastAsia="宋体" w:hint="default"/>
          <w:spacing w:val="-1"/>
          <w:sz w:val="18"/>
          <w:szCs w:val="18"/>
        </w:rPr>
        <w:t>报告期内，版权业务是公司的核心业务，通过对行业的深入研究分析，公司战略性的构建了三个蓝图产品服务，分别</w:t>
      </w:r>
    </w:p>
    <w:p>
      <w:pPr>
        <w:spacing w:line="477" w:lineRule="auto" w:before="54"/>
        <w:ind w:left="154" w:right="1028" w:firstLine="0"/>
        <w:jc w:val="left"/>
        <w:rPr>
          <w:rFonts w:ascii="宋体" w:hAnsi="宋体" w:cs="宋体" w:eastAsia="宋体" w:hint="default"/>
          <w:sz w:val="18"/>
          <w:szCs w:val="18"/>
        </w:rPr>
      </w:pPr>
      <w:r>
        <w:rPr>
          <w:rFonts w:ascii="宋体" w:hAnsi="宋体" w:cs="宋体" w:eastAsia="宋体" w:hint="default"/>
          <w:spacing w:val="-2"/>
          <w:sz w:val="18"/>
          <w:szCs w:val="18"/>
        </w:rPr>
        <w:t>针对蓬勃发展的数字版权行业日益尖锐的“确权难、授权难、维权难”三大核心痛点。通过创作即确权提升权利人确权的效</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率，降低确权的成本；通过使用即授权提升授权交易过程中的透明度和信任度，促进授权交易市场的快速增长；通过发现即</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维权提升权利人维权的效率，同时增加侵权人的侵权成本，促进数字版权行业的健康发展。真正践行“让版权实现更大价值”</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z w:val="18"/>
          <w:szCs w:val="18"/>
        </w:rPr>
        <w:t>的使命。 </w:t>
      </w:r>
    </w:p>
    <w:p>
      <w:pPr>
        <w:spacing w:line="477" w:lineRule="auto" w:before="54"/>
        <w:ind w:left="645" w:right="0" w:hanging="132"/>
        <w:jc w:val="left"/>
        <w:rPr>
          <w:rFonts w:ascii="宋体" w:hAnsi="宋体" w:cs="宋体" w:eastAsia="宋体" w:hint="default"/>
          <w:sz w:val="18"/>
          <w:szCs w:val="18"/>
        </w:rPr>
      </w:pPr>
      <w:r>
        <w:rPr>
          <w:rFonts w:ascii="宋体" w:hAnsi="宋体" w:cs="宋体" w:eastAsia="宋体" w:hint="default"/>
          <w:sz w:val="18"/>
          <w:szCs w:val="18"/>
        </w:rPr>
        <w:t>·蓝图产品一：创作即确权 </w:t>
      </w:r>
      <w:r>
        <w:rPr>
          <w:rFonts w:ascii="宋体" w:hAnsi="宋体" w:cs="宋体" w:eastAsia="宋体" w:hint="default"/>
          <w:spacing w:val="-3"/>
          <w:sz w:val="18"/>
          <w:szCs w:val="18"/>
        </w:rPr>
        <w:t>“版权家”版权综合服务平台应用人工智能、区块链、云计算、大数据等技术进行开发，利用区块链技术分布式记账、</w:t>
      </w:r>
    </w:p>
    <w:p>
      <w:pPr>
        <w:spacing w:line="477" w:lineRule="auto" w:before="54"/>
        <w:ind w:left="154" w:right="1030" w:firstLine="0"/>
        <w:jc w:val="left"/>
        <w:rPr>
          <w:rFonts w:ascii="宋体" w:hAnsi="宋体" w:cs="宋体" w:eastAsia="宋体" w:hint="default"/>
          <w:sz w:val="18"/>
          <w:szCs w:val="18"/>
        </w:rPr>
      </w:pPr>
      <w:r>
        <w:rPr>
          <w:rFonts w:ascii="宋体" w:hAnsi="宋体" w:cs="宋体" w:eastAsia="宋体" w:hint="default"/>
          <w:sz w:val="18"/>
          <w:szCs w:val="18"/>
        </w:rPr>
        <w:t>不可伪造、不可篡改、可溯源的特点，为权利人提供数字版权确权存证服务。版权家通过搭建国内领先的版权区块链联盟， </w:t>
      </w:r>
      <w:r>
        <w:rPr>
          <w:rFonts w:ascii="宋体" w:hAnsi="宋体" w:cs="宋体" w:eastAsia="宋体" w:hint="default"/>
          <w:spacing w:val="-2"/>
          <w:sz w:val="18"/>
          <w:szCs w:val="18"/>
        </w:rPr>
        <w:t>引入中国科学院国家授时中心、天威诚信、司法鉴定中心等机构作为联盟中的重要节点，使得确权存证的服务更加具有公信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力。针对增量的内容，权利人可以使用“版权家”平台实时记录作品的诞生过程，通过将作品创作时间、作者信息、作品内</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容转换成哈希值的方式，将作品的创作过程证据链固定在版权区块链联盟上；针对存量的内容，权利人可以通过“版权家” </w:t>
      </w:r>
      <w:r>
        <w:rPr>
          <w:rFonts w:ascii="宋体" w:hAnsi="宋体" w:cs="宋体" w:eastAsia="宋体" w:hint="default"/>
          <w:spacing w:val="-2"/>
          <w:sz w:val="18"/>
          <w:szCs w:val="18"/>
        </w:rPr>
        <w:t>平台进行数字化整理，添加数字标签，并在版权区块链联盟上声明该内容的权属关系并将之固定。同时，“版权家”已与北</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京互联网法院“天平链”电子证据平台实现跨链存证数据互相引用，帮助权利人提升存证的司法效力，为权利人后续的版权</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价值挖掘奠定坚实的基础。 </w:t>
      </w:r>
    </w:p>
    <w:p>
      <w:pPr>
        <w:spacing w:line="477" w:lineRule="auto" w:before="54"/>
        <w:ind w:left="645" w:right="1130" w:hanging="132"/>
        <w:jc w:val="left"/>
        <w:rPr>
          <w:rFonts w:ascii="宋体" w:hAnsi="宋体" w:cs="宋体" w:eastAsia="宋体" w:hint="default"/>
          <w:sz w:val="18"/>
          <w:szCs w:val="18"/>
        </w:rPr>
      </w:pPr>
      <w:r>
        <w:rPr>
          <w:rFonts w:ascii="宋体" w:hAnsi="宋体" w:cs="宋体" w:eastAsia="宋体" w:hint="default"/>
          <w:sz w:val="18"/>
          <w:szCs w:val="18"/>
        </w:rPr>
        <w:t>·蓝图产品二：使用即授权 </w:t>
      </w:r>
      <w:r>
        <w:rPr>
          <w:rFonts w:ascii="宋体" w:hAnsi="宋体" w:cs="宋体" w:eastAsia="宋体" w:hint="default"/>
          <w:spacing w:val="-1"/>
          <w:sz w:val="18"/>
          <w:szCs w:val="18"/>
        </w:rPr>
        <w:t>“版权家”版权综合服务平台应用人工智能、区块链、云计算、大数据等技术进行开发，依托旗下针对数字版权的不</w:t>
      </w:r>
    </w:p>
    <w:p>
      <w:pPr>
        <w:spacing w:before="54"/>
        <w:ind w:left="154" w:right="0" w:firstLine="0"/>
        <w:jc w:val="left"/>
        <w:rPr>
          <w:rFonts w:ascii="宋体" w:hAnsi="宋体" w:cs="宋体" w:eastAsia="宋体" w:hint="default"/>
          <w:sz w:val="18"/>
          <w:szCs w:val="18"/>
        </w:rPr>
      </w:pPr>
      <w:r>
        <w:rPr>
          <w:rFonts w:ascii="宋体" w:hAnsi="宋体" w:cs="宋体" w:eastAsia="宋体" w:hint="default"/>
          <w:sz w:val="18"/>
          <w:szCs w:val="18"/>
        </w:rPr>
        <w:t>同表现形式（如图片、文字、视频、音乐、软件、游戏等）的各子业务平台，完整记录作品在权利人、平台、用权人中授权</w:t>
      </w:r>
    </w:p>
    <w:p>
      <w:pPr>
        <w:spacing w:line="240" w:lineRule="auto" w:before="10"/>
        <w:rPr>
          <w:rFonts w:ascii="宋体" w:hAnsi="宋体" w:cs="宋体" w:eastAsia="宋体" w:hint="default"/>
          <w:sz w:val="17"/>
          <w:szCs w:val="17"/>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/转授权/使用的全过程，并通过版权区块链联盟在节点社区中广播，可实现版权流转过程的全透明，在权利人和用权人以及</w:t>
      </w:r>
    </w:p>
    <w:p>
      <w:pPr>
        <w:spacing w:after="0"/>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53" w:right="1131" w:firstLine="0"/>
        <w:jc w:val="both"/>
        <w:rPr>
          <w:rFonts w:ascii="宋体" w:hAnsi="宋体" w:cs="宋体" w:eastAsia="宋体" w:hint="default"/>
          <w:sz w:val="18"/>
          <w:szCs w:val="18"/>
        </w:rPr>
      </w:pPr>
      <w:r>
        <w:rPr>
          <w:rFonts w:ascii="宋体" w:hAnsi="宋体" w:cs="宋体" w:eastAsia="宋体" w:hint="default"/>
          <w:spacing w:val="-2"/>
          <w:sz w:val="18"/>
          <w:szCs w:val="18"/>
        </w:rPr>
        <w:t>相关的中介方之间信息完全对称，有利于对版权内容的使用进行合理定价，并可根据相关智能合约的指令，由用权人通过平</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台向权利人进行自动化支付。由于授权交易过程的公开透明，大大降低了权利人、用权人和平台之间的不信任感，提升了版</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权授权交易的效率，培养了各相关方的使用习惯，能够促使授权交易的规模迅速增长。 </w:t>
      </w:r>
    </w:p>
    <w:p>
      <w:pPr>
        <w:spacing w:line="477" w:lineRule="auto" w:before="54"/>
        <w:ind w:left="645" w:right="1130" w:hanging="132"/>
        <w:jc w:val="left"/>
        <w:rPr>
          <w:rFonts w:ascii="宋体" w:hAnsi="宋体" w:cs="宋体" w:eastAsia="宋体" w:hint="default"/>
          <w:sz w:val="18"/>
          <w:szCs w:val="18"/>
        </w:rPr>
      </w:pPr>
      <w:r>
        <w:rPr>
          <w:rFonts w:ascii="宋体" w:hAnsi="宋体" w:cs="宋体" w:eastAsia="宋体" w:hint="default"/>
          <w:sz w:val="18"/>
          <w:szCs w:val="18"/>
        </w:rPr>
        <w:t>·蓝图产品三：发现即维权 </w:t>
      </w:r>
      <w:r>
        <w:rPr>
          <w:rFonts w:ascii="宋体" w:hAnsi="宋体" w:cs="宋体" w:eastAsia="宋体" w:hint="default"/>
          <w:spacing w:val="-1"/>
          <w:sz w:val="18"/>
          <w:szCs w:val="18"/>
        </w:rPr>
        <w:t>“版权家”版权综合服务平台应用人工智能、区块链、云计算、大数据等技术进行开发，并与旗下监测业务子公司强</w:t>
      </w:r>
    </w:p>
    <w:p>
      <w:pPr>
        <w:spacing w:line="477" w:lineRule="auto" w:before="54"/>
        <w:ind w:left="153" w:right="1031" w:firstLine="0"/>
        <w:jc w:val="left"/>
        <w:rPr>
          <w:rFonts w:ascii="宋体" w:hAnsi="宋体" w:cs="宋体" w:eastAsia="宋体" w:hint="default"/>
          <w:sz w:val="18"/>
          <w:szCs w:val="18"/>
        </w:rPr>
      </w:pPr>
      <w:r>
        <w:rPr>
          <w:rFonts w:ascii="宋体" w:hAnsi="宋体" w:cs="宋体" w:eastAsia="宋体" w:hint="default"/>
          <w:spacing w:val="-2"/>
          <w:sz w:val="18"/>
          <w:szCs w:val="18"/>
        </w:rPr>
        <w:t>大的全网爬虫搜索技术和海量内容数据库相结合，能对已存证用户的数字版权进行“7*24”的不间断监测，通过AI自动比对</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4"/>
          <w:sz w:val="18"/>
          <w:szCs w:val="18"/>
        </w:rPr>
        <w:t>全网内容与用户存证内容的相似性，对存在高度相似的内容实时固定证据并上链，同时将相关疑似侵权信息反馈至“版权家”</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平台，由平台提醒用户是否进行相关维权操作及采取何种方式维权，大幅提升权利人的维权效率，增加侵权人的侵权成本， 有利于数字版权行业的健康发展。 </w:t>
      </w:r>
    </w:p>
    <w:p>
      <w:pPr>
        <w:spacing w:line="477" w:lineRule="auto" w:before="54"/>
        <w:ind w:left="645" w:right="5530" w:firstLine="50"/>
        <w:jc w:val="left"/>
        <w:rPr>
          <w:rFonts w:ascii="宋体" w:hAnsi="宋体" w:cs="宋体" w:eastAsia="宋体" w:hint="default"/>
          <w:sz w:val="18"/>
          <w:szCs w:val="18"/>
        </w:rPr>
      </w:pPr>
      <w:r>
        <w:rPr>
          <w:rFonts w:ascii="宋体" w:hAnsi="宋体" w:cs="宋体" w:eastAsia="宋体" w:hint="default"/>
          <w:b/>
          <w:bCs/>
          <w:sz w:val="18"/>
          <w:szCs w:val="18"/>
        </w:rPr>
        <w:t>基本商业模式</w:t>
      </w:r>
      <w:r>
        <w:rPr>
          <w:rFonts w:ascii="宋体" w:hAnsi="宋体" w:cs="宋体" w:eastAsia="宋体" w:hint="default"/>
          <w:b/>
          <w:bCs/>
          <w:w w:val="99"/>
          <w:sz w:val="18"/>
          <w:szCs w:val="18"/>
        </w:rPr>
        <w:t> </w:t>
      </w:r>
      <w:r>
        <w:rPr>
          <w:rFonts w:ascii="宋体" w:hAnsi="宋体" w:cs="宋体" w:eastAsia="宋体" w:hint="default"/>
          <w:sz w:val="18"/>
          <w:szCs w:val="18"/>
        </w:rPr>
        <w:t>下图展示了公司版权业务的基本商业模式（附图一） </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line="3054" w:lineRule="exact"/>
        <w:ind w:left="154" w:right="0" w:firstLine="0"/>
        <w:rPr>
          <w:rFonts w:ascii="宋体" w:hAnsi="宋体" w:cs="宋体" w:eastAsia="宋体" w:hint="default"/>
          <w:sz w:val="20"/>
          <w:szCs w:val="20"/>
        </w:rPr>
      </w:pPr>
      <w:r>
        <w:rPr>
          <w:rFonts w:ascii="宋体" w:hAnsi="宋体" w:cs="宋体" w:eastAsia="宋体" w:hint="default"/>
          <w:position w:val="-60"/>
          <w:sz w:val="20"/>
          <w:szCs w:val="20"/>
        </w:rPr>
        <w:drawing>
          <wp:inline distT="0" distB="0" distL="0" distR="0">
            <wp:extent cx="5232423" cy="1939289"/>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4" cstate="print"/>
                    <a:stretch>
                      <a:fillRect/>
                    </a:stretch>
                  </pic:blipFill>
                  <pic:spPr>
                    <a:xfrm>
                      <a:off x="0" y="0"/>
                      <a:ext cx="5232423" cy="1939289"/>
                    </a:xfrm>
                    <a:prstGeom prst="rect">
                      <a:avLst/>
                    </a:prstGeom>
                  </pic:spPr>
                </pic:pic>
              </a:graphicData>
            </a:graphic>
          </wp:inline>
        </w:drawing>
      </w:r>
      <w:r>
        <w:rPr>
          <w:rFonts w:ascii="宋体" w:hAnsi="宋体" w:cs="宋体" w:eastAsia="宋体" w:hint="default"/>
          <w:position w:val="-60"/>
          <w:sz w:val="20"/>
          <w:szCs w:val="20"/>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spacing w:line="477" w:lineRule="auto" w:before="44"/>
        <w:ind w:left="154" w:right="1028" w:firstLine="480"/>
        <w:jc w:val="left"/>
        <w:rPr>
          <w:rFonts w:ascii="宋体" w:hAnsi="宋体" w:cs="宋体" w:eastAsia="宋体" w:hint="default"/>
          <w:sz w:val="18"/>
          <w:szCs w:val="18"/>
        </w:rPr>
      </w:pPr>
      <w:r>
        <w:rPr>
          <w:rFonts w:ascii="宋体" w:hAnsi="宋体" w:cs="宋体" w:eastAsia="宋体" w:hint="default"/>
          <w:spacing w:val="-3"/>
          <w:sz w:val="18"/>
          <w:szCs w:val="18"/>
        </w:rPr>
        <w:t>版权与作品同时诞生，在作品的内容价值产生的同时，作品的版权价值（17种权利）也同时产生。因此对版权的确权、</w:t>
      </w:r>
      <w:r>
        <w:rPr>
          <w:rFonts w:ascii="宋体" w:hAnsi="宋体" w:cs="宋体" w:eastAsia="宋体" w:hint="default"/>
          <w:sz w:val="18"/>
          <w:szCs w:val="18"/>
        </w:rPr>
        <w:t> </w:t>
      </w:r>
      <w:r>
        <w:rPr>
          <w:rFonts w:ascii="宋体" w:hAnsi="宋体" w:cs="宋体" w:eastAsia="宋体" w:hint="default"/>
          <w:spacing w:val="-2"/>
          <w:sz w:val="18"/>
          <w:szCs w:val="18"/>
        </w:rPr>
        <w:t>维权、交易、增值等是确定的、持续存在的市场需求。公司版权业务的使命就是通过为市场提供版权综合服务，让版权实现</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更大价值。 </w:t>
      </w:r>
    </w:p>
    <w:p>
      <w:pPr>
        <w:spacing w:line="477" w:lineRule="auto" w:before="54"/>
        <w:ind w:left="153" w:right="1128" w:firstLine="492"/>
        <w:jc w:val="both"/>
        <w:rPr>
          <w:rFonts w:ascii="宋体" w:hAnsi="宋体" w:cs="宋体" w:eastAsia="宋体" w:hint="default"/>
          <w:sz w:val="18"/>
          <w:szCs w:val="18"/>
        </w:rPr>
      </w:pPr>
      <w:r>
        <w:rPr>
          <w:rFonts w:ascii="宋体" w:hAnsi="宋体" w:cs="宋体" w:eastAsia="宋体" w:hint="default"/>
          <w:sz w:val="18"/>
          <w:szCs w:val="18"/>
        </w:rPr>
        <w:t>图中展示的业务核心是公司的“版权家”版权综合服务平台，基于人工智能（AI）、区块链（Block-chain）、云计 算（Cloud）、大数据（Data）等底层技术，通过网站、移动端、小程序等界面形态和应用工具、SAAS、PAAS、区块链联盟</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链等产品与服务形式为权利人提供确权、授权、维权、资产管理、金融化和信息服务，即“ABCD+6项服务”。公司定位于为</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2"/>
          <w:sz w:val="18"/>
          <w:szCs w:val="18"/>
        </w:rPr>
        <w:t>权利人提供全方位的服务，针对不同细分品类（如图片、文字、视频、音乐、软件、游戏等）的权利人不同的需求特点，相</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2"/>
          <w:sz w:val="18"/>
          <w:szCs w:val="18"/>
        </w:rPr>
        <w:t>应开发具有定制化特色的品类服务子平台，为权利人提供从版权诞生到版权变现的全价值链服务，让权利人能够将精力集中</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于内容生产及创作的核心工作而无其他后顾之忧，为权利人打造服务于数字版权内容生态的“基础设施”，并通过深耕每一</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个细分品类的垂直领域小生态，助力最终构建安妮版权大生态圈宏伟目标的实现。 </w:t>
      </w:r>
    </w:p>
    <w:p>
      <w:pPr>
        <w:spacing w:after="0" w:line="477" w:lineRule="auto"/>
        <w:jc w:val="both"/>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before="0"/>
        <w:ind w:left="646" w:right="0" w:firstLine="0"/>
        <w:jc w:val="left"/>
        <w:rPr>
          <w:rFonts w:ascii="宋体" w:hAnsi="宋体" w:cs="宋体" w:eastAsia="宋体" w:hint="default"/>
          <w:sz w:val="18"/>
          <w:szCs w:val="18"/>
        </w:rPr>
      </w:pPr>
      <w:r>
        <w:rPr>
          <w:rFonts w:ascii="宋体" w:hAnsi="宋体" w:cs="宋体" w:eastAsia="宋体" w:hint="default"/>
          <w:sz w:val="18"/>
          <w:szCs w:val="18"/>
        </w:rPr>
        <w:t>公司的上游系具有版权服务需求的各类型权利人，包括C端个人权利人、B端机构权利人、G端政府权利人。 </w:t>
      </w:r>
    </w:p>
    <w:p>
      <w:pPr>
        <w:spacing w:line="240" w:lineRule="auto" w:before="10"/>
        <w:rPr>
          <w:rFonts w:ascii="宋体" w:hAnsi="宋体" w:cs="宋体" w:eastAsia="宋体" w:hint="default"/>
          <w:sz w:val="17"/>
          <w:szCs w:val="17"/>
        </w:rPr>
      </w:pPr>
    </w:p>
    <w:p>
      <w:pPr>
        <w:spacing w:line="477" w:lineRule="auto" w:before="0"/>
        <w:ind w:left="574" w:right="1112" w:hanging="36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38"/>
          <w:sz w:val="18"/>
          <w:szCs w:val="18"/>
        </w:rPr>
        <w:t> </w:t>
      </w:r>
      <w:r>
        <w:rPr>
          <w:rFonts w:ascii="宋体" w:hAnsi="宋体" w:cs="宋体" w:eastAsia="宋体" w:hint="default"/>
          <w:sz w:val="18"/>
          <w:szCs w:val="18"/>
        </w:rPr>
        <w:t>针对C端个人权利人，公司主要提供按次收费或按不同会员服务时长打包收费的服务形式，由客户根据自身需求进行自</w:t>
      </w:r>
      <w:r>
        <w:rPr>
          <w:rFonts w:ascii="宋体" w:hAnsi="宋体" w:cs="宋体" w:eastAsia="宋体" w:hint="default"/>
          <w:sz w:val="18"/>
          <w:szCs w:val="18"/>
        </w:rPr>
        <w:t> 由选择。 </w:t>
      </w:r>
    </w:p>
    <w:p>
      <w:pPr>
        <w:spacing w:line="477" w:lineRule="auto" w:before="54"/>
        <w:ind w:left="574" w:right="1109" w:hanging="36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41"/>
          <w:sz w:val="18"/>
          <w:szCs w:val="18"/>
        </w:rPr>
        <w:t> </w:t>
      </w:r>
      <w:r>
        <w:rPr>
          <w:rFonts w:ascii="宋体" w:hAnsi="宋体" w:cs="宋体" w:eastAsia="宋体" w:hint="default"/>
          <w:sz w:val="18"/>
          <w:szCs w:val="18"/>
        </w:rPr>
        <w:t>针对B端机构权利人，公司主要采用会员服务收费的形式，提供不同级别的服务套餐供客户选择，同时亦可提供定制化</w:t>
      </w:r>
      <w:r>
        <w:rPr>
          <w:rFonts w:ascii="宋体" w:hAnsi="宋体" w:cs="宋体" w:eastAsia="宋体" w:hint="default"/>
          <w:sz w:val="18"/>
          <w:szCs w:val="18"/>
        </w:rPr>
        <w:t> 的解决方案，解决客户的个性化需求。 </w:t>
      </w:r>
    </w:p>
    <w:p>
      <w:pPr>
        <w:spacing w:line="477" w:lineRule="auto" w:before="54"/>
        <w:ind w:left="574" w:right="1111" w:hanging="36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39"/>
          <w:sz w:val="18"/>
          <w:szCs w:val="18"/>
        </w:rPr>
        <w:t> </w:t>
      </w:r>
      <w:r>
        <w:rPr>
          <w:rFonts w:ascii="宋体" w:hAnsi="宋体" w:cs="宋体" w:eastAsia="宋体" w:hint="default"/>
          <w:sz w:val="18"/>
          <w:szCs w:val="18"/>
        </w:rPr>
        <w:t>针对G端政府权利人，公司主要根据其需求特点，采用“一事一议”的服务方式，通过提供定制化解决方案，包括前期</w:t>
      </w:r>
      <w:r>
        <w:rPr>
          <w:rFonts w:ascii="宋体" w:hAnsi="宋体" w:cs="宋体" w:eastAsia="宋体" w:hint="default"/>
          <w:sz w:val="18"/>
          <w:szCs w:val="18"/>
        </w:rPr>
        <w:t> 系统开发维护、中期版权综合服务和后期版权管理等具体措施，为客户解决个性化问题。 目前公司的版权服务已积累了大量的版权信息数据，通过对数据的清洗和深度梳理，可以帮助公司后期建设和完善版</w:t>
      </w:r>
    </w:p>
    <w:p>
      <w:pPr>
        <w:spacing w:line="477" w:lineRule="auto" w:before="54"/>
        <w:ind w:left="153" w:right="0" w:firstLine="0"/>
        <w:jc w:val="left"/>
        <w:rPr>
          <w:rFonts w:ascii="宋体" w:hAnsi="宋体" w:cs="宋体" w:eastAsia="宋体" w:hint="default"/>
          <w:sz w:val="18"/>
          <w:szCs w:val="18"/>
        </w:rPr>
      </w:pPr>
      <w:r>
        <w:rPr>
          <w:rFonts w:ascii="宋体" w:hAnsi="宋体" w:cs="宋体" w:eastAsia="宋体" w:hint="default"/>
          <w:spacing w:val="-2"/>
          <w:sz w:val="18"/>
          <w:szCs w:val="18"/>
        </w:rPr>
        <w:t>权信息搜索引擎，并扩大版权内容数据库，为授权交易的业务打下坚实的基础。公司将持续通过“ABCD+6项服务”和版权区</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4"/>
          <w:sz w:val="18"/>
          <w:szCs w:val="18"/>
        </w:rPr>
        <w:t>块链（联盟链）服务为顾客提升版权创造、保护、运用、增值等能力，助力顾客在自己的经营场景中获得更好的收益。同时，</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版权家以强大的整体体系赋能合作伙伴，提供整体效率和竞争力，为顾客提供优质高效便捷的版权综合服务。 </w:t>
      </w:r>
    </w:p>
    <w:p>
      <w:pPr>
        <w:spacing w:line="477" w:lineRule="auto" w:before="54"/>
        <w:ind w:left="513" w:right="0" w:firstLine="0"/>
        <w:jc w:val="left"/>
        <w:rPr>
          <w:rFonts w:ascii="宋体" w:hAnsi="宋体" w:cs="宋体" w:eastAsia="宋体" w:hint="default"/>
          <w:sz w:val="18"/>
          <w:szCs w:val="18"/>
        </w:rPr>
      </w:pPr>
      <w:r>
        <w:rPr>
          <w:rFonts w:ascii="宋体" w:hAnsi="宋体" w:cs="宋体" w:eastAsia="宋体" w:hint="default"/>
          <w:sz w:val="18"/>
          <w:szCs w:val="18"/>
        </w:rPr>
        <w:t>1、版权综合服务平台的搭建与优化 </w:t>
      </w:r>
      <w:r>
        <w:rPr>
          <w:rFonts w:ascii="宋体" w:hAnsi="宋体" w:cs="宋体" w:eastAsia="宋体" w:hint="default"/>
          <w:spacing w:val="-2"/>
          <w:sz w:val="18"/>
          <w:szCs w:val="18"/>
        </w:rPr>
        <w:t>公司以“创作即确权、使用即授权、发现即维权”作为产品思路，在“版权家”版权综合服务平台的基础上，针对客户</w:t>
      </w:r>
    </w:p>
    <w:p>
      <w:pPr>
        <w:spacing w:line="477" w:lineRule="auto" w:before="54"/>
        <w:ind w:left="153" w:right="1041" w:firstLine="0"/>
        <w:jc w:val="left"/>
        <w:rPr>
          <w:rFonts w:ascii="宋体" w:hAnsi="宋体" w:cs="宋体" w:eastAsia="宋体" w:hint="default"/>
          <w:sz w:val="18"/>
          <w:szCs w:val="18"/>
        </w:rPr>
      </w:pPr>
      <w:r>
        <w:rPr/>
        <w:pict>
          <v:shape style="position:absolute;margin-left:56.700001pt;margin-top:121.271828pt;width:477.66pt;height:252.48pt;mso-position-horizontal-relative:page;mso-position-vertical-relative:paragraph;z-index:-963520" type="#_x0000_t75" stroked="false">
            <v:imagedata r:id="rId15" o:title=""/>
          </v:shape>
        </w:pict>
      </w:r>
      <w:r>
        <w:rPr>
          <w:rFonts w:ascii="宋体" w:hAnsi="宋体" w:cs="宋体" w:eastAsia="宋体" w:hint="default"/>
          <w:spacing w:val="-2"/>
          <w:sz w:val="18"/>
          <w:szCs w:val="18"/>
        </w:rPr>
        <w:t>版权信息一站式搜索的需求痛点，开发了版权信息搜索引擎——“版权百科”；针对不同品类客户的需求特性，开发了服务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于各品类垂直市场的稿件交易平台——“稿稿平台”、歌曲交易平台——“华云音乐”、游戏交易平台——“就爱就玩”、 </w:t>
      </w:r>
      <w:r>
        <w:rPr>
          <w:rFonts w:ascii="宋体" w:hAnsi="宋体" w:cs="宋体" w:eastAsia="宋体" w:hint="default"/>
          <w:spacing w:val="-2"/>
          <w:sz w:val="18"/>
          <w:szCs w:val="18"/>
        </w:rPr>
        <w:t>剧本交易平台——“剧派网”、软件著作权/游戏版号登记平台——“软游助手”；针对客户无法高效监测侵权行为的痛点，</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通过投资入股的方式，与版权监测维权平台——“图盾”通力合作，为客户提供实时的监测服务。构建了确权-授权-维权的</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一体化产品矩阵。 </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7"/>
          <w:szCs w:val="17"/>
        </w:rPr>
      </w:pPr>
    </w:p>
    <w:p>
      <w:pPr>
        <w:spacing w:before="0"/>
        <w:ind w:left="0" w:right="1125" w:firstLine="0"/>
        <w:jc w:val="right"/>
        <w:rPr>
          <w:rFonts w:ascii="宋体" w:hAnsi="宋体" w:cs="宋体" w:eastAsia="宋体" w:hint="default"/>
          <w:sz w:val="18"/>
          <w:szCs w:val="18"/>
        </w:rPr>
      </w:pPr>
      <w:r>
        <w:rPr>
          <w:rFonts w:ascii="宋体"/>
          <w:sz w:val="18"/>
        </w:rPr>
        <w:t> </w:t>
      </w:r>
    </w:p>
    <w:p>
      <w:pPr>
        <w:spacing w:after="0"/>
        <w:jc w:val="right"/>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54" w:right="1128" w:firstLine="492"/>
        <w:jc w:val="both"/>
        <w:rPr>
          <w:rFonts w:ascii="宋体" w:hAnsi="宋体" w:cs="宋体" w:eastAsia="宋体" w:hint="default"/>
          <w:sz w:val="18"/>
          <w:szCs w:val="18"/>
        </w:rPr>
      </w:pPr>
      <w:r>
        <w:rPr>
          <w:rFonts w:ascii="宋体" w:hAnsi="宋体" w:cs="宋体" w:eastAsia="宋体" w:hint="default"/>
          <w:spacing w:val="-1"/>
          <w:sz w:val="18"/>
          <w:szCs w:val="18"/>
        </w:rPr>
        <w:t>报告期内，“版权家”平台累计为客户提供版权服务逾百万次，在行业内树立了较好的品牌形象，逐渐形成稳定的版</w:t>
      </w:r>
      <w:r>
        <w:rPr>
          <w:rFonts w:ascii="宋体" w:hAnsi="宋体" w:cs="宋体" w:eastAsia="宋体" w:hint="default"/>
          <w:sz w:val="18"/>
          <w:szCs w:val="18"/>
        </w:rPr>
        <w:t> </w:t>
      </w:r>
      <w:r>
        <w:rPr>
          <w:rFonts w:ascii="宋体" w:hAnsi="宋体" w:cs="宋体" w:eastAsia="宋体" w:hint="default"/>
          <w:spacing w:val="-2"/>
          <w:sz w:val="18"/>
          <w:szCs w:val="18"/>
        </w:rPr>
        <w:t>权服务流量入口；“版权百科”平台积累版权信息数据近42万条，能够为用户提供高效的版权信息查询；“稿稿平台”通过</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搭建原创稿件的中央厨房，已成功撮合稿件交易逾21万次；“华云音乐”平台对接DCI体系，为音乐人提供超25万次音乐版</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权登记服务；“剧派网”以“十万文人打造同一影视IP”为理念，目前已积累了涉及科幻、玄幻、武侠、校园、职场、情感</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等题材的众多IP有待商业开发；“软游助手”作为一站式软件著作权申报平台，已为相关企业客户高效申请软著近6万次；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“图盾”通过持续的技术迭代，目前已能够实现8秒之内在全网范围内快速定位到侵权图片，通过自主研发的图片比对数据</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库和爬虫系统，为用户提供几乎零时滞的全天候监测。 </w:t>
      </w:r>
    </w:p>
    <w:p>
      <w:pPr>
        <w:spacing w:line="477" w:lineRule="auto" w:before="54"/>
        <w:ind w:left="154" w:right="0" w:firstLine="492"/>
        <w:jc w:val="left"/>
        <w:rPr>
          <w:rFonts w:ascii="宋体" w:hAnsi="宋体" w:cs="宋体" w:eastAsia="宋体" w:hint="default"/>
          <w:sz w:val="18"/>
          <w:szCs w:val="18"/>
        </w:rPr>
      </w:pPr>
      <w:r>
        <w:rPr>
          <w:rFonts w:ascii="宋体" w:hAnsi="宋体" w:cs="宋体" w:eastAsia="宋体" w:hint="default"/>
          <w:spacing w:val="-3"/>
          <w:sz w:val="18"/>
          <w:szCs w:val="18"/>
        </w:rPr>
        <w:t>完整的产品矩阵和业务体系，为实现跨越版权管理、版权经营、版权产品三个层次的版权综合服务奠定了坚实的基础，</w:t>
      </w:r>
      <w:r>
        <w:rPr>
          <w:rFonts w:ascii="宋体" w:hAnsi="宋体" w:cs="宋体" w:eastAsia="宋体" w:hint="default"/>
          <w:sz w:val="18"/>
          <w:szCs w:val="18"/>
        </w:rPr>
        <w:t> 同时也为创新业务的孕育孵化提供了肥沃的土壤。 </w:t>
      </w:r>
    </w:p>
    <w:p>
      <w:pPr>
        <w:spacing w:line="477" w:lineRule="auto" w:before="54"/>
        <w:ind w:left="514" w:right="0" w:firstLine="0"/>
        <w:jc w:val="left"/>
        <w:rPr>
          <w:rFonts w:ascii="宋体" w:hAnsi="宋体" w:cs="宋体" w:eastAsia="宋体" w:hint="default"/>
          <w:sz w:val="18"/>
          <w:szCs w:val="18"/>
        </w:rPr>
      </w:pPr>
      <w:r>
        <w:rPr>
          <w:rFonts w:ascii="宋体" w:hAnsi="宋体" w:cs="宋体" w:eastAsia="宋体" w:hint="default"/>
          <w:sz w:val="18"/>
          <w:szCs w:val="18"/>
        </w:rPr>
        <w:t>2、外延合作渠道的开发与拓展 </w:t>
      </w:r>
      <w:r>
        <w:rPr>
          <w:rFonts w:ascii="宋体" w:hAnsi="宋体" w:cs="宋体" w:eastAsia="宋体" w:hint="default"/>
          <w:spacing w:val="-4"/>
          <w:sz w:val="18"/>
          <w:szCs w:val="18"/>
        </w:rPr>
        <w:t>公司在不断修炼内功、迭代优化产品的同时，积极拓展上下游客户。报告期内，公司与俄罗斯艾尔米塔什博物馆（冬宫）</w:t>
      </w:r>
    </w:p>
    <w:p>
      <w:pPr>
        <w:spacing w:line="477" w:lineRule="auto" w:before="54"/>
        <w:ind w:left="154" w:right="1130" w:firstLine="0"/>
        <w:jc w:val="both"/>
        <w:rPr>
          <w:rFonts w:ascii="宋体" w:hAnsi="宋体" w:cs="宋体" w:eastAsia="宋体" w:hint="default"/>
          <w:sz w:val="18"/>
          <w:szCs w:val="18"/>
        </w:rPr>
      </w:pPr>
      <w:r>
        <w:rPr>
          <w:rFonts w:ascii="宋体" w:hAnsi="宋体" w:cs="宋体" w:eastAsia="宋体" w:hint="default"/>
          <w:spacing w:val="-2"/>
          <w:sz w:val="18"/>
          <w:szCs w:val="18"/>
        </w:rPr>
        <w:t>签订了关于其艺术品IP在中国区域内授权开发的业务协议，并通过自主研发及外部授权合作的方式，深入挖掘艺术品IP的价</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2"/>
          <w:sz w:val="18"/>
          <w:szCs w:val="18"/>
        </w:rPr>
        <w:t>值；公司与德国“红点设计博物馆“达成战略合作，旨在未来进行原创设计版权领域的深度合作；公司与腾讯课堂签订了版</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权服务协议，为其提供教育类视频的版权确权等综合服务；公司还与线装书局签订战略合作协议，为其丰富的线装书资源提</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供版权管理和侵权监测等服务。 </w:t>
      </w:r>
    </w:p>
    <w:p>
      <w:pPr>
        <w:spacing w:line="477" w:lineRule="auto" w:before="54"/>
        <w:ind w:left="154" w:right="0" w:firstLine="492"/>
        <w:jc w:val="left"/>
        <w:rPr>
          <w:rFonts w:ascii="宋体" w:hAnsi="宋体" w:cs="宋体" w:eastAsia="宋体" w:hint="default"/>
          <w:sz w:val="18"/>
          <w:szCs w:val="18"/>
        </w:rPr>
      </w:pPr>
      <w:r>
        <w:rPr>
          <w:rFonts w:ascii="宋体" w:hAnsi="宋体" w:cs="宋体" w:eastAsia="宋体" w:hint="default"/>
          <w:sz w:val="18"/>
          <w:szCs w:val="18"/>
        </w:rPr>
        <w:t>除了上述B端客户及合作伙伴的开拓外，在G端政府客户拓展方面，公司也取得了较大的进展。报告期内，公司与深圳 </w:t>
      </w:r>
      <w:r>
        <w:rPr>
          <w:rFonts w:ascii="宋体" w:hAnsi="宋体" w:cs="宋体" w:eastAsia="宋体" w:hint="default"/>
          <w:spacing w:val="-4"/>
          <w:sz w:val="18"/>
          <w:szCs w:val="18"/>
        </w:rPr>
        <w:t>前海管理局达成合作，由公司和前海科创投牵头，共同发起设立了“版权创新研究院”，全面助力“国家版权创新发展基地”</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的建设；公司的“版权家”系统与北京互联网法院“天平链”电子证据系统实现跨链数据引用，并于4月份助力北京互联网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法院完成采纳“天平链”电子证据宣判的侵害作品信息网络传播权纠纷案的首例判决。 </w:t>
      </w:r>
    </w:p>
    <w:p>
      <w:pPr>
        <w:spacing w:line="477" w:lineRule="auto" w:before="54"/>
        <w:ind w:left="646" w:right="0" w:firstLine="0"/>
        <w:jc w:val="left"/>
        <w:rPr>
          <w:rFonts w:ascii="宋体" w:hAnsi="宋体" w:cs="宋体" w:eastAsia="宋体" w:hint="default"/>
          <w:sz w:val="18"/>
          <w:szCs w:val="18"/>
        </w:rPr>
      </w:pPr>
      <w:r>
        <w:rPr>
          <w:rFonts w:ascii="宋体" w:hAnsi="宋体" w:cs="宋体" w:eastAsia="宋体" w:hint="default"/>
          <w:sz w:val="18"/>
          <w:szCs w:val="18"/>
        </w:rPr>
        <w:t>3、积极投入技术研发 </w:t>
      </w:r>
      <w:r>
        <w:rPr>
          <w:rFonts w:ascii="宋体" w:hAnsi="宋体" w:cs="宋体" w:eastAsia="宋体" w:hint="default"/>
          <w:spacing w:val="-1"/>
          <w:sz w:val="18"/>
          <w:szCs w:val="18"/>
        </w:rPr>
        <w:t>公司不忘技术是第一生产力的真理，在加大对外拓展业务的同时，也在加大在技术研发方面的投入。公司研发费用为</w:t>
      </w:r>
    </w:p>
    <w:p>
      <w:pPr>
        <w:spacing w:line="477" w:lineRule="auto" w:before="54"/>
        <w:ind w:left="153" w:right="1041" w:firstLine="0"/>
        <w:jc w:val="left"/>
        <w:rPr>
          <w:rFonts w:ascii="宋体" w:hAnsi="宋体" w:cs="宋体" w:eastAsia="宋体" w:hint="default"/>
          <w:sz w:val="18"/>
          <w:szCs w:val="18"/>
        </w:rPr>
      </w:pPr>
      <w:r>
        <w:rPr>
          <w:rFonts w:ascii="宋体" w:hAnsi="宋体" w:cs="宋体" w:eastAsia="宋体" w:hint="default"/>
          <w:spacing w:val="-2"/>
          <w:sz w:val="18"/>
          <w:szCs w:val="18"/>
        </w:rPr>
        <w:t>2213.46万元，公司目前版权业务研发团队人数有61人，其中具有高级职称资格4人。公司的“版权家”系统基于区块链等技</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3"/>
          <w:sz w:val="18"/>
          <w:szCs w:val="18"/>
        </w:rPr>
        <w:t>术深度开发，通过积极对接工信部电子技术标准研究院、IEEE等组织，积极参加区块链多项国际/国家/行业标准的拟定工作，</w:t>
      </w:r>
      <w:r>
        <w:rPr>
          <w:rFonts w:ascii="宋体" w:hAnsi="宋体" w:cs="宋体" w:eastAsia="宋体" w:hint="default"/>
          <w:sz w:val="18"/>
          <w:szCs w:val="18"/>
        </w:rPr>
        <w:t> 并成为中国版权保护中心牵头发起的DCI标准联盟链首批12家成员单位之一。报告期内，公司成为首批获得区块链信息服务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备案的机构之一，公司的“版权家可信存证系统”获得第三届中国区块链开发大赛的一等奖，由公司牵头并由中国区块链技</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术和产业发展论坛各单位参与编写的团体标准T/CESA1048-2018《区块链存证应用指南》成为入选“百项团体标准应用示范</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项目”的区块链领域唯一标准。 </w:t>
      </w:r>
    </w:p>
    <w:p>
      <w:pPr>
        <w:spacing w:line="477" w:lineRule="auto" w:before="54"/>
        <w:ind w:left="645" w:right="0" w:firstLine="0"/>
        <w:jc w:val="left"/>
        <w:rPr>
          <w:rFonts w:ascii="宋体" w:hAnsi="宋体" w:cs="宋体" w:eastAsia="宋体" w:hint="default"/>
          <w:sz w:val="18"/>
          <w:szCs w:val="18"/>
        </w:rPr>
      </w:pPr>
      <w:r>
        <w:rPr>
          <w:rFonts w:ascii="宋体" w:hAnsi="宋体" w:cs="宋体" w:eastAsia="宋体" w:hint="default"/>
          <w:sz w:val="18"/>
          <w:szCs w:val="18"/>
        </w:rPr>
        <w:t>（二）商务信息用纸业务 </w:t>
      </w:r>
      <w:r>
        <w:rPr>
          <w:rFonts w:ascii="宋体" w:hAnsi="宋体" w:cs="宋体" w:eastAsia="宋体" w:hint="default"/>
          <w:spacing w:val="-1"/>
          <w:sz w:val="18"/>
          <w:szCs w:val="18"/>
        </w:rPr>
        <w:t>商务信息用纸业务是公司的传统业务，承载着公司多年的品牌积累，经过逾20年的发展，已经形成了一体化生产体系</w:t>
      </w:r>
    </w:p>
    <w:p>
      <w:pPr>
        <w:spacing w:before="54"/>
        <w:ind w:left="153" w:right="0" w:firstLine="0"/>
        <w:jc w:val="left"/>
        <w:rPr>
          <w:rFonts w:ascii="宋体" w:hAnsi="宋体" w:cs="宋体" w:eastAsia="宋体" w:hint="default"/>
          <w:sz w:val="18"/>
          <w:szCs w:val="18"/>
        </w:rPr>
      </w:pPr>
      <w:r>
        <w:rPr>
          <w:rFonts w:ascii="宋体" w:hAnsi="宋体" w:cs="宋体" w:eastAsia="宋体" w:hint="default"/>
          <w:spacing w:val="-4"/>
          <w:sz w:val="18"/>
          <w:szCs w:val="18"/>
        </w:rPr>
        <w:t>优势和多产品系列优势。通过综合个性化产品设计，积极钻研产品技术，为客户提供整体解决方案，最大化满足客户的需求。</w:t>
      </w:r>
    </w:p>
    <w:p>
      <w:pPr>
        <w:spacing w:after="0"/>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line="477" w:lineRule="auto" w:before="0"/>
        <w:ind w:left="153" w:right="1040" w:firstLine="0"/>
        <w:jc w:val="both"/>
        <w:rPr>
          <w:rFonts w:ascii="宋体" w:hAnsi="宋体" w:cs="宋体" w:eastAsia="宋体" w:hint="default"/>
          <w:sz w:val="18"/>
          <w:szCs w:val="18"/>
        </w:rPr>
      </w:pPr>
      <w:r>
        <w:rPr>
          <w:rFonts w:ascii="宋体" w:hAnsi="宋体" w:cs="宋体" w:eastAsia="宋体" w:hint="default"/>
          <w:spacing w:val="-2"/>
          <w:sz w:val="18"/>
          <w:szCs w:val="18"/>
        </w:rPr>
        <w:t>报告期内，公司拥有以“安妮”为核心品牌的多个产品系列，范围覆盖热敏纸、无碳纸、彩色喷墨打印纸、双胶纸等，公司</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通过加强层级管理，引入先进的管理理念，加大薪酬绩效激励作用，充分调动了团队的积极性。公司商务信息用纸定制品在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保持市场较强竞争力的同时，销量和份额也实现稳中有升；彩票用纸继续保持对10个省级彩票中心的供应合作；公司标签业</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4"/>
          <w:sz w:val="18"/>
          <w:szCs w:val="18"/>
        </w:rPr>
        <w:t>务产品持续为包括BP、固特异轮胎、博世等世界500强在内的多家客户提供服务。整体商务信息用纸业务继续保持稳定盈利。</w:t>
      </w:r>
      <w:r>
        <w:rPr>
          <w:rFonts w:ascii="宋体" w:hAnsi="宋体" w:cs="宋体" w:eastAsia="宋体" w:hint="default"/>
          <w:sz w:val="18"/>
          <w:szCs w:val="18"/>
        </w:rPr>
        <w:t> </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r>
        <w:rPr/>
        <w:t>二、主营业务分析</w:t>
      </w:r>
      <w:r>
        <w:rPr>
          <w:b w:val="0"/>
          <w:bCs w:val="0"/>
        </w:rPr>
      </w:r>
    </w:p>
    <w:p>
      <w:pPr>
        <w:spacing w:line="240" w:lineRule="auto" w:before="8"/>
        <w:rPr>
          <w:rFonts w:ascii="宋体" w:hAnsi="宋体" w:cs="宋体" w:eastAsia="宋体" w:hint="default"/>
          <w:b/>
          <w:bCs/>
          <w:sz w:val="24"/>
          <w:szCs w:val="24"/>
        </w:rPr>
      </w:pPr>
    </w:p>
    <w:p>
      <w:pPr>
        <w:spacing w:line="544" w:lineRule="auto" w:before="0"/>
        <w:ind w:left="154" w:right="647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spacing w:val="1"/>
          <w:w w:val="99"/>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4"/>
        <w:spacing w:line="240" w:lineRule="auto" w:before="28"/>
        <w:ind w:right="0"/>
        <w:jc w:val="left"/>
        <w:rPr>
          <w:b w:val="0"/>
          <w:bCs w:val="0"/>
        </w:rPr>
      </w:pPr>
      <w:r>
        <w:rPr/>
        <w:t>（</w:t>
      </w:r>
      <w:r>
        <w:rPr>
          <w:rFonts w:ascii="Times New Roman" w:hAnsi="Times New Roman" w:cs="Times New Roman" w:eastAsia="Times New Roman" w:hint="default"/>
        </w:rPr>
        <w:t>1</w:t>
      </w:r>
      <w:r>
        <w:rPr/>
        <w:t>）营业收入构成</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3D3D3"/>
          </w:tcPr>
          <w:p>
            <w:pP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7"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62"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5"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432,752,748.83</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714,872,486.11</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-39.46%</w:t>
            </w:r>
            <w:r>
              <w:rPr>
                <w:rFonts w:ascii="Times New Roman"/>
                <w:sz w:val="18"/>
              </w:rPr>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纸制品及相关服务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293,348,249.34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67.79%</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277,014,506.76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38.75%</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5.90%</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互联网及相关服务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139,404,499.49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32.21%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437,857,979.35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61.25%</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-68.16%</w:t>
            </w:r>
            <w:r>
              <w:rPr>
                <w:rFonts w:ascii="Times New Roman"/>
                <w:sz w:val="18"/>
              </w:rPr>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281,301,509.14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65.00%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270,713,299.64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37.87%</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3.91%</w:t>
            </w:r>
            <w:r>
              <w:rPr>
                <w:rFonts w:ascii="Times New Roman"/>
                <w:sz w:val="18"/>
              </w:rPr>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9"/>
                <w:sz w:val="18"/>
                <w:szCs w:val="18"/>
              </w:rPr>
              <w:t>互联网营销（新媒体</w:t>
            </w:r>
            <w:r>
              <w:rPr>
                <w:rFonts w:ascii="宋体" w:hAnsi="宋体" w:cs="宋体" w:eastAsia="宋体" w:hint="default"/>
                <w:sz w:val="18"/>
                <w:szCs w:val="18"/>
              </w:rPr>
              <w:t> 矩阵）</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5,753,428.79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1.33%</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5,601,221.86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0.78%</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2.72%</w:t>
            </w:r>
            <w:r>
              <w:rPr>
                <w:rFonts w:ascii="Times New Roman"/>
                <w:sz w:val="18"/>
              </w:rPr>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1"/>
              <w:jc w:val="left"/>
              <w:rPr>
                <w:rFonts w:ascii="宋体" w:hAnsi="宋体" w:cs="宋体" w:eastAsia="宋体" w:hint="default"/>
                <w:sz w:val="18"/>
                <w:szCs w:val="18"/>
              </w:rPr>
            </w:pPr>
            <w:r>
              <w:rPr>
                <w:rFonts w:ascii="宋体" w:hAnsi="宋体" w:cs="宋体" w:eastAsia="宋体" w:hint="default"/>
                <w:sz w:val="18"/>
                <w:szCs w:val="18"/>
              </w:rPr>
              <w:t>版权技术及保护业 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27,799,559.71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6.42%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29,615,429.64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4.14%</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-6.13%</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版权交易与增值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69,316,700.73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16.02%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106,277,631.02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14.87%</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-34.78%</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游戏分发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14,466,964.15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3.34%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75,925,496.72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10.62%</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-80.95%</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游戏虚拟货币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16,521,981.13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3.82%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85,247,517.13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11.92%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-80.62%</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网络流量服务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238,518.25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0.06%</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260,494.30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0.04%</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-8.44%</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影视剧投资</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129,081,132.07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18.06%</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1"/>
              <w:jc w:val="left"/>
              <w:rPr>
                <w:rFonts w:ascii="宋体" w:hAnsi="宋体" w:cs="宋体" w:eastAsia="宋体" w:hint="default"/>
                <w:sz w:val="18"/>
                <w:szCs w:val="18"/>
              </w:rPr>
            </w:pPr>
            <w:r>
              <w:rPr>
                <w:rFonts w:ascii="宋体" w:hAnsi="宋体" w:cs="宋体" w:eastAsia="宋体" w:hint="default"/>
                <w:sz w:val="18"/>
                <w:szCs w:val="18"/>
              </w:rPr>
              <w:t>大数据系统贸易业 务</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5,849,056.61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0.82%</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艺术品销售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5,248,695.78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1.21%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酒水、食品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58,650.95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非主营业务收入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12,046,740.20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2.78%</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6,301,207.12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0.88%</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91.18%</w:t>
            </w:r>
            <w:r>
              <w:rPr>
                <w:rFonts w:ascii="Times New Roman"/>
                <w:sz w:val="18"/>
              </w:rPr>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4,278,727.72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0.99%</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4,034,417.30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0.56%</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6.06%</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237,002,571.09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54.77%</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512,653,949.57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71.71%</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-53.77%</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53,496,181.21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12.36%</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58,834,615.28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8.23%</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-9.07%</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119,541,303.66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27.62%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118,747,031.15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16.61%</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0.67%</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18,433,965.15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4.26%</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20,602,472.81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2.88%</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-10.53%</w:t>
            </w:r>
            <w:r>
              <w:rPr>
                <w:rFonts w:ascii="Times New Roman"/>
                <w:sz w:val="18"/>
              </w:rPr>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3"/>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纸制品及相关服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281,301,509.14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224,973,622.91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20.02%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3.91%</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0.84%</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2.43%</w:t>
            </w:r>
            <w:r>
              <w:rPr>
                <w:rFonts w:ascii="Times New Roman"/>
                <w:sz w:val="18"/>
              </w:rPr>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互联网及相关服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139,404,499.49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64,545,899.84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53.70%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-68.16%</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-78.70%</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22.91%</w:t>
            </w:r>
            <w:r>
              <w:rPr>
                <w:rFonts w:ascii="Times New Roman"/>
                <w:sz w:val="18"/>
              </w:rPr>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281,301,509.14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224,973,622.91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20.02%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3.91%</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0.84%</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2.43%</w:t>
            </w:r>
            <w:r>
              <w:rPr>
                <w:rFonts w:ascii="Times New Roman"/>
                <w:sz w:val="18"/>
              </w:rPr>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互联网数字营销</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（新媒体矩阵）</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5,753,428.79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881,748.61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84.67%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2.72%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148.19%</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-8.98%</w:t>
            </w:r>
            <w:r>
              <w:rPr>
                <w:rFonts w:ascii="Times New Roman"/>
                <w:sz w:val="18"/>
              </w:rPr>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版权技术及保护 业务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27,799,559.71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8,646,077.10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68.90%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-6.13%</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-26.08%</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8.39%</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版权交易与增值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69,316,700.73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27,257,163.77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60.68%</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-34.78%</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-42.23%</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5.07%</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游戏分发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14,466,964.15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10,810,847.35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25.27%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-80.95%</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-78.88%</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-7.30%</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游戏虚拟货币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16,521,981.13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16,773,584.90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-1.52%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-80.62%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-80.59%</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-0.15%</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网络流量服务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238,518.25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141,509.40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40.67%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-8.44%</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-59.33%</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艺术品销售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5,248,695.78</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酒水、食品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58,650.95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34,968.71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40.38%</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7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4,278,727.72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3,090,439.63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27.77%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6.06%</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9.64%</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-2.36%</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237,002,571.09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127,977,513.11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46.00%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-53.77%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-64.04%</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15.42%</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53,496,181.21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48,534,766.86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9.27%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-9.07%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-7.80%</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-1.25%</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107,494,563.46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94,231,162.35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12.34%</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-4.40%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-3.52%</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-0.80%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8" w:right="0"/>
              <w:jc w:val="left"/>
              <w:rPr>
                <w:rFonts w:ascii="Times New Roman" w:hAnsi="Times New Roman" w:cs="Times New Roman" w:eastAsia="Times New Roman" w:hint="default"/>
                <w:sz w:val="18"/>
                <w:szCs w:val="18"/>
              </w:rPr>
            </w:pPr>
            <w:r>
              <w:rPr>
                <w:rFonts w:ascii="Times New Roman"/>
                <w:sz w:val="18"/>
              </w:rPr>
              <w:t>18,433,965.15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8" w:right="0"/>
              <w:jc w:val="left"/>
              <w:rPr>
                <w:rFonts w:ascii="Times New Roman" w:hAnsi="Times New Roman" w:cs="Times New Roman" w:eastAsia="Times New Roman" w:hint="default"/>
                <w:sz w:val="18"/>
                <w:szCs w:val="18"/>
              </w:rPr>
            </w:pPr>
            <w:r>
              <w:rPr>
                <w:rFonts w:ascii="Times New Roman"/>
                <w:sz w:val="18"/>
              </w:rPr>
              <w:t>15,685,640.80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80" w:right="0"/>
              <w:jc w:val="left"/>
              <w:rPr>
                <w:rFonts w:ascii="Times New Roman" w:hAnsi="Times New Roman" w:cs="Times New Roman" w:eastAsia="Times New Roman" w:hint="default"/>
                <w:sz w:val="18"/>
                <w:szCs w:val="18"/>
              </w:rPr>
            </w:pPr>
            <w:r>
              <w:rPr>
                <w:rFonts w:ascii="Times New Roman"/>
                <w:sz w:val="18"/>
              </w:rPr>
              <w:t>14.91%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9" w:right="0"/>
              <w:jc w:val="left"/>
              <w:rPr>
                <w:rFonts w:ascii="Times New Roman" w:hAnsi="Times New Roman" w:cs="Times New Roman" w:eastAsia="Times New Roman" w:hint="default"/>
                <w:sz w:val="18"/>
                <w:szCs w:val="18"/>
              </w:rPr>
            </w:pPr>
            <w:r>
              <w:rPr>
                <w:rFonts w:ascii="Times New Roman"/>
                <w:sz w:val="18"/>
              </w:rPr>
              <w:t>-10.53%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9" w:right="0"/>
              <w:jc w:val="left"/>
              <w:rPr>
                <w:rFonts w:ascii="Times New Roman" w:hAnsi="Times New Roman" w:cs="Times New Roman" w:eastAsia="Times New Roman" w:hint="default"/>
                <w:sz w:val="18"/>
                <w:szCs w:val="18"/>
              </w:rPr>
            </w:pPr>
            <w:r>
              <w:rPr>
                <w:rFonts w:ascii="Times New Roman"/>
                <w:sz w:val="18"/>
              </w:rPr>
              <w:t>-8.29%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4" w:right="0"/>
              <w:jc w:val="left"/>
              <w:rPr>
                <w:rFonts w:ascii="Times New Roman" w:hAnsi="Times New Roman" w:cs="Times New Roman" w:eastAsia="Times New Roman" w:hint="default"/>
                <w:sz w:val="18"/>
                <w:szCs w:val="18"/>
              </w:rPr>
            </w:pPr>
            <w:r>
              <w:rPr>
                <w:rFonts w:ascii="Times New Roman"/>
                <w:sz w:val="18"/>
              </w:rPr>
              <w:t>-2.08%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年按报告期末口径调整后的主营业务数据</w:t>
      </w:r>
    </w:p>
    <w:p>
      <w:pPr>
        <w:spacing w:before="103"/>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6" w:right="0"/>
              <w:jc w:val="left"/>
              <w:rPr>
                <w:rFonts w:ascii="Times New Roman" w:hAnsi="Times New Roman" w:cs="Times New Roman" w:eastAsia="Times New Roman" w:hint="default"/>
                <w:sz w:val="18"/>
                <w:szCs w:val="18"/>
              </w:rPr>
            </w:pPr>
            <w:r>
              <w:rPr>
                <w:rFonts w:ascii="Times New Roman"/>
                <w:sz w:val="18"/>
              </w:rPr>
              <w:t>224,973,622.91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223,097,040.04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0.84%</w:t>
            </w:r>
            <w:r>
              <w:rPr>
                <w:rFonts w:ascii="Times New Roman"/>
                <w:sz w:val="18"/>
              </w:rPr>
            </w:r>
          </w:p>
        </w:tc>
      </w:tr>
      <w:tr>
        <w:trPr>
          <w:trHeight w:val="402" w:hRule="exact"/>
        </w:trPr>
        <w:tc>
          <w:tcPr>
            <w:tcW w:w="1596"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2" w:right="0"/>
              <w:jc w:val="left"/>
              <w:rPr>
                <w:rFonts w:ascii="Times New Roman" w:hAnsi="Times New Roman" w:cs="Times New Roman" w:eastAsia="Times New Roman" w:hint="default"/>
                <w:sz w:val="18"/>
                <w:szCs w:val="18"/>
              </w:rPr>
            </w:pPr>
            <w:r>
              <w:rPr>
                <w:rFonts w:ascii="Times New Roman"/>
                <w:sz w:val="18"/>
              </w:rPr>
              <w:t>117,238,690.72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120,536,332.34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-2.74%</w:t>
            </w:r>
            <w:r>
              <w:rPr>
                <w:rFonts w:ascii="Times New Roman"/>
                <w:sz w:val="18"/>
              </w:rPr>
            </w:r>
          </w:p>
        </w:tc>
      </w:tr>
      <w:tr>
        <w:trPr>
          <w:trHeight w:val="403"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26" w:right="0"/>
              <w:jc w:val="left"/>
              <w:rPr>
                <w:rFonts w:ascii="Times New Roman" w:hAnsi="Times New Roman" w:cs="Times New Roman" w:eastAsia="Times New Roman" w:hint="default"/>
                <w:sz w:val="18"/>
                <w:szCs w:val="18"/>
              </w:rPr>
            </w:pPr>
            <w:r>
              <w:rPr>
                <w:rFonts w:ascii="Times New Roman"/>
                <w:sz w:val="18"/>
              </w:rPr>
              <w:t>23,480,459.57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24,083,843.38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-2.51%</w:t>
            </w:r>
            <w:r>
              <w:rPr>
                <w:rFonts w:ascii="Times New Roman"/>
                <w:sz w:val="18"/>
              </w:rPr>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相关数据同比发生变动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以上的原因说明</w:t>
      </w:r>
    </w:p>
    <w:p>
      <w:pPr>
        <w:spacing w:before="10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5</w:t>
      </w:r>
      <w:r>
        <w:rPr/>
        <w:t>）营业成本构成</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82" w:top="1060" w:bottom="1180" w:left="980" w:right="0"/>
        </w:sectPr>
      </w:pPr>
    </w:p>
    <w:p>
      <w:pPr>
        <w:spacing w:line="357" w:lineRule="auto"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行业分类 行业分类</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875" w:space="8044"/>
            <w:col w:w="201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9"/>
        <w:gridCol w:w="1750"/>
        <w:gridCol w:w="1277"/>
        <w:gridCol w:w="1416"/>
        <w:gridCol w:w="1277"/>
        <w:gridCol w:w="1417"/>
        <w:gridCol w:w="1066"/>
      </w:tblGrid>
      <w:tr>
        <w:trPr>
          <w:trHeight w:val="402" w:hRule="exact"/>
        </w:trPr>
        <w:tc>
          <w:tcPr>
            <w:tcW w:w="136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75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9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0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69" w:type="dxa"/>
            <w:vMerge/>
            <w:tcBorders>
              <w:left w:val="single" w:sz="4" w:space="0" w:color="000000"/>
              <w:bottom w:val="single" w:sz="4" w:space="0" w:color="000000"/>
              <w:right w:val="single" w:sz="4" w:space="0" w:color="000000"/>
            </w:tcBorders>
            <w:shd w:val="clear" w:color="auto" w:fill="D3D3D3"/>
          </w:tcPr>
          <w:p>
            <w:pPr/>
          </w:p>
        </w:tc>
        <w:tc>
          <w:tcPr>
            <w:tcW w:w="1750" w:type="dxa"/>
            <w:vMerge/>
            <w:tcBorders>
              <w:left w:val="single" w:sz="4" w:space="0" w:color="000000"/>
              <w:bottom w:val="single" w:sz="4" w:space="0" w:color="000000"/>
              <w:right w:val="single" w:sz="4" w:space="0" w:color="000000"/>
            </w:tcBorders>
            <w:shd w:val="clear" w:color="auto" w:fill="D3D3D3"/>
          </w:tcPr>
          <w:p>
            <w:pPr/>
          </w:p>
        </w:tc>
        <w:tc>
          <w:tcPr>
            <w:tcW w:w="1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71"/>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72"/>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066"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0"/>
                <w:szCs w:val="20"/>
              </w:rPr>
            </w:pPr>
          </w:p>
          <w:p>
            <w:pPr>
              <w:pStyle w:val="TableParagraph"/>
              <w:spacing w:line="319" w:lineRule="auto"/>
              <w:ind w:left="22" w:right="74"/>
              <w:jc w:val="left"/>
              <w:rPr>
                <w:rFonts w:ascii="宋体" w:hAnsi="宋体" w:cs="宋体" w:eastAsia="宋体" w:hint="default"/>
                <w:sz w:val="18"/>
                <w:szCs w:val="18"/>
              </w:rPr>
            </w:pPr>
            <w:r>
              <w:rPr>
                <w:rFonts w:ascii="宋体" w:hAnsi="宋体" w:cs="宋体" w:eastAsia="宋体" w:hint="default"/>
                <w:sz w:val="18"/>
                <w:szCs w:val="18"/>
              </w:rPr>
              <w:t>纸制品及相关服 务</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194,541,807.72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86.47%</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189,388,194.46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84.89%</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2.72%</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11,672,834.84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5.19%</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15,551,337.78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6.97%</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-24.94%</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7,059,081.23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3.14%</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8,241,549.79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3.69%</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-14.35%</w:t>
            </w:r>
            <w:r>
              <w:rPr>
                <w:rFonts w:ascii="Times New Roman"/>
                <w:sz w:val="18"/>
              </w:rPr>
            </w:r>
          </w:p>
        </w:tc>
      </w:tr>
      <w:tr>
        <w:trPr>
          <w:trHeight w:val="402" w:hRule="exact"/>
        </w:trPr>
        <w:tc>
          <w:tcPr>
            <w:tcW w:w="1369" w:type="dxa"/>
            <w:vMerge/>
            <w:tcBorders>
              <w:left w:val="single" w:sz="4" w:space="0" w:color="000000"/>
              <w:bottom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11,699,899.12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5.20%</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9,915,958.01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4.44%</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17.99%</w:t>
            </w:r>
          </w:p>
        </w:tc>
      </w:tr>
      <w:tr>
        <w:trPr>
          <w:trHeight w:val="402"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22" w:right="74"/>
              <w:jc w:val="left"/>
              <w:rPr>
                <w:rFonts w:ascii="宋体" w:hAnsi="宋体" w:cs="宋体" w:eastAsia="宋体" w:hint="default"/>
                <w:sz w:val="18"/>
                <w:szCs w:val="18"/>
              </w:rPr>
            </w:pPr>
            <w:r>
              <w:rPr>
                <w:rFonts w:ascii="宋体" w:hAnsi="宋体" w:cs="宋体" w:eastAsia="宋体" w:hint="default"/>
                <w:sz w:val="18"/>
                <w:szCs w:val="18"/>
              </w:rPr>
              <w:t>互联网及相关服 务</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互联网营销</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881,748.61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1.37%</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355,276.96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0.12%</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148.19%</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版权技术及保护业务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8,646,077.10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13.40%</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11,695,970.69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3.86%</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-26.08%</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版权交易与增值</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27,257,163.77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42.23%</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47,182,351.58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15.57%</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-42.23%</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游戏分发</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10,810,847.35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16.75%</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51,195,084.15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16.90%</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-78.88%</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游戏虚拟货币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16,773,584.90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25.99%</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86,419,073.56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28.52%</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-80.59%</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网络流量服务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141,509.40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影视剧投资</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100,622,641.52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33.21%</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369" w:type="dxa"/>
            <w:vMerge/>
            <w:tcBorders>
              <w:left w:val="single" w:sz="4" w:space="0" w:color="000000"/>
              <w:bottom w:val="single" w:sz="4" w:space="0" w:color="000000"/>
              <w:right w:val="single" w:sz="4" w:space="0" w:color="000000"/>
            </w:tcBorders>
          </w:tcPr>
          <w:p>
            <w:pP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大数据系统贸易业务</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5,556,603.77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1.83%</w:t>
            </w:r>
            <w:r>
              <w:rPr>
                <w:rFonts w:ascii="Times New Roman"/>
                <w:sz w:val="18"/>
              </w:rPr>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酒水、食品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34,968.71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0.05%</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80" w:left="980" w:right="0"/>
        </w:sectPr>
      </w:pPr>
    </w:p>
    <w:p>
      <w:pPr>
        <w:spacing w:line="240" w:lineRule="auto" w:before="13"/>
        <w:rPr>
          <w:rFonts w:ascii="宋体" w:hAnsi="宋体" w:cs="宋体" w:eastAsia="宋体" w:hint="default"/>
          <w:sz w:val="25"/>
          <w:szCs w:val="25"/>
        </w:rPr>
      </w:pPr>
    </w:p>
    <w:p>
      <w:pPr>
        <w:spacing w:before="44"/>
        <w:ind w:left="153" w:right="0"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13"/>
          <w:szCs w:val="13"/>
        </w:rPr>
      </w:pPr>
    </w:p>
    <w:p>
      <w:pPr>
        <w:spacing w:before="0"/>
        <w:ind w:left="578" w:right="0" w:firstLine="0"/>
        <w:jc w:val="left"/>
        <w:rPr>
          <w:rFonts w:ascii="宋体" w:hAnsi="宋体" w:cs="宋体" w:eastAsia="宋体" w:hint="default"/>
          <w:sz w:val="18"/>
          <w:szCs w:val="18"/>
        </w:rPr>
      </w:pPr>
      <w:r>
        <w:rPr>
          <w:rFonts w:ascii="宋体" w:hAnsi="宋体" w:cs="宋体" w:eastAsia="宋体" w:hint="default"/>
          <w:sz w:val="18"/>
          <w:szCs w:val="18"/>
        </w:rPr>
        <w:t>1、2019年2月28日，本公司设立全资子公司厦门安妮文化产业开发有限公司，注册资本人民币2500万元,本公司持股</w:t>
      </w:r>
    </w:p>
    <w:p>
      <w:pPr>
        <w:spacing w:line="240" w:lineRule="auto" w:before="10"/>
        <w:rPr>
          <w:rFonts w:ascii="宋体" w:hAnsi="宋体" w:cs="宋体" w:eastAsia="宋体" w:hint="default"/>
          <w:sz w:val="17"/>
          <w:szCs w:val="17"/>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100%，本期纳入合并范围。 </w:t>
      </w:r>
    </w:p>
    <w:p>
      <w:pPr>
        <w:spacing w:line="240" w:lineRule="auto" w:before="10"/>
        <w:rPr>
          <w:rFonts w:ascii="宋体" w:hAnsi="宋体" w:cs="宋体" w:eastAsia="宋体" w:hint="default"/>
          <w:sz w:val="17"/>
          <w:szCs w:val="17"/>
        </w:rPr>
      </w:pPr>
    </w:p>
    <w:p>
      <w:pPr>
        <w:spacing w:line="477" w:lineRule="auto" w:before="0"/>
        <w:ind w:left="154" w:right="1113" w:firstLine="424"/>
        <w:jc w:val="left"/>
        <w:rPr>
          <w:rFonts w:ascii="宋体" w:hAnsi="宋体" w:cs="宋体" w:eastAsia="宋体" w:hint="default"/>
          <w:sz w:val="18"/>
          <w:szCs w:val="18"/>
        </w:rPr>
      </w:pPr>
      <w:r>
        <w:rPr>
          <w:rFonts w:ascii="宋体" w:hAnsi="宋体" w:cs="宋体" w:eastAsia="宋体" w:hint="default"/>
          <w:spacing w:val="-1"/>
          <w:sz w:val="18"/>
          <w:szCs w:val="18"/>
        </w:rPr>
        <w:t>2、2019年3月13日，本公司与自然人葛伯莹、金夜明成立合资子公司厦门安普农食品有限公司，注册资本100万元，其</w:t>
      </w:r>
      <w:r>
        <w:rPr>
          <w:rFonts w:ascii="宋体" w:hAnsi="宋体" w:cs="宋体" w:eastAsia="宋体" w:hint="default"/>
          <w:sz w:val="18"/>
          <w:szCs w:val="18"/>
        </w:rPr>
        <w:t> 中本公司持股51%，葛伯莹持股20%、金夜明持股19%，本期纳入合并范围。 </w:t>
      </w:r>
    </w:p>
    <w:p>
      <w:pPr>
        <w:spacing w:line="477" w:lineRule="auto" w:before="54"/>
        <w:ind w:left="154" w:right="0" w:firstLine="424"/>
        <w:jc w:val="left"/>
        <w:rPr>
          <w:rFonts w:ascii="宋体" w:hAnsi="宋体" w:cs="宋体" w:eastAsia="宋体" w:hint="default"/>
          <w:sz w:val="18"/>
          <w:szCs w:val="18"/>
        </w:rPr>
      </w:pPr>
      <w:r>
        <w:rPr>
          <w:rFonts w:ascii="宋体" w:hAnsi="宋体" w:cs="宋体" w:eastAsia="宋体" w:hint="default"/>
          <w:spacing w:val="-2"/>
          <w:sz w:val="18"/>
          <w:szCs w:val="18"/>
        </w:rPr>
        <w:t>3、2019年6月26日，本公司子公司淘智惠设立子公司北京稿稿文化传播有限公司，注册资本人民币100万元，淘智惠持</w:t>
      </w:r>
      <w:r>
        <w:rPr>
          <w:rFonts w:ascii="宋体" w:hAnsi="宋体" w:cs="宋体" w:eastAsia="宋体" w:hint="default"/>
          <w:sz w:val="18"/>
          <w:szCs w:val="18"/>
        </w:rPr>
        <w:t> 股100%，本期纳入合并范围。 </w:t>
      </w:r>
    </w:p>
    <w:p>
      <w:pPr>
        <w:spacing w:line="477" w:lineRule="auto" w:before="54"/>
        <w:ind w:left="154" w:right="0" w:firstLine="424"/>
        <w:jc w:val="left"/>
        <w:rPr>
          <w:rFonts w:ascii="宋体" w:hAnsi="宋体" w:cs="宋体" w:eastAsia="宋体" w:hint="default"/>
          <w:sz w:val="18"/>
          <w:szCs w:val="18"/>
        </w:rPr>
      </w:pPr>
      <w:r>
        <w:rPr>
          <w:rFonts w:ascii="宋体" w:hAnsi="宋体" w:cs="宋体" w:eastAsia="宋体" w:hint="default"/>
          <w:spacing w:val="-2"/>
          <w:sz w:val="18"/>
          <w:szCs w:val="18"/>
        </w:rPr>
        <w:t>4、2019年3月15日，本公司孙公司新疆安迅设立子公司霍尔果斯林沛文化服务有限公司，注册资本人民币400万元，新</w:t>
      </w:r>
      <w:r>
        <w:rPr>
          <w:rFonts w:ascii="宋体" w:hAnsi="宋体" w:cs="宋体" w:eastAsia="宋体" w:hint="default"/>
          <w:sz w:val="18"/>
          <w:szCs w:val="18"/>
        </w:rPr>
        <w:t> 疆安迅持股100%，本期纳入合并范围。 </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88,304,372.49</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20.41%</w:t>
            </w:r>
            <w:r>
              <w:rPr>
                <w:rFonts w:ascii="Times New Roman"/>
                <w:sz w:val="18"/>
              </w:rPr>
            </w:r>
          </w:p>
        </w:tc>
      </w:tr>
      <w:tr>
        <w:trPr>
          <w:trHeight w:val="714"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82"/>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802"/>
        <w:gridCol w:w="3301"/>
        <w:gridCol w:w="2322"/>
        <w:gridCol w:w="3143"/>
      </w:tblGrid>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22,628,431.86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5.23%</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21,698,113.21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5.01%</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16,246,275.79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3.75%</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15,233,559.83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3.52%</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12,497,991.81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2.89%</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88,304,372.49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20.41%</w:t>
            </w:r>
            <w:r>
              <w:rPr>
                <w:rFonts w:ascii="Times New Roman"/>
                <w:sz w:val="18"/>
              </w:rPr>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38" w:lineRule="auto" w:before="117"/>
        <w:ind w:left="154" w:right="913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公司主要供应商情况</w:t>
      </w:r>
    </w:p>
    <w:p>
      <w:pPr>
        <w:spacing w:after="0" w:line="338" w:lineRule="auto"/>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122,833,566.66</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34.88%</w:t>
            </w:r>
            <w:r>
              <w:rPr>
                <w:rFonts w:ascii="Times New Roman"/>
                <w:sz w:val="18"/>
              </w:rPr>
            </w:r>
          </w:p>
        </w:tc>
      </w:tr>
      <w:tr>
        <w:trPr>
          <w:trHeight w:val="714"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82"/>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81"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37,618,589.45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10.68%</w:t>
            </w:r>
            <w:r>
              <w:rPr>
                <w:rFonts w:ascii="Times New Roman"/>
                <w:sz w:val="18"/>
              </w:rPr>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35,071,312.94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9.96%</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17,549,808.10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4.98%</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16,780,000.00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4.76%</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15,813,856.17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4.49%</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122,833,566.66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34.88%</w:t>
            </w:r>
            <w:r>
              <w:rPr>
                <w:rFonts w:ascii="Times New Roman"/>
                <w:sz w:val="18"/>
              </w:rPr>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7"/>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5"/>
        <w:gridCol w:w="1637"/>
        <w:gridCol w:w="1637"/>
        <w:gridCol w:w="1462"/>
        <w:gridCol w:w="2917"/>
      </w:tblGrid>
      <w:tr>
        <w:trPr>
          <w:trHeight w:val="401"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45,705,712.02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61,019,489.80</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-25.10%</w:t>
            </w:r>
            <w:r>
              <w:rPr>
                <w:rFonts w:ascii="Times New Roman"/>
                <w:sz w:val="18"/>
              </w:rPr>
            </w:r>
          </w:p>
        </w:tc>
        <w:tc>
          <w:tcPr>
            <w:tcW w:w="291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59,216,500.25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66,425,567.13</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-10.85%</w:t>
            </w:r>
            <w:r>
              <w:rPr>
                <w:rFonts w:ascii="Times New Roman"/>
                <w:sz w:val="18"/>
              </w:rPr>
            </w:r>
          </w:p>
        </w:tc>
        <w:tc>
          <w:tcPr>
            <w:tcW w:w="291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6,123,523.80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1,428,446.66</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328.68%</w:t>
            </w:r>
            <w:r>
              <w:rPr>
                <w:rFonts w:ascii="Times New Roman"/>
                <w:sz w:val="18"/>
              </w:rPr>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银行借款增加</w:t>
            </w:r>
          </w:p>
        </w:tc>
      </w:tr>
      <w:tr>
        <w:trPr>
          <w:trHeight w:val="403"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22,134,614.72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27,030,291.64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2"/>
                <w:sz w:val="18"/>
              </w:rPr>
              <w:t>-18.11%</w:t>
            </w:r>
          </w:p>
        </w:tc>
        <w:tc>
          <w:tcPr>
            <w:tcW w:w="291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93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公司研发投入情况</w:t>
      </w:r>
    </w:p>
    <w:p>
      <w:pPr>
        <w:spacing w:line="319" w:lineRule="auto" w:before="41"/>
        <w:ind w:left="154" w:right="1117" w:firstLine="360"/>
        <w:jc w:val="left"/>
        <w:rPr>
          <w:rFonts w:ascii="宋体" w:hAnsi="宋体" w:cs="宋体" w:eastAsia="宋体" w:hint="default"/>
          <w:sz w:val="18"/>
          <w:szCs w:val="18"/>
        </w:rPr>
      </w:pPr>
      <w:r>
        <w:rPr>
          <w:rFonts w:ascii="宋体" w:hAnsi="宋体" w:cs="宋体" w:eastAsia="宋体" w:hint="default"/>
          <w:spacing w:val="-2"/>
          <w:sz w:val="18"/>
          <w:szCs w:val="18"/>
        </w:rPr>
        <w:t>公司持续增加版权服务领域的研发投入，充分利用人工智能、区块链、云计算、大数据等底层技术，提升版权大数据平</w:t>
      </w:r>
      <w:r>
        <w:rPr>
          <w:rFonts w:ascii="宋体" w:hAnsi="宋体" w:cs="宋体" w:eastAsia="宋体" w:hint="default"/>
          <w:sz w:val="18"/>
          <w:szCs w:val="18"/>
        </w:rPr>
        <w:t> 台建设。</w:t>
      </w:r>
    </w:p>
    <w:p>
      <w:pPr>
        <w:spacing w:line="240" w:lineRule="auto" w:before="7"/>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-15.28%</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20.43%</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17.68%</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2.75%</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22,134,614.72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27,030,291.64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-18.11%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5.11%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3.78%</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1.33%</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资本化研发投入占研发投入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82" w:top="1060" w:bottom="118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36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的比例</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38" w:lineRule="auto" w:before="117"/>
        <w:ind w:left="154" w:right="67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研发投入资本化率大幅变动的原因及其合理性说明</w:t>
      </w:r>
    </w:p>
    <w:p>
      <w:pPr>
        <w:spacing w:before="4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5</w:t>
      </w:r>
      <w:r>
        <w:rPr/>
        <w:t>、现金流</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585,621,686.33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604,146,522.58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-3.07%</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515,666,652.15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741,887,308.07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-30.49%</w:t>
            </w:r>
            <w:r>
              <w:rPr>
                <w:rFonts w:ascii="Times New Roman"/>
                <w:sz w:val="18"/>
              </w:rPr>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393"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69,955,034.18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-137,740,785.49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150.79%</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1,244,210,037.20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1,310,755,523.40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-5.08%</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1,286,811,765.64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1,370,586,537.97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-6.11%</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3"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-42,601,728.44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-59,831,014.57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28.80%</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195,245,000.00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62.70%</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172,505,400.17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52,935,897.52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225.88%</w:t>
            </w:r>
            <w:r>
              <w:rPr>
                <w:rFonts w:ascii="Times New Roman"/>
                <w:sz w:val="18"/>
              </w:rPr>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3"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22,739,599.83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67,064,102.48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-66.09%</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50,043,867.44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-130,436,681.06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138.37%</w:t>
            </w:r>
            <w:r>
              <w:rPr>
                <w:rFonts w:ascii="Times New Roman"/>
                <w:sz w:val="18"/>
              </w:rPr>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line="412" w:lineRule="auto" w:before="117"/>
        <w:ind w:left="154" w:right="43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1、经营活动现金流出小计较上年同期减少30.49%，是影视投资较上期减少所致； </w:t>
      </w:r>
    </w:p>
    <w:p>
      <w:pPr>
        <w:spacing w:before="103"/>
        <w:ind w:left="154" w:right="0" w:firstLine="0"/>
        <w:jc w:val="left"/>
        <w:rPr>
          <w:rFonts w:ascii="宋体" w:hAnsi="宋体" w:cs="宋体" w:eastAsia="宋体" w:hint="default"/>
          <w:sz w:val="18"/>
          <w:szCs w:val="18"/>
        </w:rPr>
      </w:pPr>
      <w:r>
        <w:rPr>
          <w:rFonts w:ascii="宋体" w:hAnsi="宋体" w:cs="宋体" w:eastAsia="宋体" w:hint="default"/>
          <w:sz w:val="18"/>
          <w:szCs w:val="18"/>
        </w:rPr>
        <w:t>2、经营活动产生的现金流量净额较上年同期增加</w:t>
      </w:r>
      <w:r>
        <w:rPr>
          <w:rFonts w:ascii="Times New Roman" w:hAnsi="Times New Roman" w:cs="Times New Roman" w:eastAsia="Times New Roman" w:hint="default"/>
          <w:sz w:val="18"/>
          <w:szCs w:val="18"/>
        </w:rPr>
        <w:t>150.79%</w:t>
      </w:r>
      <w:r>
        <w:rPr>
          <w:rFonts w:ascii="宋体" w:hAnsi="宋体" w:cs="宋体" w:eastAsia="宋体" w:hint="default"/>
          <w:sz w:val="18"/>
          <w:szCs w:val="18"/>
        </w:rPr>
        <w:t>，是因为公司加大应收账款回款力度；</w:t>
      </w:r>
    </w:p>
    <w:p>
      <w:pPr>
        <w:spacing w:line="240" w:lineRule="auto" w:before="9"/>
        <w:rPr>
          <w:rFonts w:ascii="宋体" w:hAnsi="宋体" w:cs="宋体" w:eastAsia="宋体" w:hint="default"/>
          <w:sz w:val="16"/>
          <w:szCs w:val="1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、筹资活动现金流入小计较上年同期增加</w:t>
      </w:r>
      <w:r>
        <w:rPr>
          <w:rFonts w:ascii="Times New Roman" w:hAnsi="Times New Roman" w:cs="Times New Roman" w:eastAsia="Times New Roman" w:hint="default"/>
          <w:sz w:val="18"/>
          <w:szCs w:val="18"/>
        </w:rPr>
        <w:t>62.70%</w:t>
      </w:r>
      <w:r>
        <w:rPr>
          <w:rFonts w:ascii="宋体" w:hAnsi="宋体" w:cs="宋体" w:eastAsia="宋体" w:hint="default"/>
          <w:sz w:val="18"/>
          <w:szCs w:val="18"/>
        </w:rPr>
        <w:t>，是因为银行借款增加所致；</w:t>
      </w:r>
    </w:p>
    <w:p>
      <w:pPr>
        <w:spacing w:line="240" w:lineRule="auto" w:before="9"/>
        <w:rPr>
          <w:rFonts w:ascii="宋体" w:hAnsi="宋体" w:cs="宋体" w:eastAsia="宋体" w:hint="default"/>
          <w:sz w:val="16"/>
          <w:szCs w:val="1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、筹资活动现金流出小计较上年同期增加</w:t>
      </w:r>
      <w:r>
        <w:rPr>
          <w:rFonts w:ascii="Times New Roman" w:hAnsi="Times New Roman" w:cs="Times New Roman" w:eastAsia="Times New Roman" w:hint="default"/>
          <w:sz w:val="18"/>
          <w:szCs w:val="18"/>
        </w:rPr>
        <w:t>225.88%</w:t>
      </w:r>
      <w:r>
        <w:rPr>
          <w:rFonts w:ascii="宋体" w:hAnsi="宋体" w:cs="宋体" w:eastAsia="宋体" w:hint="default"/>
          <w:sz w:val="18"/>
          <w:szCs w:val="18"/>
        </w:rPr>
        <w:t>，是因为归还银行增加所致；</w:t>
      </w:r>
    </w:p>
    <w:p>
      <w:pPr>
        <w:spacing w:line="240" w:lineRule="auto" w:before="9"/>
        <w:rPr>
          <w:rFonts w:ascii="宋体" w:hAnsi="宋体" w:cs="宋体" w:eastAsia="宋体" w:hint="default"/>
          <w:sz w:val="16"/>
          <w:szCs w:val="1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5、筹资活动产生的现金流量净额较上年同期减少</w:t>
      </w:r>
      <w:r>
        <w:rPr>
          <w:rFonts w:ascii="Times New Roman" w:hAnsi="Times New Roman" w:cs="Times New Roman" w:eastAsia="Times New Roman" w:hint="default"/>
          <w:sz w:val="18"/>
          <w:szCs w:val="18"/>
        </w:rPr>
        <w:t>66.09%</w:t>
      </w:r>
      <w:r>
        <w:rPr>
          <w:rFonts w:ascii="宋体" w:hAnsi="宋体" w:cs="宋体" w:eastAsia="宋体" w:hint="default"/>
          <w:sz w:val="18"/>
          <w:szCs w:val="18"/>
        </w:rPr>
        <w:t>，是因为银行借款较期初增加所致；</w:t>
      </w:r>
    </w:p>
    <w:p>
      <w:pPr>
        <w:spacing w:line="240" w:lineRule="auto" w:before="9"/>
        <w:rPr>
          <w:rFonts w:ascii="宋体" w:hAnsi="宋体" w:cs="宋体" w:eastAsia="宋体" w:hint="default"/>
          <w:sz w:val="16"/>
          <w:szCs w:val="1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6、现金及现金等价物净增加额较上年同期增加</w:t>
      </w:r>
      <w:r>
        <w:rPr>
          <w:rFonts w:ascii="Times New Roman" w:hAnsi="Times New Roman" w:cs="Times New Roman" w:eastAsia="Times New Roman" w:hint="default"/>
          <w:sz w:val="18"/>
          <w:szCs w:val="18"/>
        </w:rPr>
        <w:t>138.37%</w:t>
      </w:r>
      <w:r>
        <w:rPr>
          <w:rFonts w:ascii="宋体" w:hAnsi="宋体" w:cs="宋体" w:eastAsia="宋体" w:hint="default"/>
          <w:sz w:val="18"/>
          <w:szCs w:val="18"/>
        </w:rPr>
        <w:t>，是因为公司现金流改善。</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82" w:top="1060" w:bottom="118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left"/>
        <w:rPr>
          <w:b w:val="0"/>
          <w:bCs w:val="0"/>
        </w:rPr>
      </w:pPr>
      <w:r>
        <w:rPr/>
        <w:t>三、非主营业务分析</w:t>
      </w:r>
      <w:r>
        <w:rPr>
          <w:b w:val="0"/>
          <w:bCs w:val="0"/>
        </w:rPr>
      </w:r>
    </w:p>
    <w:p>
      <w:pPr>
        <w:spacing w:line="240" w:lineRule="auto" w:before="3"/>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23"/>
        <w:gridCol w:w="1916"/>
        <w:gridCol w:w="1622"/>
        <w:gridCol w:w="2254"/>
        <w:gridCol w:w="2254"/>
      </w:tblGrid>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76"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81"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01"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27,723,188.22</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108.07%</w:t>
            </w:r>
            <w:r>
              <w:rPr>
                <w:rFonts w:ascii="Times New Roman"/>
                <w:sz w:val="18"/>
              </w:rPr>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主要是结构性存款收益</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1,118,272.22</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4.36%</w:t>
            </w:r>
            <w:r>
              <w:rPr>
                <w:rFonts w:ascii="Times New Roman"/>
                <w:sz w:val="18"/>
              </w:rPr>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计提结构性存款收益</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224,330,400.68</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874.49%</w:t>
            </w:r>
            <w:r>
              <w:rPr>
                <w:rFonts w:ascii="Times New Roman"/>
                <w:sz w:val="18"/>
              </w:rPr>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主要是计提商誉减值损失</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235,802,067.74</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919.21%</w:t>
            </w:r>
            <w:r>
              <w:rPr>
                <w:rFonts w:ascii="Times New Roman"/>
                <w:sz w:val="18"/>
              </w:rPr>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9"/>
              <w:jc w:val="left"/>
              <w:rPr>
                <w:rFonts w:ascii="宋体" w:hAnsi="宋体" w:cs="宋体" w:eastAsia="宋体" w:hint="default"/>
                <w:sz w:val="18"/>
                <w:szCs w:val="18"/>
              </w:rPr>
            </w:pPr>
            <w:r>
              <w:rPr>
                <w:rFonts w:ascii="宋体" w:hAnsi="宋体" w:cs="宋体" w:eastAsia="宋体" w:hint="default"/>
                <w:sz w:val="18"/>
                <w:szCs w:val="18"/>
              </w:rPr>
              <w:t>主要是注销业绩赔偿股份产 生的收益</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8,043,142.28</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31.35%</w:t>
            </w:r>
            <w:r>
              <w:rPr>
                <w:rFonts w:ascii="Times New Roman"/>
                <w:sz w:val="18"/>
              </w:rPr>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主要是公益性捐赠</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82" w:top="1060" w:bottom="1180" w:left="980" w:right="0"/>
        </w:sectPr>
      </w:pPr>
    </w:p>
    <w:p>
      <w:pPr>
        <w:pStyle w:val="Heading2"/>
        <w:spacing w:line="240" w:lineRule="auto" w:before="30"/>
        <w:ind w:left="139" w:right="0"/>
        <w:jc w:val="left"/>
        <w:rPr>
          <w:b w:val="0"/>
          <w:bCs w:val="0"/>
        </w:rPr>
      </w:pPr>
      <w:r>
        <w:rPr/>
        <w:pict>
          <v:group style="position:absolute;margin-left:70.490997pt;margin-top:2.25562pt;width:700.95pt;height:.1pt;mso-position-horizontal-relative:page;mso-position-vertical-relative:paragraph;z-index:-963496" coordorigin="1410,45" coordsize="14019,2">
            <v:shape style="position:absolute;left:1410;top:45;width:14019;height:2" coordorigin="1410,45" coordsize="14019,0" path="m1410,45l15428,45e" filled="false" stroked="true" strokeweight=".72pt" strokecolor="#000000">
              <v:path arrowok="t"/>
            </v:shape>
            <w10:wrap type="none"/>
          </v:group>
        </w:pict>
      </w:r>
      <w:r>
        <w:rPr/>
        <w:t>四、资产及负债状况分析</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39" w:right="0"/>
        <w:jc w:val="left"/>
        <w:rPr>
          <w:b w:val="0"/>
          <w:bCs w:val="0"/>
        </w:rPr>
      </w:pP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headerReference w:type="default" r:id="rId16"/>
          <w:footerReference w:type="default" r:id="rId17"/>
          <w:pgSz w:w="16840" w:h="11910" w:orient="landscape"/>
          <w:pgMar w:header="867" w:footer="978" w:top="1060" w:bottom="1160" w:left="1300" w:right="1240"/>
          <w:pgNumType w:start="26"/>
        </w:sectPr>
      </w:pPr>
    </w:p>
    <w:p>
      <w:pPr>
        <w:spacing w:before="44"/>
        <w:ind w:left="139" w:right="-18" w:firstLine="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年起首次执行新金融工具准则、新收入准则或新租赁准则且调整执行当年年初财务报表相关项目</w:t>
      </w:r>
    </w:p>
    <w:p>
      <w:pPr>
        <w:spacing w:before="102"/>
        <w:ind w:left="139"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6840" w:h="11910" w:orient="landscape"/>
          <w:pgMar w:top="1060" w:bottom="1180" w:left="1300" w:right="1240"/>
          <w:cols w:num="2" w:equalWidth="0">
            <w:col w:w="8510" w:space="4631"/>
            <w:col w:w="1159"/>
          </w:cols>
        </w:sectPr>
      </w:pPr>
    </w:p>
    <w:p>
      <w:pPr>
        <w:spacing w:line="240" w:lineRule="auto" w:before="13"/>
        <w:rPr>
          <w:rFonts w:ascii="宋体" w:hAnsi="宋体" w:cs="宋体" w:eastAsia="宋体" w:hint="default"/>
          <w:sz w:val="7"/>
          <w:szCs w:val="7"/>
        </w:rPr>
      </w:pPr>
    </w:p>
    <w:tbl>
      <w:tblPr>
        <w:tblW w:w="0" w:type="auto"/>
        <w:jc w:val="left"/>
        <w:tblInd w:w="135" w:type="dxa"/>
        <w:tblLayout w:type="fixed"/>
        <w:tblCellMar>
          <w:top w:w="0" w:type="dxa"/>
          <w:left w:w="0" w:type="dxa"/>
          <w:bottom w:w="0" w:type="dxa"/>
          <w:right w:w="0" w:type="dxa"/>
        </w:tblCellMar>
        <w:tblLook w:val="01E0"/>
      </w:tblPr>
      <w:tblGrid>
        <w:gridCol w:w="1368"/>
        <w:gridCol w:w="2176"/>
        <w:gridCol w:w="2126"/>
        <w:gridCol w:w="2268"/>
        <w:gridCol w:w="1985"/>
        <w:gridCol w:w="1843"/>
        <w:gridCol w:w="226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
        </w:tc>
        <w:tc>
          <w:tcPr>
            <w:tcW w:w="430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425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年初</w:t>
            </w:r>
          </w:p>
        </w:tc>
        <w:tc>
          <w:tcPr>
            <w:tcW w:w="184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55"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2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21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21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18"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22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8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46"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1843" w:type="dxa"/>
            <w:vMerge/>
            <w:tcBorders>
              <w:left w:val="single" w:sz="4" w:space="0" w:color="000000"/>
              <w:bottom w:val="single" w:sz="4" w:space="0" w:color="000000"/>
              <w:right w:val="single" w:sz="4" w:space="0" w:color="000000"/>
            </w:tcBorders>
            <w:shd w:val="clear" w:color="auto" w:fill="D3D3D3"/>
          </w:tcPr>
          <w:p>
            <w:pPr/>
          </w:p>
        </w:tc>
        <w:tc>
          <w:tcPr>
            <w:tcW w:w="2268"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246,277,834.10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10.92%</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178,447,300.74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7.08%</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3.84%</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265,547,099.10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11.77%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322,170,665.26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12.78%</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-1.01%</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45,538,396.92</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2.02%</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43,371,626.46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1.72%</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0.30%</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42,328,459.70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1.88%</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43,550,736.61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1.73%</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0.15%</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42,440,282.11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1.88%</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31,971,496.43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1.27%</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0.61%</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162,982,988.67</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7.23%</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171,859,131.22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6.81%</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0.42%</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141,161,137.71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6.26%</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3.97%</w:t>
            </w:r>
            <w:r>
              <w:rPr>
                <w:rFonts w:ascii="Times New Roman"/>
                <w:sz w:val="18"/>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2.29%</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left="139" w:right="0"/>
        <w:jc w:val="left"/>
        <w:rPr>
          <w:b w:val="0"/>
          <w:bCs w:val="0"/>
        </w:rPr>
      </w:pPr>
      <w:r>
        <w:rPr>
          <w:rFonts w:ascii="Times New Roman" w:hAnsi="Times New Roman" w:cs="Times New Roman" w:eastAsia="Times New Roman" w:hint="default"/>
        </w:rPr>
        <w:t>2</w:t>
      </w:r>
      <w:r>
        <w:rPr/>
        <w:t>、以公允价值计量的资产和负债</w:t>
      </w:r>
      <w:r>
        <w:rPr>
          <w:b w:val="0"/>
          <w:bCs w:val="0"/>
        </w:rPr>
      </w:r>
    </w:p>
    <w:p>
      <w:pPr>
        <w:spacing w:line="240" w:lineRule="auto" w:before="9"/>
        <w:rPr>
          <w:rFonts w:ascii="宋体" w:hAnsi="宋体" w:cs="宋体" w:eastAsia="宋体" w:hint="default"/>
          <w:b/>
          <w:bCs/>
          <w:sz w:val="26"/>
          <w:szCs w:val="26"/>
        </w:rPr>
      </w:pPr>
    </w:p>
    <w:p>
      <w:pPr>
        <w:spacing w:before="0"/>
        <w:ind w:left="13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before="0"/>
        <w:ind w:left="0" w:right="29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2128"/>
        <w:gridCol w:w="1416"/>
        <w:gridCol w:w="1418"/>
        <w:gridCol w:w="1417"/>
        <w:gridCol w:w="1559"/>
        <w:gridCol w:w="1560"/>
        <w:gridCol w:w="1702"/>
        <w:gridCol w:w="1559"/>
        <w:gridCol w:w="1276"/>
      </w:tblGrid>
      <w:tr>
        <w:trPr>
          <w:trHeight w:val="714"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434" w:right="72" w:hanging="360"/>
              <w:jc w:val="left"/>
              <w:rPr>
                <w:rFonts w:ascii="宋体" w:hAnsi="宋体" w:cs="宋体" w:eastAsia="宋体" w:hint="default"/>
                <w:sz w:val="18"/>
                <w:szCs w:val="18"/>
              </w:rPr>
            </w:pPr>
            <w:r>
              <w:rPr>
                <w:rFonts w:ascii="宋体" w:hAnsi="宋体" w:cs="宋体" w:eastAsia="宋体" w:hint="default"/>
                <w:sz w:val="18"/>
                <w:szCs w:val="18"/>
              </w:rPr>
              <w:t>本期公允价值变 动损益</w:t>
            </w: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63" w:right="72"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本期计提的减值</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本期购买金额</w:t>
            </w:r>
          </w:p>
        </w:tc>
        <w:tc>
          <w:tcPr>
            <w:tcW w:w="17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本期出售金额</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4"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11906" w:type="dxa"/>
            <w:gridSpan w:val="8"/>
            <w:tcBorders>
              <w:top w:val="single" w:sz="4" w:space="0" w:color="000000"/>
              <w:left w:val="single" w:sz="4" w:space="0" w:color="000000"/>
              <w:bottom w:val="single" w:sz="4" w:space="0" w:color="000000"/>
              <w:right w:val="single" w:sz="4" w:space="0" w:color="000000"/>
            </w:tcBorders>
            <w:shd w:val="clear" w:color="auto" w:fill="D3D3D3"/>
          </w:tcPr>
          <w:p>
            <w:pPr/>
          </w:p>
        </w:tc>
      </w:tr>
    </w:tbl>
    <w:p>
      <w:pPr>
        <w:spacing w:after="0"/>
        <w:sectPr>
          <w:type w:val="continuous"/>
          <w:pgSz w:w="16840" w:h="11910" w:orient="landscape"/>
          <w:pgMar w:top="1060" w:bottom="1180" w:left="1300" w:right="1240"/>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2128"/>
        <w:gridCol w:w="1416"/>
        <w:gridCol w:w="1418"/>
        <w:gridCol w:w="1417"/>
        <w:gridCol w:w="1559"/>
        <w:gridCol w:w="1560"/>
        <w:gridCol w:w="1702"/>
        <w:gridCol w:w="1559"/>
        <w:gridCol w:w="1276"/>
      </w:tblGrid>
      <w:tr>
        <w:trPr>
          <w:trHeight w:val="728" w:hRule="exact"/>
        </w:trPr>
        <w:tc>
          <w:tcPr>
            <w:tcW w:w="2128"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3"/>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交易性金融资产（不含衍</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生金融资产）</w:t>
            </w:r>
          </w:p>
        </w:tc>
        <w:tc>
          <w:tcPr>
            <w:tcW w:w="141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440,704,055.56</w:t>
            </w:r>
          </w:p>
        </w:tc>
        <w:tc>
          <w:tcPr>
            <w:tcW w:w="141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1,118,272.22</w:t>
            </w:r>
          </w:p>
        </w:tc>
        <w:tc>
          <w:tcPr>
            <w:tcW w:w="1417" w:type="dxa"/>
            <w:tcBorders>
              <w:top w:val="single" w:sz="15" w:space="0" w:color="000000"/>
              <w:left w:val="single" w:sz="4" w:space="0" w:color="000000"/>
              <w:bottom w:val="single" w:sz="4" w:space="0" w:color="000000"/>
              <w:right w:val="single" w:sz="4" w:space="0" w:color="000000"/>
            </w:tcBorders>
          </w:tcPr>
          <w:p>
            <w:pPr/>
          </w:p>
        </w:tc>
        <w:tc>
          <w:tcPr>
            <w:tcW w:w="1559" w:type="dxa"/>
            <w:tcBorders>
              <w:top w:val="single" w:sz="15" w:space="0" w:color="000000"/>
              <w:left w:val="single" w:sz="4" w:space="0" w:color="000000"/>
              <w:bottom w:val="single" w:sz="4" w:space="0" w:color="000000"/>
              <w:right w:val="single" w:sz="4" w:space="0" w:color="000000"/>
            </w:tcBorders>
          </w:tcPr>
          <w:p>
            <w:pPr/>
          </w:p>
        </w:tc>
        <w:tc>
          <w:tcPr>
            <w:tcW w:w="156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1,195,000,000.00</w:t>
            </w:r>
          </w:p>
        </w:tc>
        <w:tc>
          <w:tcPr>
            <w:tcW w:w="170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-1,005,704,055.56</w:t>
            </w:r>
          </w:p>
        </w:tc>
        <w:tc>
          <w:tcPr>
            <w:tcW w:w="1559"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631,118,272.22</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其他权益工具投资</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417"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173,249,000.00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173,249,000.00</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320,141,337.25</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754"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p>
            <w:pPr>
              <w:pStyle w:val="TableParagraph"/>
              <w:spacing w:line="240" w:lineRule="auto" w:before="117"/>
              <w:ind w:left="382" w:right="0"/>
              <w:jc w:val="left"/>
              <w:rPr>
                <w:rFonts w:ascii="宋体" w:hAnsi="宋体" w:cs="宋体" w:eastAsia="宋体" w:hint="default"/>
                <w:sz w:val="18"/>
                <w:szCs w:val="18"/>
              </w:rPr>
            </w:pPr>
            <w:r>
              <w:rPr>
                <w:rFonts w:ascii="宋体" w:hAnsi="宋体" w:cs="宋体" w:eastAsia="宋体" w:hint="default"/>
                <w:sz w:val="18"/>
                <w:szCs w:val="18"/>
              </w:rPr>
              <w:t>业绩补偿款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120,141,337.25</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-120,141,337.25</w:t>
            </w: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银行理财</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200,000,000.00</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-200,000,000.00</w:t>
            </w:r>
          </w:p>
        </w:tc>
        <w:tc>
          <w:tcPr>
            <w:tcW w:w="155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760,845,392.81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1,118,272.22</w:t>
            </w:r>
          </w:p>
        </w:tc>
        <w:tc>
          <w:tcPr>
            <w:tcW w:w="1417"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1,195,000,000.00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-1,205,704,055.56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53,107,662.75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804,367,272.22</w:t>
            </w:r>
          </w:p>
        </w:tc>
      </w:tr>
      <w:tr>
        <w:trPr>
          <w:trHeight w:val="403"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417"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357" w:lineRule="auto" w:before="51"/>
        <w:ind w:left="119" w:right="10181" w:firstLine="0"/>
        <w:jc w:val="left"/>
        <w:rPr>
          <w:rFonts w:ascii="宋体" w:hAnsi="宋体" w:cs="宋体" w:eastAsia="宋体" w:hint="default"/>
          <w:sz w:val="18"/>
          <w:szCs w:val="18"/>
        </w:rPr>
      </w:pPr>
      <w:r>
        <w:rPr>
          <w:rFonts w:ascii="宋体" w:hAnsi="宋体" w:cs="宋体" w:eastAsia="宋体" w:hint="default"/>
          <w:sz w:val="18"/>
          <w:szCs w:val="18"/>
        </w:rPr>
        <w:t>其他变动的内容 报告期内公司主要资产计量属性是否发生重大变化</w:t>
      </w:r>
    </w:p>
    <w:p>
      <w:pPr>
        <w:spacing w:before="29"/>
        <w:ind w:left="119" w:right="1018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25"/>
          <w:szCs w:val="25"/>
        </w:rPr>
      </w:pPr>
    </w:p>
    <w:p>
      <w:pPr>
        <w:pStyle w:val="Heading4"/>
        <w:spacing w:line="240" w:lineRule="auto"/>
        <w:ind w:left="119" w:right="10181"/>
        <w:jc w:val="left"/>
        <w:rPr>
          <w:b w:val="0"/>
          <w:bCs w:val="0"/>
        </w:rPr>
      </w:pP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15" w:type="dxa"/>
        <w:tblLayout w:type="fixed"/>
        <w:tblCellMar>
          <w:top w:w="0" w:type="dxa"/>
          <w:left w:w="0" w:type="dxa"/>
          <w:bottom w:w="0" w:type="dxa"/>
          <w:right w:w="0" w:type="dxa"/>
        </w:tblCellMar>
        <w:tblLook w:val="01E0"/>
      </w:tblPr>
      <w:tblGrid>
        <w:gridCol w:w="3544"/>
        <w:gridCol w:w="6096"/>
        <w:gridCol w:w="4394"/>
      </w:tblGrid>
      <w:tr>
        <w:trPr>
          <w:trHeight w:val="341" w:hRule="exact"/>
        </w:trPr>
        <w:tc>
          <w:tcPr>
            <w:tcW w:w="354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0"/>
              <w:ind w:right="1585"/>
              <w:jc w:val="right"/>
              <w:rPr>
                <w:rFonts w:ascii="宋体" w:hAnsi="宋体" w:cs="宋体" w:eastAsia="宋体" w:hint="default"/>
                <w:sz w:val="18"/>
                <w:szCs w:val="18"/>
              </w:rPr>
            </w:pPr>
            <w:r>
              <w:rPr>
                <w:rFonts w:ascii="宋体" w:hAnsi="宋体" w:cs="宋体" w:eastAsia="宋体" w:hint="default"/>
                <w:sz w:val="18"/>
                <w:szCs w:val="18"/>
              </w:rPr>
              <w:t>项目</w:t>
            </w:r>
          </w:p>
        </w:tc>
        <w:tc>
          <w:tcPr>
            <w:tcW w:w="609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c>
          <w:tcPr>
            <w:tcW w:w="439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343" w:hRule="exact"/>
        </w:trPr>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6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25,213,013.60</w:t>
            </w:r>
          </w:p>
        </w:tc>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银行承兑汇票保证金</w:t>
            </w:r>
          </w:p>
        </w:tc>
      </w:tr>
      <w:tr>
        <w:trPr>
          <w:trHeight w:val="342" w:hRule="exact"/>
        </w:trPr>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6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1,206,725.37</w:t>
            </w:r>
          </w:p>
        </w:tc>
        <w:tc>
          <w:tcPr>
            <w:tcW w:w="4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信用证保证金</w:t>
            </w:r>
          </w:p>
        </w:tc>
      </w:tr>
      <w:tr>
        <w:trPr>
          <w:trHeight w:val="342" w:hRule="exact"/>
        </w:trPr>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585"/>
              <w:jc w:val="right"/>
              <w:rPr>
                <w:rFonts w:ascii="宋体" w:hAnsi="宋体" w:cs="宋体" w:eastAsia="宋体" w:hint="default"/>
                <w:sz w:val="18"/>
                <w:szCs w:val="18"/>
              </w:rPr>
            </w:pPr>
            <w:r>
              <w:rPr>
                <w:rFonts w:ascii="宋体" w:hAnsi="宋体" w:cs="宋体" w:eastAsia="宋体" w:hint="default"/>
                <w:sz w:val="18"/>
                <w:szCs w:val="18"/>
              </w:rPr>
              <w:t>合计</w:t>
            </w:r>
          </w:p>
        </w:tc>
        <w:tc>
          <w:tcPr>
            <w:tcW w:w="6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26,419,738.97</w:t>
            </w:r>
          </w:p>
        </w:tc>
        <w:tc>
          <w:tcPr>
            <w:tcW w:w="439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1"/>
          <w:szCs w:val="21"/>
        </w:rPr>
      </w:pPr>
    </w:p>
    <w:p>
      <w:pPr>
        <w:pStyle w:val="Heading2"/>
        <w:spacing w:line="240" w:lineRule="auto" w:before="26"/>
        <w:ind w:left="119" w:right="10181"/>
        <w:jc w:val="left"/>
        <w:rPr>
          <w:b w:val="0"/>
          <w:bCs w:val="0"/>
        </w:rPr>
      </w:pPr>
      <w:r>
        <w:rPr/>
        <w:t>五、投资状况分析</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19" w:right="10181"/>
        <w:jc w:val="left"/>
        <w:rPr>
          <w:b w:val="0"/>
          <w:bCs w:val="0"/>
        </w:rPr>
      </w:pP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spacing w:before="0"/>
        <w:ind w:left="119" w:right="1018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15" w:type="dxa"/>
        <w:tblLayout w:type="fixed"/>
        <w:tblCellMar>
          <w:top w:w="0" w:type="dxa"/>
          <w:left w:w="0" w:type="dxa"/>
          <w:bottom w:w="0" w:type="dxa"/>
          <w:right w:w="0" w:type="dxa"/>
        </w:tblCellMar>
        <w:tblLook w:val="01E0"/>
      </w:tblPr>
      <w:tblGrid>
        <w:gridCol w:w="3544"/>
        <w:gridCol w:w="5245"/>
        <w:gridCol w:w="5245"/>
      </w:tblGrid>
      <w:tr>
        <w:trPr>
          <w:trHeight w:val="402" w:hRule="exact"/>
        </w:trPr>
        <w:tc>
          <w:tcPr>
            <w:tcW w:w="354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956"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52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718"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52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变动幅度</w:t>
            </w:r>
          </w:p>
        </w:tc>
      </w:tr>
    </w:tbl>
    <w:p>
      <w:pPr>
        <w:spacing w:after="0" w:line="240" w:lineRule="auto"/>
        <w:jc w:val="center"/>
        <w:rPr>
          <w:rFonts w:ascii="宋体" w:hAnsi="宋体" w:cs="宋体" w:eastAsia="宋体" w:hint="default"/>
          <w:sz w:val="18"/>
          <w:szCs w:val="18"/>
        </w:rPr>
        <w:sectPr>
          <w:pgSz w:w="16840" w:h="11910" w:orient="landscape"/>
          <w:pgMar w:header="867" w:footer="978" w:top="1060" w:bottom="1160" w:left="1320" w:right="1240"/>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3544"/>
        <w:gridCol w:w="5245"/>
        <w:gridCol w:w="5245"/>
      </w:tblGrid>
      <w:tr>
        <w:trPr>
          <w:trHeight w:val="416" w:hRule="exact"/>
        </w:trPr>
        <w:tc>
          <w:tcPr>
            <w:tcW w:w="354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107,427,000.00</w:t>
            </w:r>
          </w:p>
        </w:tc>
        <w:tc>
          <w:tcPr>
            <w:tcW w:w="524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111,864,100.00</w:t>
            </w:r>
          </w:p>
        </w:tc>
        <w:tc>
          <w:tcPr>
            <w:tcW w:w="524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-3.97%</w:t>
            </w:r>
          </w:p>
        </w:tc>
      </w:tr>
    </w:tbl>
    <w:p>
      <w:pPr>
        <w:spacing w:line="240" w:lineRule="auto" w:before="2"/>
        <w:rPr>
          <w:rFonts w:ascii="宋体" w:hAnsi="宋体" w:cs="宋体" w:eastAsia="宋体" w:hint="default"/>
          <w:sz w:val="19"/>
          <w:szCs w:val="19"/>
        </w:rPr>
      </w:pPr>
    </w:p>
    <w:p>
      <w:pPr>
        <w:pStyle w:val="Heading4"/>
        <w:spacing w:line="240" w:lineRule="auto" w:before="35"/>
        <w:ind w:left="119" w:right="0"/>
        <w:jc w:val="left"/>
        <w:rPr>
          <w:b w:val="0"/>
          <w:bCs w:val="0"/>
        </w:rPr>
      </w:pP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3"/>
        <w:rPr>
          <w:rFonts w:ascii="宋体" w:hAnsi="宋体" w:cs="宋体" w:eastAsia="宋体" w:hint="default"/>
          <w:b/>
          <w:bCs/>
          <w:sz w:val="23"/>
          <w:szCs w:val="23"/>
        </w:rPr>
      </w:pPr>
    </w:p>
    <w:p>
      <w:pPr>
        <w:spacing w:before="44"/>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43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5" w:type="dxa"/>
        <w:tblLayout w:type="fixed"/>
        <w:tblCellMar>
          <w:top w:w="0" w:type="dxa"/>
          <w:left w:w="0" w:type="dxa"/>
          <w:bottom w:w="0" w:type="dxa"/>
          <w:right w:w="0" w:type="dxa"/>
        </w:tblCellMar>
        <w:tblLook w:val="01E0"/>
      </w:tblPr>
      <w:tblGrid>
        <w:gridCol w:w="994"/>
        <w:gridCol w:w="850"/>
        <w:gridCol w:w="566"/>
        <w:gridCol w:w="1134"/>
        <w:gridCol w:w="709"/>
        <w:gridCol w:w="992"/>
        <w:gridCol w:w="1276"/>
        <w:gridCol w:w="851"/>
        <w:gridCol w:w="851"/>
        <w:gridCol w:w="1417"/>
        <w:gridCol w:w="851"/>
        <w:gridCol w:w="850"/>
        <w:gridCol w:w="851"/>
        <w:gridCol w:w="992"/>
        <w:gridCol w:w="992"/>
      </w:tblGrid>
      <w:tr>
        <w:trPr>
          <w:trHeight w:val="714" w:hRule="exact"/>
        </w:trPr>
        <w:tc>
          <w:tcPr>
            <w:tcW w:w="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310" w:right="41" w:hanging="270"/>
              <w:jc w:val="left"/>
              <w:rPr>
                <w:rFonts w:ascii="宋体" w:hAnsi="宋体" w:cs="宋体" w:eastAsia="宋体" w:hint="default"/>
                <w:sz w:val="18"/>
                <w:szCs w:val="18"/>
              </w:rPr>
            </w:pPr>
            <w:r>
              <w:rPr>
                <w:rFonts w:ascii="宋体" w:hAnsi="宋体" w:cs="宋体" w:eastAsia="宋体" w:hint="default"/>
                <w:sz w:val="18"/>
                <w:szCs w:val="18"/>
              </w:rPr>
              <w:t>被投资公司 名称</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主要业务</w:t>
            </w:r>
          </w:p>
        </w:tc>
        <w:tc>
          <w:tcPr>
            <w:tcW w:w="5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98" w:right="96"/>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投资金额</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60" w:right="77"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0" w:right="0"/>
              <w:jc w:val="left"/>
              <w:rPr>
                <w:rFonts w:ascii="宋体" w:hAnsi="宋体" w:cs="宋体" w:eastAsia="宋体" w:hint="default"/>
                <w:sz w:val="18"/>
                <w:szCs w:val="18"/>
              </w:rPr>
            </w:pPr>
            <w:r>
              <w:rPr>
                <w:rFonts w:ascii="宋体" w:hAnsi="宋体" w:cs="宋体" w:eastAsia="宋体" w:hint="default"/>
                <w:sz w:val="18"/>
                <w:szCs w:val="18"/>
              </w:rPr>
              <w:t>资金来源</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投资期限</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产品类型</w:t>
            </w: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63" w:right="72" w:hanging="90"/>
              <w:jc w:val="left"/>
              <w:rPr>
                <w:rFonts w:ascii="宋体" w:hAnsi="宋体" w:cs="宋体" w:eastAsia="宋体" w:hint="default"/>
                <w:sz w:val="18"/>
                <w:szCs w:val="18"/>
              </w:rPr>
            </w:pPr>
            <w:r>
              <w:rPr>
                <w:rFonts w:ascii="宋体" w:hAnsi="宋体" w:cs="宋体" w:eastAsia="宋体" w:hint="default"/>
                <w:sz w:val="18"/>
                <w:szCs w:val="18"/>
              </w:rPr>
              <w:t>截至资产负债表 日的进展情况</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9"/>
              <w:jc w:val="right"/>
              <w:rPr>
                <w:rFonts w:ascii="宋体" w:hAnsi="宋体" w:cs="宋体" w:eastAsia="宋体" w:hint="default"/>
                <w:sz w:val="18"/>
                <w:szCs w:val="18"/>
              </w:rPr>
            </w:pPr>
            <w:r>
              <w:rPr>
                <w:rFonts w:ascii="宋体" w:hAnsi="宋体" w:cs="宋体" w:eastAsia="宋体" w:hint="default"/>
                <w:sz w:val="18"/>
                <w:szCs w:val="18"/>
              </w:rPr>
              <w:t>预计收益</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39" w:right="59" w:hanging="180"/>
              <w:jc w:val="left"/>
              <w:rPr>
                <w:rFonts w:ascii="宋体" w:hAnsi="宋体" w:cs="宋体" w:eastAsia="宋体" w:hint="default"/>
                <w:sz w:val="18"/>
                <w:szCs w:val="18"/>
              </w:rPr>
            </w:pPr>
            <w:r>
              <w:rPr>
                <w:rFonts w:ascii="宋体" w:hAnsi="宋体" w:cs="宋体" w:eastAsia="宋体" w:hint="default"/>
                <w:sz w:val="18"/>
                <w:szCs w:val="18"/>
              </w:rPr>
              <w:t>本期投资 盈亏</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0" w:right="0"/>
              <w:jc w:val="left"/>
              <w:rPr>
                <w:rFonts w:ascii="宋体" w:hAnsi="宋体" w:cs="宋体" w:eastAsia="宋体" w:hint="default"/>
                <w:sz w:val="18"/>
                <w:szCs w:val="18"/>
              </w:rPr>
            </w:pPr>
            <w:r>
              <w:rPr>
                <w:rFonts w:ascii="宋体" w:hAnsi="宋体" w:cs="宋体" w:eastAsia="宋体" w:hint="default"/>
                <w:sz w:val="18"/>
                <w:szCs w:val="18"/>
              </w:rPr>
              <w:t>是否涉诉</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披露日期</w:t>
            </w:r>
          </w:p>
          <w:p>
            <w:pPr>
              <w:pStyle w:val="TableParagraph"/>
              <w:spacing w:line="240" w:lineRule="auto" w:before="77"/>
              <w:ind w:left="130" w:right="0"/>
              <w:jc w:val="left"/>
              <w:rPr>
                <w:rFonts w:ascii="宋体" w:hAnsi="宋体" w:cs="宋体" w:eastAsia="宋体" w:hint="default"/>
                <w:sz w:val="18"/>
                <w:szCs w:val="18"/>
              </w:rPr>
            </w:pPr>
            <w:r>
              <w:rPr>
                <w:rFonts w:ascii="宋体" w:hAnsi="宋体" w:cs="宋体" w:eastAsia="宋体" w:hint="default"/>
                <w:sz w:val="18"/>
                <w:szCs w:val="18"/>
              </w:rPr>
              <w:t>（如有）</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披露索引</w:t>
            </w:r>
          </w:p>
          <w:p>
            <w:pPr>
              <w:pStyle w:val="TableParagraph"/>
              <w:spacing w:line="240" w:lineRule="auto" w:before="77"/>
              <w:ind w:left="130" w:right="0"/>
              <w:jc w:val="left"/>
              <w:rPr>
                <w:rFonts w:ascii="宋体" w:hAnsi="宋体" w:cs="宋体" w:eastAsia="宋体" w:hint="default"/>
                <w:sz w:val="18"/>
                <w:szCs w:val="18"/>
              </w:rPr>
            </w:pPr>
            <w:r>
              <w:rPr>
                <w:rFonts w:ascii="宋体" w:hAnsi="宋体" w:cs="宋体" w:eastAsia="宋体" w:hint="default"/>
                <w:sz w:val="18"/>
                <w:szCs w:val="18"/>
              </w:rPr>
              <w:t>（如有）</w:t>
            </w:r>
          </w:p>
        </w:tc>
      </w:tr>
      <w:tr>
        <w:trPr>
          <w:trHeight w:val="102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59"/>
              <w:jc w:val="both"/>
              <w:rPr>
                <w:rFonts w:ascii="宋体" w:hAnsi="宋体" w:cs="宋体" w:eastAsia="宋体" w:hint="default"/>
                <w:sz w:val="18"/>
                <w:szCs w:val="18"/>
              </w:rPr>
            </w:pPr>
            <w:r>
              <w:rPr>
                <w:rFonts w:ascii="宋体" w:hAnsi="宋体" w:cs="宋体" w:eastAsia="宋体" w:hint="default"/>
                <w:sz w:val="18"/>
                <w:szCs w:val="18"/>
              </w:rPr>
              <w:t>厦门安妮文 化产业开发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95"/>
              <w:jc w:val="left"/>
              <w:rPr>
                <w:rFonts w:ascii="宋体" w:hAnsi="宋体" w:cs="宋体" w:eastAsia="宋体" w:hint="default"/>
                <w:sz w:val="18"/>
                <w:szCs w:val="18"/>
              </w:rPr>
            </w:pPr>
            <w:r>
              <w:rPr>
                <w:rFonts w:ascii="宋体" w:hAnsi="宋体" w:cs="宋体" w:eastAsia="宋体" w:hint="default"/>
                <w:sz w:val="18"/>
                <w:szCs w:val="18"/>
              </w:rPr>
              <w:t>数字内容 服务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完成</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59"/>
              <w:jc w:val="both"/>
              <w:rPr>
                <w:rFonts w:ascii="宋体" w:hAnsi="宋体" w:cs="宋体" w:eastAsia="宋体" w:hint="default"/>
                <w:sz w:val="18"/>
                <w:szCs w:val="18"/>
              </w:rPr>
            </w:pPr>
            <w:r>
              <w:rPr>
                <w:rFonts w:ascii="宋体" w:hAnsi="宋体" w:cs="宋体" w:eastAsia="宋体" w:hint="default"/>
                <w:sz w:val="18"/>
                <w:szCs w:val="18"/>
              </w:rPr>
              <w:t>厦门安普农 食品有限公 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食品批 发；米、 面制品制 造</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510,000.00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51.00%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61"/>
              <w:jc w:val="left"/>
              <w:rPr>
                <w:rFonts w:ascii="宋体" w:hAnsi="宋体" w:cs="宋体" w:eastAsia="宋体" w:hint="default"/>
                <w:sz w:val="18"/>
                <w:szCs w:val="18"/>
              </w:rPr>
            </w:pPr>
            <w:r>
              <w:rPr>
                <w:rFonts w:ascii="宋体" w:hAnsi="宋体" w:cs="宋体" w:eastAsia="宋体" w:hint="default"/>
                <w:sz w:val="18"/>
                <w:szCs w:val="18"/>
              </w:rPr>
              <w:t>葛伯莹、金夜 明、张子飈</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完成</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r>
      <w:tr>
        <w:trPr>
          <w:trHeight w:val="358" w:hRule="exact"/>
        </w:trPr>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北京红橙天</w:t>
            </w:r>
          </w:p>
        </w:tc>
        <w:tc>
          <w:tcPr>
            <w:tcW w:w="850" w:type="dxa"/>
            <w:tcBorders>
              <w:top w:val="single" w:sz="4" w:space="0" w:color="000000"/>
              <w:left w:val="single" w:sz="4" w:space="0" w:color="000000"/>
              <w:bottom w:val="nil" w:sz="6" w:space="0" w:color="auto"/>
              <w:right w:val="single" w:sz="4" w:space="0" w:color="000000"/>
            </w:tcBorders>
          </w:tcPr>
          <w:p>
            <w:pPr/>
          </w:p>
        </w:tc>
        <w:tc>
          <w:tcPr>
            <w:tcW w:w="566"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1417"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r>
      <w:tr>
        <w:trPr>
          <w:trHeight w:val="1566" w:hRule="exact"/>
        </w:trPr>
        <w:tc>
          <w:tcPr>
            <w:tcW w:w="994"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59"/>
              <w:jc w:val="both"/>
              <w:rPr>
                <w:rFonts w:ascii="宋体" w:hAnsi="宋体" w:cs="宋体" w:eastAsia="宋体" w:hint="default"/>
                <w:sz w:val="18"/>
                <w:szCs w:val="18"/>
              </w:rPr>
            </w:pPr>
            <w:r>
              <w:rPr>
                <w:rFonts w:ascii="宋体" w:hAnsi="宋体" w:cs="宋体" w:eastAsia="宋体" w:hint="default"/>
                <w:sz w:val="18"/>
                <w:szCs w:val="18"/>
              </w:rPr>
              <w:t>宜科技有限 公司（曾用 名：苇源昌 环文化传媒 </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有限</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9" w:lineRule="auto"/>
              <w:ind w:left="22" w:right="95"/>
              <w:jc w:val="left"/>
              <w:rPr>
                <w:rFonts w:ascii="宋体" w:hAnsi="宋体" w:cs="宋体" w:eastAsia="宋体" w:hint="default"/>
                <w:sz w:val="18"/>
                <w:szCs w:val="18"/>
              </w:rPr>
            </w:pPr>
            <w:r>
              <w:rPr>
                <w:rFonts w:ascii="宋体" w:hAnsi="宋体" w:cs="宋体" w:eastAsia="宋体" w:hint="default"/>
                <w:sz w:val="18"/>
                <w:szCs w:val="18"/>
              </w:rPr>
              <w:t>网络技 术、广播 电视节目 制作</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增资</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4,500,000.00</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15.00%</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王欢欢等</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进行中</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51" w:hRule="exact"/>
        </w:trPr>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50" w:type="dxa"/>
            <w:tcBorders>
              <w:top w:val="nil" w:sz="6" w:space="0" w:color="auto"/>
              <w:left w:val="single" w:sz="4" w:space="0" w:color="000000"/>
              <w:bottom w:val="single" w:sz="4" w:space="0" w:color="000000"/>
              <w:right w:val="single" w:sz="4" w:space="0" w:color="000000"/>
            </w:tcBorders>
          </w:tcPr>
          <w:p>
            <w:pPr/>
          </w:p>
        </w:tc>
        <w:tc>
          <w:tcPr>
            <w:tcW w:w="566"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1417"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r>
      <w:tr>
        <w:trPr>
          <w:trHeight w:val="358" w:hRule="exact"/>
        </w:trPr>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庆云巨棒文</w:t>
            </w:r>
          </w:p>
        </w:tc>
        <w:tc>
          <w:tcPr>
            <w:tcW w:w="850" w:type="dxa"/>
            <w:tcBorders>
              <w:top w:val="single" w:sz="4" w:space="0" w:color="000000"/>
              <w:left w:val="single" w:sz="4" w:space="0" w:color="000000"/>
              <w:bottom w:val="nil" w:sz="6" w:space="0" w:color="auto"/>
              <w:right w:val="single" w:sz="4" w:space="0" w:color="000000"/>
            </w:tcBorders>
          </w:tcPr>
          <w:p>
            <w:pPr/>
          </w:p>
        </w:tc>
        <w:tc>
          <w:tcPr>
            <w:tcW w:w="566"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深圳市星财通</w:t>
            </w:r>
          </w:p>
        </w:tc>
        <w:tc>
          <w:tcPr>
            <w:tcW w:w="851"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1417"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r>
      <w:tr>
        <w:trPr>
          <w:trHeight w:val="316" w:hRule="exact"/>
        </w:trPr>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化产业投资</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72"/>
              <w:jc w:val="center"/>
              <w:rPr>
                <w:rFonts w:ascii="宋体" w:hAnsi="宋体" w:cs="宋体" w:eastAsia="宋体" w:hint="default"/>
                <w:sz w:val="18"/>
                <w:szCs w:val="18"/>
              </w:rPr>
            </w:pPr>
            <w:r>
              <w:rPr>
                <w:rFonts w:ascii="宋体" w:hAnsi="宋体" w:cs="宋体" w:eastAsia="宋体" w:hint="default"/>
                <w:sz w:val="18"/>
                <w:szCs w:val="18"/>
              </w:rPr>
              <w:t>项目投资</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5,000,000.00</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1.67%</w:t>
            </w:r>
            <w:r>
              <w:rPr>
                <w:rFonts w:ascii="Times New Roman"/>
                <w:sz w:val="18"/>
              </w:rPr>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资产管理有限</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完成</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52" w:hRule="exact"/>
        </w:trPr>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18"/>
                <w:szCs w:val="18"/>
              </w:rPr>
            </w:pPr>
            <w:r>
              <w:rPr>
                <w:rFonts w:ascii="宋体" w:hAnsi="宋体" w:cs="宋体" w:eastAsia="宋体" w:hint="default"/>
                <w:sz w:val="18"/>
                <w:szCs w:val="18"/>
              </w:rPr>
              <w:t>基金中心</w:t>
            </w:r>
          </w:p>
        </w:tc>
        <w:tc>
          <w:tcPr>
            <w:tcW w:w="850" w:type="dxa"/>
            <w:tcBorders>
              <w:top w:val="nil" w:sz="6" w:space="0" w:color="auto"/>
              <w:left w:val="single" w:sz="4" w:space="0" w:color="000000"/>
              <w:bottom w:val="single" w:sz="4" w:space="0" w:color="000000"/>
              <w:right w:val="single" w:sz="4" w:space="0" w:color="000000"/>
            </w:tcBorders>
          </w:tcPr>
          <w:p>
            <w:pPr/>
          </w:p>
        </w:tc>
        <w:tc>
          <w:tcPr>
            <w:tcW w:w="566"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left="22" w:right="0"/>
              <w:jc w:val="left"/>
              <w:rPr>
                <w:rFonts w:ascii="宋体" w:hAnsi="宋体" w:cs="宋体" w:eastAsia="宋体" w:hint="default"/>
                <w:sz w:val="18"/>
                <w:szCs w:val="18"/>
              </w:rPr>
            </w:pPr>
            <w:r>
              <w:rPr>
                <w:rFonts w:ascii="宋体" w:hAnsi="宋体" w:cs="宋体" w:eastAsia="宋体" w:hint="default"/>
                <w:sz w:val="18"/>
                <w:szCs w:val="18"/>
              </w:rPr>
              <w:t>公司等</w:t>
            </w:r>
          </w:p>
        </w:tc>
        <w:tc>
          <w:tcPr>
            <w:tcW w:w="851"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1417"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r>
      <w:tr>
        <w:trPr>
          <w:trHeight w:val="368" w:hRule="exact"/>
        </w:trPr>
        <w:tc>
          <w:tcPr>
            <w:tcW w:w="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平潭凯智谦</w:t>
            </w:r>
          </w:p>
        </w:tc>
        <w:tc>
          <w:tcPr>
            <w:tcW w:w="850" w:type="dxa"/>
            <w:tcBorders>
              <w:top w:val="single" w:sz="4" w:space="0" w:color="000000"/>
              <w:left w:val="single" w:sz="4" w:space="0" w:color="000000"/>
              <w:bottom w:val="nil" w:sz="6" w:space="0" w:color="auto"/>
              <w:right w:val="single" w:sz="4" w:space="0" w:color="000000"/>
            </w:tcBorders>
          </w:tcPr>
          <w:p>
            <w:pPr/>
          </w:p>
        </w:tc>
        <w:tc>
          <w:tcPr>
            <w:tcW w:w="566"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北京凯智谦益</w:t>
            </w:r>
          </w:p>
        </w:tc>
        <w:tc>
          <w:tcPr>
            <w:tcW w:w="851"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1417"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r>
      <w:tr>
        <w:trPr>
          <w:trHeight w:val="312" w:hRule="exact"/>
        </w:trPr>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益投资合伙</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72"/>
              <w:jc w:val="center"/>
              <w:rPr>
                <w:rFonts w:ascii="宋体" w:hAnsi="宋体" w:cs="宋体" w:eastAsia="宋体" w:hint="default"/>
                <w:sz w:val="18"/>
                <w:szCs w:val="18"/>
              </w:rPr>
            </w:pPr>
            <w:r>
              <w:rPr>
                <w:rFonts w:ascii="宋体" w:hAnsi="宋体" w:cs="宋体" w:eastAsia="宋体" w:hint="default"/>
                <w:sz w:val="18"/>
                <w:szCs w:val="18"/>
              </w:rPr>
              <w:t>产业投资</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9"/>
              <w:jc w:val="right"/>
              <w:rPr>
                <w:rFonts w:ascii="Times New Roman" w:hAnsi="Times New Roman" w:cs="Times New Roman" w:eastAsia="Times New Roman" w:hint="default"/>
                <w:sz w:val="18"/>
                <w:szCs w:val="18"/>
              </w:rPr>
            </w:pPr>
            <w:r>
              <w:rPr>
                <w:rFonts w:ascii="Times New Roman"/>
                <w:spacing w:val="-1"/>
                <w:sz w:val="18"/>
              </w:rPr>
              <w:t>22,000,000.00</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9"/>
              <w:jc w:val="right"/>
              <w:rPr>
                <w:rFonts w:ascii="Times New Roman" w:hAnsi="Times New Roman" w:cs="Times New Roman" w:eastAsia="Times New Roman" w:hint="default"/>
                <w:sz w:val="18"/>
                <w:szCs w:val="18"/>
              </w:rPr>
            </w:pPr>
            <w:r>
              <w:rPr>
                <w:rFonts w:ascii="Times New Roman"/>
                <w:sz w:val="18"/>
              </w:rPr>
              <w:t>79.90%</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科技有限责任</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完成</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9"/>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r>
      <w:tr>
        <w:trPr>
          <w:trHeight w:val="346" w:hRule="exact"/>
        </w:trPr>
        <w:tc>
          <w:tcPr>
            <w:tcW w:w="9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企业（有限</w:t>
            </w:r>
          </w:p>
        </w:tc>
        <w:tc>
          <w:tcPr>
            <w:tcW w:w="850" w:type="dxa"/>
            <w:tcBorders>
              <w:top w:val="nil" w:sz="6" w:space="0" w:color="auto"/>
              <w:left w:val="single" w:sz="4" w:space="0" w:color="000000"/>
              <w:bottom w:val="single" w:sz="4" w:space="0" w:color="000000"/>
              <w:right w:val="single" w:sz="4" w:space="0" w:color="000000"/>
            </w:tcBorders>
          </w:tcPr>
          <w:p>
            <w:pPr/>
          </w:p>
        </w:tc>
        <w:tc>
          <w:tcPr>
            <w:tcW w:w="566"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51"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1417"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8" w:top="1060" w:bottom="1160" w:left="1320" w:right="1100"/>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994"/>
        <w:gridCol w:w="850"/>
        <w:gridCol w:w="566"/>
        <w:gridCol w:w="1134"/>
        <w:gridCol w:w="709"/>
        <w:gridCol w:w="992"/>
        <w:gridCol w:w="1276"/>
        <w:gridCol w:w="851"/>
        <w:gridCol w:w="851"/>
        <w:gridCol w:w="1417"/>
        <w:gridCol w:w="851"/>
        <w:gridCol w:w="850"/>
        <w:gridCol w:w="851"/>
        <w:gridCol w:w="992"/>
        <w:gridCol w:w="992"/>
      </w:tblGrid>
      <w:tr>
        <w:trPr>
          <w:trHeight w:val="377" w:hRule="exact"/>
        </w:trPr>
        <w:tc>
          <w:tcPr>
            <w:tcW w:w="99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850"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992"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1417"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992" w:type="dxa"/>
            <w:tcBorders>
              <w:top w:val="single" w:sz="15" w:space="0" w:color="000000"/>
              <w:left w:val="single" w:sz="4" w:space="0" w:color="000000"/>
              <w:bottom w:val="single" w:sz="4" w:space="0" w:color="000000"/>
              <w:right w:val="single" w:sz="4" w:space="0" w:color="000000"/>
            </w:tcBorders>
          </w:tcPr>
          <w:p>
            <w:pPr/>
          </w:p>
        </w:tc>
        <w:tc>
          <w:tcPr>
            <w:tcW w:w="992" w:type="dxa"/>
            <w:tcBorders>
              <w:top w:val="single" w:sz="15" w:space="0" w:color="000000"/>
              <w:left w:val="single" w:sz="4" w:space="0" w:color="000000"/>
              <w:bottom w:val="single" w:sz="4" w:space="0" w:color="000000"/>
              <w:right w:val="single" w:sz="4" w:space="0" w:color="000000"/>
            </w:tcBorders>
          </w:tcPr>
          <w:p>
            <w:pPr/>
          </w:p>
        </w:tc>
      </w:tr>
      <w:tr>
        <w:trPr>
          <w:trHeight w:val="1338"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68"/>
              <w:jc w:val="left"/>
              <w:rPr>
                <w:rFonts w:ascii="Times New Roman" w:hAnsi="Times New Roman" w:cs="Times New Roman" w:eastAsia="Times New Roman" w:hint="default"/>
                <w:sz w:val="18"/>
                <w:szCs w:val="18"/>
              </w:rPr>
            </w:pPr>
            <w:r>
              <w:rPr>
                <w:rFonts w:ascii="Times New Roman"/>
                <w:sz w:val="18"/>
              </w:rPr>
              <w:t>Cyberdyne</w:t>
            </w:r>
            <w:r>
              <w:rPr>
                <w:rFonts w:ascii="Times New Roman"/>
                <w:w w:val="100"/>
                <w:sz w:val="18"/>
              </w:rPr>
              <w:t> </w:t>
            </w:r>
            <w:r>
              <w:rPr>
                <w:rFonts w:ascii="Times New Roman"/>
                <w:spacing w:val="-4"/>
                <w:sz w:val="18"/>
              </w:rPr>
              <w:t>Tech</w:t>
            </w:r>
            <w:r>
              <w:rPr>
                <w:rFonts w:ascii="Times New Roman"/>
                <w:spacing w:val="-42"/>
                <w:sz w:val="18"/>
              </w:rPr>
              <w:t> </w:t>
            </w:r>
            <w:r>
              <w:rPr>
                <w:rFonts w:ascii="Times New Roman"/>
                <w:spacing w:val="-42"/>
                <w:sz w:val="18"/>
              </w:rPr>
            </w:r>
            <w:r>
              <w:rPr>
                <w:rFonts w:ascii="Times New Roman"/>
                <w:sz w:val="18"/>
              </w:rPr>
              <w:t>Exchange</w:t>
            </w:r>
            <w:r>
              <w:rPr>
                <w:rFonts w:ascii="Times New Roman"/>
                <w:w w:val="100"/>
                <w:sz w:val="18"/>
              </w:rPr>
              <w:t> </w:t>
            </w:r>
            <w:r>
              <w:rPr>
                <w:rFonts w:ascii="Times New Roman"/>
                <w:sz w:val="18"/>
              </w:rPr>
              <w:t>Pte.Ltd</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95"/>
              <w:jc w:val="left"/>
              <w:rPr>
                <w:rFonts w:ascii="宋体" w:hAnsi="宋体" w:cs="宋体" w:eastAsia="宋体" w:hint="default"/>
                <w:sz w:val="18"/>
                <w:szCs w:val="18"/>
              </w:rPr>
            </w:pPr>
            <w:r>
              <w:rPr>
                <w:rFonts w:ascii="宋体" w:hAnsi="宋体" w:cs="宋体" w:eastAsia="宋体" w:hint="default"/>
                <w:sz w:val="18"/>
                <w:szCs w:val="18"/>
              </w:rPr>
              <w:t>信息技术 服务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72"/>
              <w:jc w:val="right"/>
              <w:rPr>
                <w:rFonts w:ascii="宋体" w:hAnsi="宋体" w:cs="宋体" w:eastAsia="宋体" w:hint="default"/>
                <w:sz w:val="18"/>
                <w:szCs w:val="18"/>
              </w:rPr>
            </w:pPr>
            <w:r>
              <w:rPr>
                <w:rFonts w:ascii="宋体" w:hAnsi="宋体" w:cs="宋体" w:eastAsia="宋体" w:hint="default"/>
                <w:sz w:val="18"/>
                <w:szCs w:val="18"/>
              </w:rPr>
              <w:t>增资</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50,417,000.00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0" w:right="0"/>
              <w:jc w:val="center"/>
              <w:rPr>
                <w:rFonts w:ascii="Times New Roman" w:hAnsi="Times New Roman" w:cs="Times New Roman" w:eastAsia="Times New Roman" w:hint="default"/>
                <w:sz w:val="18"/>
                <w:szCs w:val="18"/>
              </w:rPr>
            </w:pPr>
            <w:r>
              <w:rPr>
                <w:rFonts w:ascii="Times New Roman"/>
                <w:sz w:val="18"/>
              </w:rPr>
              <w:t>10.00%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362" w:lineRule="auto"/>
              <w:ind w:left="22" w:right="305"/>
              <w:jc w:val="left"/>
              <w:rPr>
                <w:rFonts w:ascii="Times New Roman" w:hAnsi="Times New Roman" w:cs="Times New Roman" w:eastAsia="Times New Roman" w:hint="default"/>
                <w:sz w:val="18"/>
                <w:szCs w:val="18"/>
              </w:rPr>
            </w:pPr>
            <w:r>
              <w:rPr>
                <w:rFonts w:ascii="Times New Roman"/>
                <w:spacing w:val="-4"/>
                <w:sz w:val="18"/>
              </w:rPr>
              <w:t>Wong</w:t>
            </w:r>
            <w:r>
              <w:rPr>
                <w:rFonts w:ascii="Times New Roman"/>
                <w:spacing w:val="-7"/>
                <w:sz w:val="18"/>
              </w:rPr>
              <w:t> </w:t>
            </w:r>
            <w:r>
              <w:rPr>
                <w:rFonts w:ascii="Times New Roman"/>
                <w:spacing w:val="-5"/>
                <w:sz w:val="18"/>
              </w:rPr>
              <w:t>Yoke</w:t>
            </w:r>
            <w:r>
              <w:rPr>
                <w:rFonts w:ascii="Times New Roman"/>
                <w:w w:val="100"/>
                <w:sz w:val="18"/>
              </w:rPr>
              <w:t> </w:t>
            </w:r>
            <w:r>
              <w:rPr>
                <w:rFonts w:ascii="Times New Roman"/>
                <w:sz w:val="18"/>
              </w:rPr>
              <w:t>Qieu</w:t>
            </w:r>
            <w:r>
              <w:rPr>
                <w:rFonts w:ascii="Times New Roman"/>
                <w:spacing w:val="-1"/>
                <w:sz w:val="18"/>
              </w:rPr>
              <w:t> </w:t>
            </w:r>
            <w:r>
              <w:rPr>
                <w:rFonts w:ascii="Times New Roman"/>
                <w:sz w:val="18"/>
              </w:rPr>
              <w:t>Gabriel</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完成</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6"/>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107,427,000.0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4"/>
        <w:spacing w:line="240" w:lineRule="auto" w:before="35"/>
        <w:ind w:left="119" w:right="0"/>
        <w:jc w:val="left"/>
        <w:rPr>
          <w:b w:val="0"/>
          <w:bCs w:val="0"/>
        </w:rPr>
      </w:pP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spacing w:before="0"/>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left="119" w:right="0"/>
        <w:jc w:val="left"/>
        <w:rPr>
          <w:b w:val="0"/>
          <w:bCs w:val="0"/>
        </w:rPr>
      </w:pPr>
      <w:r>
        <w:rPr>
          <w:rFonts w:ascii="Times New Roman" w:hAnsi="Times New Roman" w:cs="Times New Roman" w:eastAsia="Times New Roman" w:hint="default"/>
        </w:rPr>
        <w:t>4</w:t>
      </w:r>
      <w:r>
        <w:rPr/>
        <w:t>、以公允价值计量的金融资产</w:t>
      </w:r>
      <w:r>
        <w:rPr>
          <w:b w:val="0"/>
          <w:bCs w:val="0"/>
        </w:rPr>
      </w:r>
    </w:p>
    <w:p>
      <w:pPr>
        <w:spacing w:line="240" w:lineRule="auto" w:before="4"/>
        <w:rPr>
          <w:rFonts w:ascii="宋体" w:hAnsi="宋体" w:cs="宋体" w:eastAsia="宋体" w:hint="default"/>
          <w:b/>
          <w:bCs/>
          <w:sz w:val="23"/>
          <w:szCs w:val="23"/>
        </w:rPr>
      </w:pPr>
    </w:p>
    <w:p>
      <w:pPr>
        <w:spacing w:before="44"/>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43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5" w:type="dxa"/>
        <w:tblLayout w:type="fixed"/>
        <w:tblCellMar>
          <w:top w:w="0" w:type="dxa"/>
          <w:left w:w="0" w:type="dxa"/>
          <w:bottom w:w="0" w:type="dxa"/>
          <w:right w:w="0" w:type="dxa"/>
        </w:tblCellMar>
        <w:tblLook w:val="01E0"/>
      </w:tblPr>
      <w:tblGrid>
        <w:gridCol w:w="1387"/>
        <w:gridCol w:w="1590"/>
        <w:gridCol w:w="1418"/>
        <w:gridCol w:w="1416"/>
        <w:gridCol w:w="1986"/>
        <w:gridCol w:w="1842"/>
        <w:gridCol w:w="1700"/>
        <w:gridCol w:w="1560"/>
        <w:gridCol w:w="1276"/>
      </w:tblGrid>
      <w:tr>
        <w:trPr>
          <w:trHeight w:val="714" w:hRule="exact"/>
        </w:trPr>
        <w:tc>
          <w:tcPr>
            <w:tcW w:w="13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15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初始投资成本</w:t>
            </w:r>
          </w:p>
        </w:tc>
        <w:tc>
          <w:tcPr>
            <w:tcW w:w="1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433" w:right="73" w:hanging="360"/>
              <w:jc w:val="left"/>
              <w:rPr>
                <w:rFonts w:ascii="宋体" w:hAnsi="宋体" w:cs="宋体" w:eastAsia="宋体" w:hint="default"/>
                <w:sz w:val="18"/>
                <w:szCs w:val="18"/>
              </w:rPr>
            </w:pPr>
            <w:r>
              <w:rPr>
                <w:rFonts w:ascii="宋体" w:hAnsi="宋体" w:cs="宋体" w:eastAsia="宋体" w:hint="default"/>
                <w:sz w:val="18"/>
                <w:szCs w:val="18"/>
              </w:rPr>
              <w:t>本期公允价值变 动损益</w:t>
            </w:r>
          </w:p>
        </w:tc>
        <w:tc>
          <w:tcPr>
            <w:tcW w:w="1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63" w:right="71"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19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报告期内购入金额</w:t>
            </w:r>
          </w:p>
        </w:tc>
        <w:tc>
          <w:tcPr>
            <w:tcW w:w="184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报告期内售出金额</w:t>
            </w:r>
          </w:p>
        </w:tc>
        <w:tc>
          <w:tcPr>
            <w:tcW w:w="17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累计投资收益</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4"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资金来源</w:t>
            </w:r>
          </w:p>
        </w:tc>
      </w:tr>
      <w:tr>
        <w:trPr>
          <w:trHeight w:val="402"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金融衍生工具</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1,118,272.22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1,193,000,000.00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1,003,000,000.00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24,392,637.55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8" w:right="0"/>
              <w:jc w:val="left"/>
              <w:rPr>
                <w:rFonts w:ascii="Times New Roman" w:hAnsi="Times New Roman" w:cs="Times New Roman" w:eastAsia="Times New Roman" w:hint="default"/>
                <w:sz w:val="18"/>
                <w:szCs w:val="18"/>
              </w:rPr>
            </w:pPr>
            <w:r>
              <w:rPr>
                <w:rFonts w:ascii="Times New Roman"/>
                <w:sz w:val="18"/>
              </w:rPr>
              <w:t>631,118,272.22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闲置募集资金</w:t>
            </w:r>
          </w:p>
        </w:tc>
      </w:tr>
      <w:tr>
        <w:trPr>
          <w:trHeight w:val="402" w:hRule="exact"/>
        </w:trPr>
        <w:tc>
          <w:tcPr>
            <w:tcW w:w="13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1,118,272.22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1,193,000,000.00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1,003,000,000.00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24,392,637.55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8" w:right="0"/>
              <w:jc w:val="left"/>
              <w:rPr>
                <w:rFonts w:ascii="Times New Roman" w:hAnsi="Times New Roman" w:cs="Times New Roman" w:eastAsia="Times New Roman" w:hint="default"/>
                <w:sz w:val="18"/>
                <w:szCs w:val="18"/>
              </w:rPr>
            </w:pPr>
            <w:r>
              <w:rPr>
                <w:rFonts w:ascii="Times New Roman"/>
                <w:sz w:val="18"/>
              </w:rPr>
              <w:t>631,118,272.22</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4"/>
        <w:spacing w:line="240" w:lineRule="auto" w:before="35"/>
        <w:ind w:left="119" w:right="0"/>
        <w:jc w:val="left"/>
        <w:rPr>
          <w:b w:val="0"/>
          <w:bCs w:val="0"/>
        </w:rPr>
      </w:pPr>
      <w:r>
        <w:rPr>
          <w:rFonts w:ascii="Times New Roman" w:hAnsi="Times New Roman" w:cs="Times New Roman" w:eastAsia="Times New Roman" w:hint="default"/>
        </w:rPr>
        <w:t>5</w:t>
      </w:r>
      <w:r>
        <w:rPr/>
        <w:t>、募集资金使用情况</w:t>
      </w:r>
      <w:r>
        <w:rPr>
          <w:b w:val="0"/>
          <w:bCs w:val="0"/>
        </w:rPr>
      </w:r>
    </w:p>
    <w:p>
      <w:pPr>
        <w:spacing w:line="240" w:lineRule="auto" w:before="8"/>
        <w:rPr>
          <w:rFonts w:ascii="宋体" w:hAnsi="宋体" w:cs="宋体" w:eastAsia="宋体" w:hint="default"/>
          <w:b/>
          <w:bCs/>
          <w:sz w:val="26"/>
          <w:szCs w:val="26"/>
        </w:rPr>
      </w:pPr>
    </w:p>
    <w:p>
      <w:pPr>
        <w:spacing w:before="0"/>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left="119" w:right="0"/>
        <w:jc w:val="left"/>
        <w:rPr>
          <w:b w:val="0"/>
          <w:bCs w:val="0"/>
        </w:rPr>
      </w:pP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3"/>
        <w:rPr>
          <w:rFonts w:ascii="宋体" w:hAnsi="宋体" w:cs="宋体" w:eastAsia="宋体" w:hint="default"/>
          <w:b/>
          <w:bCs/>
          <w:sz w:val="23"/>
          <w:szCs w:val="23"/>
        </w:rPr>
      </w:pPr>
    </w:p>
    <w:p>
      <w:pPr>
        <w:spacing w:before="44"/>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438"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after="0"/>
        <w:jc w:val="right"/>
        <w:rPr>
          <w:rFonts w:ascii="宋体" w:hAnsi="宋体" w:cs="宋体" w:eastAsia="宋体" w:hint="default"/>
          <w:sz w:val="18"/>
          <w:szCs w:val="18"/>
        </w:rPr>
        <w:sectPr>
          <w:pgSz w:w="16840" w:h="11910" w:orient="landscape"/>
          <w:pgMar w:header="867" w:footer="978" w:top="1060" w:bottom="1160" w:left="1320" w:right="1100"/>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866"/>
        <w:gridCol w:w="863"/>
        <w:gridCol w:w="877"/>
        <w:gridCol w:w="1222"/>
        <w:gridCol w:w="850"/>
        <w:gridCol w:w="1134"/>
        <w:gridCol w:w="1134"/>
        <w:gridCol w:w="1277"/>
        <w:gridCol w:w="1351"/>
        <w:gridCol w:w="3544"/>
        <w:gridCol w:w="1134"/>
      </w:tblGrid>
      <w:tr>
        <w:trPr>
          <w:trHeight w:val="1040" w:hRule="exact"/>
        </w:trPr>
        <w:tc>
          <w:tcPr>
            <w:tcW w:w="866"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63"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77"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53" w:right="72"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1222"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55" w:right="64" w:hanging="90"/>
              <w:jc w:val="left"/>
              <w:rPr>
                <w:rFonts w:ascii="宋体" w:hAnsi="宋体" w:cs="宋体" w:eastAsia="宋体" w:hint="default"/>
                <w:sz w:val="18"/>
                <w:szCs w:val="18"/>
              </w:rPr>
            </w:pPr>
            <w:r>
              <w:rPr>
                <w:rFonts w:ascii="宋体" w:hAnsi="宋体" w:cs="宋体" w:eastAsia="宋体" w:hint="default"/>
                <w:sz w:val="18"/>
                <w:szCs w:val="18"/>
              </w:rPr>
              <w:t>本期已使用募 集资金总额</w:t>
            </w:r>
          </w:p>
        </w:tc>
        <w:tc>
          <w:tcPr>
            <w:tcW w:w="850"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59" w:right="58"/>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1134"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12" w:right="109"/>
              <w:jc w:val="both"/>
              <w:rPr>
                <w:rFonts w:ascii="宋体" w:hAnsi="宋体" w:cs="宋体" w:eastAsia="宋体" w:hint="default"/>
                <w:sz w:val="18"/>
                <w:szCs w:val="18"/>
              </w:rPr>
            </w:pPr>
            <w:r>
              <w:rPr>
                <w:rFonts w:ascii="宋体" w:hAnsi="宋体" w:cs="宋体" w:eastAsia="宋体" w:hint="default"/>
                <w:sz w:val="18"/>
                <w:szCs w:val="18"/>
              </w:rPr>
              <w:t>报告期内变 更用途的募 集资金总额</w:t>
            </w:r>
          </w:p>
        </w:tc>
        <w:tc>
          <w:tcPr>
            <w:tcW w:w="1134"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12" w:right="109"/>
              <w:jc w:val="center"/>
              <w:rPr>
                <w:rFonts w:ascii="宋体" w:hAnsi="宋体" w:cs="宋体" w:eastAsia="宋体" w:hint="default"/>
                <w:sz w:val="18"/>
                <w:szCs w:val="18"/>
              </w:rPr>
            </w:pPr>
            <w:r>
              <w:rPr>
                <w:rFonts w:ascii="宋体" w:hAnsi="宋体" w:cs="宋体" w:eastAsia="宋体" w:hint="default"/>
                <w:sz w:val="18"/>
                <w:szCs w:val="18"/>
              </w:rPr>
              <w:t>累计变更用 途的募集资 金总额</w:t>
            </w:r>
          </w:p>
        </w:tc>
        <w:tc>
          <w:tcPr>
            <w:tcW w:w="1277"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93" w:right="91"/>
              <w:jc w:val="center"/>
              <w:rPr>
                <w:rFonts w:ascii="宋体" w:hAnsi="宋体" w:cs="宋体" w:eastAsia="宋体" w:hint="default"/>
                <w:sz w:val="18"/>
                <w:szCs w:val="18"/>
              </w:rPr>
            </w:pPr>
            <w:r>
              <w:rPr>
                <w:rFonts w:ascii="宋体" w:hAnsi="宋体" w:cs="宋体" w:eastAsia="宋体" w:hint="default"/>
                <w:sz w:val="18"/>
                <w:szCs w:val="18"/>
              </w:rPr>
              <w:t>累计变更用途 的募集资金总 额比例</w:t>
            </w:r>
          </w:p>
        </w:tc>
        <w:tc>
          <w:tcPr>
            <w:tcW w:w="1351"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400" w:right="38" w:hanging="360"/>
              <w:jc w:val="left"/>
              <w:rPr>
                <w:rFonts w:ascii="宋体" w:hAnsi="宋体" w:cs="宋体" w:eastAsia="宋体" w:hint="default"/>
                <w:sz w:val="18"/>
                <w:szCs w:val="18"/>
              </w:rPr>
            </w:pPr>
            <w:r>
              <w:rPr>
                <w:rFonts w:ascii="宋体" w:hAnsi="宋体" w:cs="宋体" w:eastAsia="宋体" w:hint="default"/>
                <w:sz w:val="18"/>
                <w:szCs w:val="18"/>
              </w:rPr>
              <w:t>尚未使用募集资 金总额</w:t>
            </w:r>
          </w:p>
        </w:tc>
        <w:tc>
          <w:tcPr>
            <w:tcW w:w="3544"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尚未使用募集资金用途及去向</w:t>
            </w:r>
          </w:p>
        </w:tc>
        <w:tc>
          <w:tcPr>
            <w:tcW w:w="1134"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11" w:right="110"/>
              <w:jc w:val="center"/>
              <w:rPr>
                <w:rFonts w:ascii="宋体" w:hAnsi="宋体" w:cs="宋体" w:eastAsia="宋体" w:hint="default"/>
                <w:sz w:val="18"/>
                <w:szCs w:val="18"/>
              </w:rPr>
            </w:pPr>
            <w:r>
              <w:rPr>
                <w:rFonts w:ascii="宋体" w:hAnsi="宋体" w:cs="宋体" w:eastAsia="宋体" w:hint="default"/>
                <w:sz w:val="18"/>
                <w:szCs w:val="18"/>
              </w:rPr>
              <w:t>闲置两年以 上募集资金 金额</w:t>
            </w:r>
          </w:p>
        </w:tc>
      </w:tr>
      <w:tr>
        <w:trPr>
          <w:trHeight w:val="1338"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2019</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08"/>
              <w:jc w:val="left"/>
              <w:rPr>
                <w:rFonts w:ascii="宋体" w:hAnsi="宋体" w:cs="宋体" w:eastAsia="宋体" w:hint="default"/>
                <w:sz w:val="18"/>
                <w:szCs w:val="18"/>
              </w:rPr>
            </w:pPr>
            <w:r>
              <w:rPr>
                <w:rFonts w:ascii="宋体" w:hAnsi="宋体" w:cs="宋体" w:eastAsia="宋体" w:hint="default"/>
                <w:sz w:val="18"/>
                <w:szCs w:val="18"/>
              </w:rPr>
              <w:t>非公开发 行</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97,665</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4,758.99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26,209.06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80,598.97</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55,98.97</w:t>
            </w:r>
            <w:r>
              <w:rPr>
                <w:rFonts w:ascii="Times New Roman" w:hAnsi="Times New Roman" w:cs="Times New Roman" w:eastAsia="Times New Roman" w:hint="default"/>
                <w:spacing w:val="8"/>
                <w:sz w:val="18"/>
                <w:szCs w:val="18"/>
              </w:rPr>
              <w:t> </w:t>
            </w:r>
            <w:r>
              <w:rPr>
                <w:rFonts w:ascii="宋体" w:hAnsi="宋体" w:cs="宋体" w:eastAsia="宋体" w:hint="default"/>
                <w:spacing w:val="-5"/>
                <w:sz w:val="18"/>
                <w:szCs w:val="18"/>
              </w:rPr>
              <w:t>万元存放于募集资金专用账户中，使</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用暂时闲置的募集资金 </w:t>
            </w:r>
            <w:r>
              <w:rPr>
                <w:rFonts w:ascii="Times New Roman" w:hAnsi="Times New Roman" w:cs="Times New Roman" w:eastAsia="Times New Roman" w:hint="default"/>
                <w:sz w:val="18"/>
                <w:szCs w:val="18"/>
              </w:rPr>
              <w:t>63,000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万元购买结</w:t>
            </w:r>
          </w:p>
          <w:p>
            <w:pPr>
              <w:pStyle w:val="TableParagraph"/>
              <w:spacing w:line="302" w:lineRule="auto" w:before="63"/>
              <w:ind w:left="24" w:right="43"/>
              <w:jc w:val="left"/>
              <w:rPr>
                <w:rFonts w:ascii="宋体" w:hAnsi="宋体" w:cs="宋体" w:eastAsia="宋体" w:hint="default"/>
                <w:sz w:val="18"/>
                <w:szCs w:val="18"/>
              </w:rPr>
            </w:pPr>
            <w:r>
              <w:rPr>
                <w:rFonts w:ascii="宋体" w:hAnsi="宋体" w:cs="宋体" w:eastAsia="宋体" w:hint="default"/>
                <w:sz w:val="18"/>
                <w:szCs w:val="18"/>
              </w:rPr>
              <w:t>构性存款。使用金额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万元暂时补充流 动资金。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97,665</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4,758.99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26,209.06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80,598.97</w:t>
            </w:r>
          </w:p>
        </w:tc>
        <w:tc>
          <w:tcPr>
            <w:tcW w:w="354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4251" w:type="dxa"/>
            <w:gridSpan w:val="11"/>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5123" w:hRule="exact"/>
        </w:trPr>
        <w:tc>
          <w:tcPr>
            <w:tcW w:w="14251" w:type="dxa"/>
            <w:gridSpan w:val="11"/>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中国证券监督管理委员会《关于核准厦门安妮股份有限公司向杨超等发行股份购买资产并募集配套资金的批复》</w:t>
            </w:r>
            <w:r>
              <w:rPr>
                <w:rFonts w:ascii="Times New Roman" w:hAnsi="Times New Roman" w:cs="Times New Roman" w:eastAsia="Times New Roman" w:hint="default"/>
                <w:sz w:val="18"/>
                <w:szCs w:val="18"/>
              </w:rPr>
              <w:t>(</w:t>
            </w:r>
            <w:r>
              <w:rPr>
                <w:rFonts w:ascii="宋体" w:hAnsi="宋体" w:cs="宋体" w:eastAsia="宋体" w:hint="default"/>
                <w:sz w:val="18"/>
                <w:szCs w:val="18"/>
              </w:rPr>
              <w:t>证监许可［</w:t>
            </w:r>
            <w:r>
              <w:rPr>
                <w:rFonts w:ascii="Times New Roman" w:hAnsi="Times New Roman" w:cs="Times New Roman" w:eastAsia="Times New Roman" w:hint="default"/>
                <w:sz w:val="18"/>
                <w:szCs w:val="18"/>
              </w:rPr>
              <w:t>2016</w:t>
            </w:r>
            <w:r>
              <w:rPr>
                <w:rFonts w:ascii="宋体" w:hAnsi="宋体" w:cs="宋体" w:eastAsia="宋体" w:hint="default"/>
                <w:sz w:val="18"/>
                <w:szCs w:val="18"/>
              </w:rPr>
              <w:t>］</w:t>
            </w:r>
            <w:r>
              <w:rPr>
                <w:rFonts w:ascii="Times New Roman" w:hAnsi="Times New Roman" w:cs="Times New Roman" w:eastAsia="Times New Roman" w:hint="default"/>
                <w:sz w:val="18"/>
                <w:szCs w:val="18"/>
              </w:rPr>
              <w:t>1966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核准，公司非公开发行</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55,834,729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股，发 行价格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17.91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股，募集资金总额为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999,999,996.39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元，扣除承销保荐费、律师费、审计费等发行费用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23,349,999.92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元后，实际募集资金净额为人民币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976,649,996.47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元。该资金于</w:t>
            </w:r>
          </w:p>
          <w:p>
            <w:pPr>
              <w:pStyle w:val="TableParagraph"/>
              <w:spacing w:line="240" w:lineRule="auto" w:before="1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日存入厦门银行股份有限公司海沧支行的募集资金专户。该募集资金业经立信会计师事务所（特殊普通合伙）出具的信会师报字</w:t>
            </w:r>
            <w:r>
              <w:rPr>
                <w:rFonts w:ascii="Times New Roman" w:hAnsi="Times New Roman" w:cs="Times New Roman" w:eastAsia="Times New Roman" w:hint="default"/>
                <w:sz w:val="18"/>
                <w:szCs w:val="18"/>
              </w:rPr>
              <w:t>[2016]</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310900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号验资报告审验确</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认。公司第四届董事会第十三次会议审议通过了《关于公司使用部分募集资金暂时补充流动资金的议案</w:t>
            </w:r>
            <w:r>
              <w:rPr>
                <w:rFonts w:ascii="宋体" w:hAnsi="宋体" w:cs="宋体" w:eastAsia="宋体" w:hint="default"/>
                <w:spacing w:val="-90"/>
                <w:sz w:val="18"/>
                <w:szCs w:val="18"/>
              </w:rPr>
              <w:t>》</w:t>
            </w:r>
            <w:r>
              <w:rPr>
                <w:rFonts w:ascii="宋体" w:hAnsi="宋体" w:cs="宋体" w:eastAsia="宋体" w:hint="default"/>
                <w:sz w:val="18"/>
                <w:szCs w:val="18"/>
              </w:rPr>
              <w:t>，同意在不影响募集资金项目正常进行的前提下使用闲置募集资金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元暂时补充流动资金</w:t>
            </w:r>
            <w:r>
              <w:rPr>
                <w:rFonts w:ascii="宋体" w:hAnsi="宋体" w:cs="宋体" w:eastAsia="宋体" w:hint="default"/>
                <w:spacing w:val="-29"/>
                <w:sz w:val="18"/>
                <w:szCs w:val="18"/>
              </w:rPr>
              <w:t>，</w:t>
            </w:r>
            <w:r>
              <w:rPr>
                <w:rFonts w:ascii="宋体" w:hAnsi="宋体" w:cs="宋体" w:eastAsia="宋体" w:hint="default"/>
                <w:sz w:val="18"/>
                <w:szCs w:val="18"/>
              </w:rPr>
              <w:t>使用期限不超过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w:t>
            </w:r>
            <w:r>
              <w:rPr>
                <w:rFonts w:ascii="宋体" w:hAnsi="宋体" w:cs="宋体" w:eastAsia="宋体" w:hint="default"/>
                <w:spacing w:val="-29"/>
                <w:sz w:val="18"/>
                <w:szCs w:val="18"/>
              </w:rPr>
              <w:t>。</w:t>
            </w: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年度第二次临时股东大会审议通过</w:t>
            </w:r>
            <w:r>
              <w:rPr>
                <w:rFonts w:ascii="宋体" w:hAnsi="宋体" w:cs="宋体" w:eastAsia="宋体" w:hint="default"/>
                <w:spacing w:val="-29"/>
                <w:sz w:val="18"/>
                <w:szCs w:val="18"/>
              </w:rPr>
              <w:t>了</w:t>
            </w:r>
            <w:r>
              <w:rPr>
                <w:rFonts w:ascii="宋体" w:hAnsi="宋体" w:cs="宋体" w:eastAsia="宋体" w:hint="default"/>
                <w:sz w:val="18"/>
                <w:szCs w:val="18"/>
              </w:rPr>
              <w:t>《关于使用部分闲置募集资金购买银行理财产品的议案</w:t>
            </w:r>
            <w:r>
              <w:rPr>
                <w:rFonts w:ascii="宋体" w:hAnsi="宋体" w:cs="宋体" w:eastAsia="宋体" w:hint="default"/>
                <w:spacing w:val="-90"/>
                <w:sz w:val="18"/>
                <w:szCs w:val="18"/>
              </w:rPr>
              <w:t>》</w:t>
            </w:r>
            <w:r>
              <w:rPr>
                <w:rFonts w:ascii="宋体" w:hAnsi="宋体" w:cs="宋体" w:eastAsia="宋体" w:hint="default"/>
                <w:spacing w:val="-29"/>
                <w:sz w:val="18"/>
                <w:szCs w:val="18"/>
              </w:rPr>
              <w:t>，</w:t>
            </w:r>
            <w:r>
              <w:rPr>
                <w:rFonts w:ascii="宋体" w:hAnsi="宋体" w:cs="宋体" w:eastAsia="宋体" w:hint="default"/>
                <w:sz w:val="18"/>
                <w:szCs w:val="18"/>
              </w:rPr>
              <w:t>同意公司使用不超过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50,000</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万元闲置募集资金购买安全性高、流动性好、有保本约定的一年以内的短期银行理财产品，在上述额度内，资金可以在一年内进行滚动使用。公司第四届董事会第十七次会议及</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年年度股东大会审议通过了《关于公司继续使用部分闲置募集资金购买银行理财产品的议案</w:t>
            </w:r>
            <w:r>
              <w:rPr>
                <w:rFonts w:ascii="宋体" w:hAnsi="宋体" w:cs="宋体" w:eastAsia="宋体" w:hint="default"/>
                <w:spacing w:val="-90"/>
                <w:sz w:val="18"/>
                <w:szCs w:val="18"/>
              </w:rPr>
              <w:t>》</w:t>
            </w:r>
            <w:r>
              <w:rPr>
                <w:rFonts w:ascii="宋体" w:hAnsi="宋体" w:cs="宋体" w:eastAsia="宋体" w:hint="default"/>
                <w:sz w:val="18"/>
                <w:szCs w:val="18"/>
              </w:rPr>
              <w:t>，同意公司继续使用不超过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万元闲置募集资金购买安全性高、流动性好、有保本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约定的一年以内的短期银行理财产品或结构性存款，在上述额度内，资金可以在一年内进行滚动使用。公司第四届董事会第十九次会议及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年度第一次临时股东大会审议通过了</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《关于公司使用部分闲置募集资金购买券商收益凭证的议案</w:t>
            </w:r>
            <w:r>
              <w:rPr>
                <w:rFonts w:ascii="宋体" w:hAnsi="宋体" w:cs="宋体" w:eastAsia="宋体" w:hint="default"/>
                <w:spacing w:val="-90"/>
                <w:sz w:val="18"/>
                <w:szCs w:val="18"/>
              </w:rPr>
              <w:t>》</w:t>
            </w:r>
            <w:r>
              <w:rPr>
                <w:rFonts w:ascii="宋体" w:hAnsi="宋体" w:cs="宋体" w:eastAsia="宋体" w:hint="default"/>
                <w:sz w:val="18"/>
                <w:szCs w:val="18"/>
              </w:rPr>
              <w:t>，同意公司使用不超过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万元闲置募集资金购买券商收益凭证，在上述额度内，资金可以在一年内进行滚动使用。</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本次使用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万元闲置募集资金购买券商收益凭证的额度纳入前期经审批的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万元的额度范围内。公司第四届董事会第二十一次会议审议通过了《关于公司继续使用部分闲</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置募集资金暂时补充流动资金的议案</w:t>
            </w:r>
            <w:r>
              <w:rPr>
                <w:rFonts w:ascii="宋体" w:hAnsi="宋体" w:cs="宋体" w:eastAsia="宋体" w:hint="default"/>
                <w:spacing w:val="-90"/>
                <w:sz w:val="18"/>
                <w:szCs w:val="18"/>
              </w:rPr>
              <w:t>》</w:t>
            </w:r>
            <w:r>
              <w:rPr>
                <w:rFonts w:ascii="宋体" w:hAnsi="宋体" w:cs="宋体" w:eastAsia="宋体" w:hint="default"/>
                <w:spacing w:val="-23"/>
                <w:sz w:val="18"/>
                <w:szCs w:val="18"/>
              </w:rPr>
              <w:t>，</w:t>
            </w:r>
            <w:r>
              <w:rPr>
                <w:rFonts w:ascii="宋体" w:hAnsi="宋体" w:cs="宋体" w:eastAsia="宋体" w:hint="default"/>
                <w:sz w:val="18"/>
                <w:szCs w:val="18"/>
              </w:rPr>
              <w:t>同意公司使用闲置募集资金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万元暂时用于补充流动资金</w:t>
            </w:r>
            <w:r>
              <w:rPr>
                <w:rFonts w:ascii="宋体" w:hAnsi="宋体" w:cs="宋体" w:eastAsia="宋体" w:hint="default"/>
                <w:spacing w:val="-23"/>
                <w:sz w:val="18"/>
                <w:szCs w:val="18"/>
              </w:rPr>
              <w:t>，</w:t>
            </w:r>
            <w:r>
              <w:rPr>
                <w:rFonts w:ascii="宋体" w:hAnsi="宋体" w:cs="宋体" w:eastAsia="宋体" w:hint="default"/>
                <w:sz w:val="18"/>
                <w:szCs w:val="18"/>
              </w:rPr>
              <w:t>使用期限自公司董事会审议批准之日起不超过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个</w:t>
            </w:r>
            <w:r>
              <w:rPr>
                <w:rFonts w:ascii="宋体" w:hAnsi="宋体" w:cs="宋体" w:eastAsia="宋体" w:hint="default"/>
                <w:sz w:val="18"/>
                <w:szCs w:val="18"/>
              </w:rPr>
              <w:t>月</w:t>
            </w:r>
            <w:r>
              <w:rPr>
                <w:rFonts w:ascii="宋体" w:hAnsi="宋体" w:cs="宋体" w:eastAsia="宋体" w:hint="default"/>
                <w:spacing w:val="-23"/>
                <w:sz w:val="18"/>
                <w:szCs w:val="18"/>
              </w:rPr>
              <w:t>。</w:t>
            </w:r>
            <w:r>
              <w:rPr>
                <w:rFonts w:ascii="宋体" w:hAnsi="宋体" w:cs="宋体" w:eastAsia="宋体" w:hint="default"/>
                <w:sz w:val="18"/>
                <w:szCs w:val="18"/>
              </w:rPr>
              <w:t>公司第四届董事会第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二十八次会议审议通过了《关于公司继续使用部分闲置募集资金暂时补充流动资金的议案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z w:val="18"/>
                <w:szCs w:val="18"/>
              </w:rPr>
              <w:t>，同意公司使用闲置募集资金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万元暂时用于补充流动资金，使用期限自公司董事会</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审议批准之日起不超过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个</w:t>
            </w:r>
            <w:r>
              <w:rPr>
                <w:rFonts w:ascii="宋体" w:hAnsi="宋体" w:cs="宋体" w:eastAsia="宋体" w:hint="default"/>
                <w:sz w:val="18"/>
                <w:szCs w:val="18"/>
              </w:rPr>
              <w:t>月。公司第四届董事会第三十次会议及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年度第二次临时股东大会审议通过了《关于公司使用部分闲置募集资金进行现金管理的议案</w:t>
            </w:r>
            <w:r>
              <w:rPr>
                <w:rFonts w:ascii="宋体" w:hAnsi="宋体" w:cs="宋体" w:eastAsia="宋体" w:hint="default"/>
                <w:spacing w:val="-90"/>
                <w:sz w:val="18"/>
                <w:szCs w:val="18"/>
              </w:rPr>
              <w:t>》</w:t>
            </w:r>
            <w:r>
              <w:rPr>
                <w:rFonts w:ascii="宋体" w:hAnsi="宋体" w:cs="宋体" w:eastAsia="宋体" w:hint="default"/>
                <w:sz w:val="18"/>
                <w:szCs w:val="18"/>
              </w:rPr>
              <w:t>，同意公司使</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万元闲置募集资金购买安全性高、流动性好、有保本约定的一年以内的现金管理产品，在上述额度内，资金可以在一年内进行滚动使用。</w:t>
            </w:r>
          </w:p>
          <w:p>
            <w:pPr>
              <w:pStyle w:val="TableParagraph"/>
              <w:spacing w:line="240" w:lineRule="auto" w:before="10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截止</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日，公司使用暂时闲置的募集资金</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63,000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万元购买结构性存款。公司实际使用金额为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万元暂时补充流动资金。报告期内，公司使用募集总额为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4,758.99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万元，累计使用募集资金为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26,209.06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bl>
    <w:p>
      <w:pPr>
        <w:spacing w:line="240" w:lineRule="auto" w:before="2"/>
        <w:rPr>
          <w:rFonts w:ascii="宋体" w:hAnsi="宋体" w:cs="宋体" w:eastAsia="宋体" w:hint="default"/>
          <w:sz w:val="19"/>
          <w:szCs w:val="19"/>
        </w:rPr>
      </w:pPr>
    </w:p>
    <w:p>
      <w:pPr>
        <w:pStyle w:val="Heading4"/>
        <w:spacing w:line="240" w:lineRule="auto" w:before="35"/>
        <w:ind w:left="119" w:right="0"/>
        <w:jc w:val="left"/>
        <w:rPr>
          <w:b w:val="0"/>
          <w:bCs w:val="0"/>
        </w:rPr>
      </w:pP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8"/>
        <w:rPr>
          <w:rFonts w:ascii="宋体" w:hAnsi="宋体" w:cs="宋体" w:eastAsia="宋体" w:hint="default"/>
          <w:b/>
          <w:bCs/>
          <w:sz w:val="26"/>
          <w:szCs w:val="26"/>
        </w:rPr>
      </w:pPr>
    </w:p>
    <w:p>
      <w:pPr>
        <w:spacing w:before="0"/>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6840" w:h="11910" w:orient="landscape"/>
          <w:pgMar w:header="867" w:footer="978" w:top="1060" w:bottom="1160" w:left="1320" w:right="102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宋体" w:hAnsi="宋体" w:cs="宋体" w:eastAsia="宋体" w:hint="default"/>
          <w:sz w:val="2"/>
          <w:szCs w:val="2"/>
        </w:rPr>
      </w:r>
    </w:p>
    <w:p>
      <w:pPr>
        <w:spacing w:before="20"/>
        <w:ind w:left="0" w:right="578"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1770"/>
        <w:gridCol w:w="779"/>
        <w:gridCol w:w="1138"/>
        <w:gridCol w:w="850"/>
        <w:gridCol w:w="1134"/>
        <w:gridCol w:w="1276"/>
        <w:gridCol w:w="1702"/>
        <w:gridCol w:w="1700"/>
        <w:gridCol w:w="1277"/>
        <w:gridCol w:w="1417"/>
        <w:gridCol w:w="1276"/>
      </w:tblGrid>
      <w:tr>
        <w:trPr>
          <w:trHeight w:val="1338" w:hRule="exact"/>
        </w:trPr>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519" w:right="68" w:hanging="450"/>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2" w:lineRule="auto" w:before="52"/>
              <w:ind w:left="23"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是否已变 更项目 </w:t>
            </w:r>
            <w:r>
              <w:rPr>
                <w:rFonts w:ascii="Times New Roman" w:hAnsi="Times New Roman" w:cs="Times New Roman" w:eastAsia="Times New Roman" w:hint="default"/>
                <w:sz w:val="18"/>
                <w:szCs w:val="18"/>
              </w:rPr>
              <w:t>(</w:t>
            </w:r>
            <w:r>
              <w:rPr>
                <w:rFonts w:ascii="宋体" w:hAnsi="宋体" w:cs="宋体" w:eastAsia="宋体" w:hint="default"/>
                <w:sz w:val="18"/>
                <w:szCs w:val="18"/>
              </w:rPr>
              <w:t>含部分 变更</w:t>
            </w:r>
            <w:r>
              <w:rPr>
                <w:rFonts w:ascii="Times New Roman" w:hAnsi="Times New Roman" w:cs="Times New Roman" w:eastAsia="Times New Roman" w:hint="default"/>
                <w:sz w:val="18"/>
                <w:szCs w:val="18"/>
              </w:rPr>
              <w:t>)</w:t>
            </w:r>
          </w:p>
        </w:tc>
        <w:tc>
          <w:tcPr>
            <w:tcW w:w="11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02" w:right="23" w:hanging="180"/>
              <w:jc w:val="left"/>
              <w:rPr>
                <w:rFonts w:ascii="宋体" w:hAnsi="宋体" w:cs="宋体" w:eastAsia="宋体" w:hint="default"/>
                <w:sz w:val="18"/>
                <w:szCs w:val="18"/>
              </w:rPr>
            </w:pPr>
            <w:r>
              <w:rPr>
                <w:rFonts w:ascii="宋体" w:hAnsi="宋体" w:cs="宋体" w:eastAsia="宋体" w:hint="default"/>
                <w:sz w:val="18"/>
                <w:szCs w:val="18"/>
              </w:rPr>
              <w:t>募集资金承诺 投资总额</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44" w:right="43" w:firstLine="15"/>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91" w:right="110" w:hanging="180"/>
              <w:jc w:val="left"/>
              <w:rPr>
                <w:rFonts w:ascii="宋体" w:hAnsi="宋体" w:cs="宋体" w:eastAsia="宋体" w:hint="default"/>
                <w:sz w:val="18"/>
                <w:szCs w:val="18"/>
              </w:rPr>
            </w:pPr>
            <w:r>
              <w:rPr>
                <w:rFonts w:ascii="宋体" w:hAnsi="宋体" w:cs="宋体" w:eastAsia="宋体" w:hint="default"/>
                <w:sz w:val="18"/>
                <w:szCs w:val="18"/>
              </w:rPr>
              <w:t>本报告期投 入金额</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67" w:right="91" w:hanging="76"/>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截至期末累计 投入金额</w:t>
            </w:r>
            <w:r>
              <w:rPr>
                <w:rFonts w:ascii="Times New Roman" w:hAnsi="Times New Roman" w:cs="Times New Roman" w:eastAsia="Times New Roman" w:hint="default"/>
                <w:sz w:val="18"/>
                <w:szCs w:val="18"/>
              </w:rPr>
              <w:t>(2)</w:t>
            </w:r>
          </w:p>
        </w:tc>
        <w:tc>
          <w:tcPr>
            <w:tcW w:w="17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截至期末投资进度</w:t>
            </w:r>
          </w:p>
          <w:p>
            <w:pPr>
              <w:pStyle w:val="TableParagraph"/>
              <w:spacing w:line="240" w:lineRule="auto" w:before="76"/>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17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484" w:right="35" w:hanging="450"/>
              <w:jc w:val="left"/>
              <w:rPr>
                <w:rFonts w:ascii="宋体" w:hAnsi="宋体" w:cs="宋体" w:eastAsia="宋体" w:hint="default"/>
                <w:sz w:val="18"/>
                <w:szCs w:val="18"/>
              </w:rPr>
            </w:pPr>
            <w:r>
              <w:rPr>
                <w:rFonts w:ascii="宋体" w:hAnsi="宋体" w:cs="宋体" w:eastAsia="宋体" w:hint="default"/>
                <w:sz w:val="18"/>
                <w:szCs w:val="18"/>
              </w:rPr>
              <w:t>项目达到预定可使用 状态日期</w:t>
            </w:r>
          </w:p>
        </w:tc>
        <w:tc>
          <w:tcPr>
            <w:tcW w:w="1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63" w:right="91" w:hanging="270"/>
              <w:jc w:val="left"/>
              <w:rPr>
                <w:rFonts w:ascii="宋体" w:hAnsi="宋体" w:cs="宋体" w:eastAsia="宋体" w:hint="default"/>
                <w:sz w:val="18"/>
                <w:szCs w:val="18"/>
              </w:rPr>
            </w:pPr>
            <w:r>
              <w:rPr>
                <w:rFonts w:ascii="宋体" w:hAnsi="宋体" w:cs="宋体" w:eastAsia="宋体" w:hint="default"/>
                <w:sz w:val="18"/>
                <w:szCs w:val="18"/>
              </w:rPr>
              <w:t>本报告期实现 的效益</w:t>
            </w: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13" w:right="72" w:hanging="540"/>
              <w:jc w:val="left"/>
              <w:rPr>
                <w:rFonts w:ascii="宋体" w:hAnsi="宋体" w:cs="宋体" w:eastAsia="宋体" w:hint="default"/>
                <w:sz w:val="18"/>
                <w:szCs w:val="18"/>
              </w:rPr>
            </w:pPr>
            <w:r>
              <w:rPr>
                <w:rFonts w:ascii="宋体" w:hAnsi="宋体" w:cs="宋体" w:eastAsia="宋体" w:hint="default"/>
                <w:sz w:val="18"/>
                <w:szCs w:val="18"/>
              </w:rPr>
              <w:t>是否达到预计效 益</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2" w:right="91"/>
              <w:jc w:val="center"/>
              <w:rPr>
                <w:rFonts w:ascii="宋体" w:hAnsi="宋体" w:cs="宋体" w:eastAsia="宋体" w:hint="default"/>
                <w:sz w:val="18"/>
                <w:szCs w:val="18"/>
              </w:rPr>
            </w:pPr>
            <w:r>
              <w:rPr>
                <w:rFonts w:ascii="宋体" w:hAnsi="宋体" w:cs="宋体" w:eastAsia="宋体" w:hint="default"/>
                <w:sz w:val="18"/>
                <w:szCs w:val="18"/>
              </w:rPr>
              <w:t>项目可行性是 否发生重大变 化</w:t>
            </w:r>
          </w:p>
        </w:tc>
      </w:tr>
      <w:tr>
        <w:trPr>
          <w:trHeight w:val="401" w:hRule="exact"/>
        </w:trPr>
        <w:tc>
          <w:tcPr>
            <w:tcW w:w="14317" w:type="dxa"/>
            <w:gridSpan w:val="11"/>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、支付收购畅元国讯 现金对价</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10,725.65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10,725.65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10,725.65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不适用</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、版权大数据平台</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86,000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86,000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4,758.99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15,483.41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18.00%</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323"/>
              <w:jc w:val="right"/>
              <w:rPr>
                <w:rFonts w:ascii="Times New Roman" w:hAnsi="Times New Roman" w:cs="Times New Roman" w:eastAsia="Times New Roman" w:hint="default"/>
                <w:sz w:val="18"/>
                <w:szCs w:val="18"/>
              </w:rPr>
            </w:pPr>
            <w:r>
              <w:rPr>
                <w:rFonts w:ascii="Times New Roman"/>
                <w:sz w:val="18"/>
              </w:rPr>
              <w:t>--</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96,725.65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96,725.65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4,758.99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26,209.06</w:t>
            </w:r>
          </w:p>
        </w:tc>
        <w:tc>
          <w:tcPr>
            <w:tcW w:w="17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left="785" w:right="0"/>
              <w:jc w:val="left"/>
              <w:rPr>
                <w:rFonts w:ascii="Times New Roman" w:hAnsi="Times New Roman" w:cs="Times New Roman" w:eastAsia="Times New Roman" w:hint="default"/>
                <w:sz w:val="18"/>
                <w:szCs w:val="18"/>
              </w:rPr>
            </w:pPr>
            <w:r>
              <w:rPr>
                <w:rFonts w:ascii="Times New Roman"/>
                <w:sz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642"/>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571"/>
              <w:jc w:val="righ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4317" w:type="dxa"/>
            <w:gridSpan w:val="11"/>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779"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70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323"/>
              <w:jc w:val="right"/>
              <w:rPr>
                <w:rFonts w:ascii="Times New Roman" w:hAnsi="Times New Roman" w:cs="Times New Roman" w:eastAsia="Times New Roman" w:hint="default"/>
                <w:sz w:val="18"/>
                <w:szCs w:val="18"/>
              </w:rPr>
            </w:pPr>
            <w:r>
              <w:rPr>
                <w:rFonts w:ascii="Times New Roman"/>
                <w:sz w:val="18"/>
              </w:rPr>
              <w:t>--</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96,725.65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96,725.65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4,758.99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26,209.06</w:t>
            </w:r>
          </w:p>
        </w:tc>
        <w:tc>
          <w:tcPr>
            <w:tcW w:w="17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left="785" w:right="0"/>
              <w:jc w:val="left"/>
              <w:rPr>
                <w:rFonts w:ascii="Times New Roman" w:hAnsi="Times New Roman" w:cs="Times New Roman" w:eastAsia="Times New Roman" w:hint="default"/>
                <w:sz w:val="18"/>
                <w:szCs w:val="18"/>
              </w:rPr>
            </w:pPr>
            <w:r>
              <w:rPr>
                <w:rFonts w:ascii="Times New Roman"/>
                <w:sz w:val="18"/>
              </w:rPr>
              <w:t>--</w:t>
            </w:r>
          </w:p>
        </w:tc>
        <w:tc>
          <w:tcPr>
            <w:tcW w:w="17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642"/>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571"/>
              <w:jc w:val="right"/>
              <w:rPr>
                <w:rFonts w:ascii="Times New Roman" w:hAnsi="Times New Roman" w:cs="Times New Roman" w:eastAsia="Times New Roman" w:hint="default"/>
                <w:sz w:val="18"/>
                <w:szCs w:val="18"/>
              </w:rPr>
            </w:pPr>
            <w:r>
              <w:rPr>
                <w:rFonts w:ascii="Times New Roman"/>
                <w:sz w:val="18"/>
              </w:rPr>
              <w:t>--</w:t>
            </w:r>
          </w:p>
        </w:tc>
      </w:tr>
      <w:tr>
        <w:trPr>
          <w:trHeight w:val="1650" w:hRule="exact"/>
        </w:trPr>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115"/>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1254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日，公司第四届董事会第三十五次会议审议通过了《关于募集资金投资项目延期的议案</w:t>
            </w:r>
            <w:r>
              <w:rPr>
                <w:rFonts w:ascii="宋体" w:hAnsi="宋体" w:cs="宋体" w:eastAsia="宋体" w:hint="default"/>
                <w:spacing w:val="-90"/>
                <w:sz w:val="18"/>
                <w:szCs w:val="18"/>
              </w:rPr>
              <w:t>》</w:t>
            </w:r>
            <w:r>
              <w:rPr>
                <w:rFonts w:ascii="宋体" w:hAnsi="宋体" w:cs="宋体" w:eastAsia="宋体" w:hint="default"/>
                <w:sz w:val="18"/>
                <w:szCs w:val="18"/>
              </w:rPr>
              <w:t>，同意将</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版权大数据</w:t>
            </w:r>
            <w:r>
              <w:rPr>
                <w:rFonts w:ascii="宋体" w:hAnsi="宋体" w:cs="宋体" w:eastAsia="宋体" w:hint="default"/>
                <w:spacing w:val="1"/>
                <w:sz w:val="18"/>
                <w:szCs w:val="18"/>
              </w:rPr>
              <w:t>平</w:t>
            </w:r>
            <w:r>
              <w:rPr>
                <w:rFonts w:ascii="宋体" w:hAnsi="宋体" w:cs="宋体" w:eastAsia="宋体" w:hint="default"/>
                <w:sz w:val="18"/>
                <w:szCs w:val="18"/>
              </w:rPr>
              <w:t>台</w:t>
            </w:r>
            <w:r>
              <w:rPr>
                <w:rFonts w:ascii="Times New Roman" w:hAnsi="Times New Roman" w:cs="Times New Roman" w:eastAsia="Times New Roman" w:hint="default"/>
                <w:w w:val="100"/>
                <w:sz w:val="18"/>
                <w:szCs w:val="18"/>
              </w:rPr>
              <w:t>”</w:t>
            </w:r>
            <w:r>
              <w:rPr>
                <w:rFonts w:ascii="宋体" w:hAnsi="宋体" w:cs="宋体" w:eastAsia="宋体" w:hint="default"/>
                <w:sz w:val="18"/>
                <w:szCs w:val="18"/>
              </w:rPr>
              <w:t>的建设期延长到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312" w:lineRule="auto" w:before="61"/>
              <w:ind w:left="22" w:right="21"/>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日。本次募集资金投资项目延长实施期限是根据公司实际经营情况做出的谨慎决定，仅涉及项目进度的变化，未调整项目的投资总额和建设规模，不涉及 项目实施主体、实施方式、投资总额的变更，不存在改变或变相改变募集资金投向和其他损害股东利益的情形。调整募投项目进度是为了更好的提高募投项目 建设质量和合理有效的配置资源，并与现阶段公司的经营状况相匹配。因此，项目延期不会对公司目前的经营造成不利影响，符合公司的长远发展规划与股东 的长远利益。</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115"/>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1254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7"/>
              <w:ind w:left="22" w:right="22"/>
              <w:jc w:val="left"/>
              <w:rPr>
                <w:rFonts w:ascii="宋体" w:hAnsi="宋体" w:cs="宋体" w:eastAsia="宋体" w:hint="default"/>
                <w:sz w:val="18"/>
                <w:szCs w:val="18"/>
              </w:rPr>
            </w:pPr>
            <w:r>
              <w:rPr>
                <w:rFonts w:ascii="宋体" w:hAnsi="宋体" w:cs="宋体" w:eastAsia="宋体" w:hint="default"/>
                <w:spacing w:val="-9"/>
                <w:sz w:val="18"/>
                <w:szCs w:val="18"/>
              </w:rPr>
              <w:t>超募资金的金额、用途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及使用进展情况</w:t>
            </w:r>
          </w:p>
        </w:tc>
        <w:tc>
          <w:tcPr>
            <w:tcW w:w="1254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3D3D3"/>
          </w:tcPr>
          <w:p>
            <w:pPr/>
          </w:p>
        </w:tc>
        <w:tc>
          <w:tcPr>
            <w:tcW w:w="12547" w:type="dxa"/>
            <w:gridSpan w:val="10"/>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22" w:right="115"/>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1254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right w:val="single" w:sz="4" w:space="0" w:color="000000"/>
            </w:tcBorders>
            <w:shd w:val="clear" w:color="auto" w:fill="D3D3D3"/>
          </w:tcPr>
          <w:p>
            <w:pPr/>
          </w:p>
        </w:tc>
        <w:tc>
          <w:tcPr>
            <w:tcW w:w="12547" w:type="dxa"/>
            <w:gridSpan w:val="10"/>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70" w:type="dxa"/>
            <w:vMerge/>
            <w:tcBorders>
              <w:left w:val="single" w:sz="4" w:space="0" w:color="000000"/>
              <w:bottom w:val="single" w:sz="4" w:space="0" w:color="000000"/>
              <w:right w:val="single" w:sz="4" w:space="0" w:color="000000"/>
            </w:tcBorders>
            <w:shd w:val="clear" w:color="auto" w:fill="D3D3D3"/>
          </w:tcPr>
          <w:p>
            <w:pPr/>
          </w:p>
        </w:tc>
        <w:tc>
          <w:tcPr>
            <w:tcW w:w="12547" w:type="dxa"/>
            <w:gridSpan w:val="10"/>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8" w:top="1060" w:bottom="1160" w:left="1300" w:right="96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770"/>
        <w:gridCol w:w="12547"/>
      </w:tblGrid>
      <w:tr>
        <w:trPr>
          <w:trHeight w:val="416" w:hRule="exact"/>
        </w:trPr>
        <w:tc>
          <w:tcPr>
            <w:tcW w:w="1770"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319" w:lineRule="auto"/>
              <w:ind w:left="22" w:right="115"/>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1254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right w:val="single" w:sz="4" w:space="0" w:color="000000"/>
            </w:tcBorders>
            <w:shd w:val="clear" w:color="auto" w:fill="D3D3D3"/>
          </w:tcPr>
          <w:p>
            <w:pPr/>
          </w:p>
        </w:tc>
        <w:tc>
          <w:tcPr>
            <w:tcW w:w="1254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3D3D3"/>
          </w:tcPr>
          <w:p>
            <w:pPr/>
          </w:p>
        </w:tc>
        <w:tc>
          <w:tcPr>
            <w:tcW w:w="1254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7"/>
              <w:ind w:left="22" w:right="115"/>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1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3D3D3"/>
          </w:tcPr>
          <w:p>
            <w:pPr/>
          </w:p>
        </w:tc>
        <w:tc>
          <w:tcPr>
            <w:tcW w:w="1254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319" w:lineRule="auto"/>
              <w:ind w:left="22" w:right="115"/>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1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306" w:hRule="exact"/>
        </w:trPr>
        <w:tc>
          <w:tcPr>
            <w:tcW w:w="1770" w:type="dxa"/>
            <w:vMerge/>
            <w:tcBorders>
              <w:left w:val="single" w:sz="4" w:space="0" w:color="000000"/>
              <w:bottom w:val="single" w:sz="4" w:space="0" w:color="000000"/>
              <w:right w:val="single" w:sz="4" w:space="0" w:color="000000"/>
            </w:tcBorders>
            <w:shd w:val="clear" w:color="auto" w:fill="D3D3D3"/>
          </w:tcPr>
          <w:p>
            <w:pPr/>
          </w:p>
        </w:tc>
        <w:tc>
          <w:tcPr>
            <w:tcW w:w="1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pacing w:val="-4"/>
                <w:sz w:val="18"/>
                <w:szCs w:val="18"/>
              </w:rPr>
              <w:t>、</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召开的第四届董事会第三次会议审议通过</w:t>
            </w:r>
            <w:r>
              <w:rPr>
                <w:rFonts w:ascii="宋体" w:hAnsi="宋体" w:cs="宋体" w:eastAsia="宋体" w:hint="default"/>
                <w:spacing w:val="-4"/>
                <w:sz w:val="18"/>
                <w:szCs w:val="18"/>
              </w:rPr>
              <w:t>了</w:t>
            </w:r>
            <w:r>
              <w:rPr>
                <w:rFonts w:ascii="宋体" w:hAnsi="宋体" w:cs="宋体" w:eastAsia="宋体" w:hint="default"/>
                <w:sz w:val="18"/>
                <w:szCs w:val="18"/>
              </w:rPr>
              <w:t>《关于使用部分闲置募集资金暂时补充流动资金的议案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pacing w:val="-4"/>
                <w:sz w:val="18"/>
                <w:szCs w:val="18"/>
              </w:rPr>
              <w:t>，</w:t>
            </w:r>
            <w:r>
              <w:rPr>
                <w:rFonts w:ascii="宋体" w:hAnsi="宋体" w:cs="宋体" w:eastAsia="宋体" w:hint="default"/>
                <w:sz w:val="18"/>
                <w:szCs w:val="18"/>
              </w:rPr>
              <w:t>同意公司使用闲置募集资金</w:t>
            </w:r>
          </w:p>
          <w:p>
            <w:pPr>
              <w:pStyle w:val="TableParagraph"/>
              <w:spacing w:line="302" w:lineRule="auto" w:before="63"/>
              <w:ind w:left="22" w:right="93"/>
              <w:jc w:val="left"/>
              <w:rPr>
                <w:rFonts w:ascii="宋体" w:hAnsi="宋体" w:cs="宋体" w:eastAsia="宋体" w:hint="default"/>
                <w:sz w:val="18"/>
                <w:szCs w:val="18"/>
              </w:rPr>
            </w:pP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万元暂时用于补充流动资金，使用期限自公司董事会审议批准之日起不超过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个月。上述募集资金于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日全部归还并存入公司募集资金 专用账户。</w:t>
            </w:r>
          </w:p>
          <w:p>
            <w:pPr>
              <w:pStyle w:val="TableParagraph"/>
              <w:spacing w:line="240" w:lineRule="auto" w:before="6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pacing w:val="-6"/>
                <w:sz w:val="18"/>
                <w:szCs w:val="18"/>
              </w:rPr>
              <w:t>、</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召开的第四届董事会第十三次会议审议通过</w:t>
            </w:r>
            <w:r>
              <w:rPr>
                <w:rFonts w:ascii="宋体" w:hAnsi="宋体" w:cs="宋体" w:eastAsia="宋体" w:hint="default"/>
                <w:spacing w:val="-6"/>
                <w:sz w:val="18"/>
                <w:szCs w:val="18"/>
              </w:rPr>
              <w:t>了</w:t>
            </w:r>
            <w:r>
              <w:rPr>
                <w:rFonts w:ascii="宋体" w:hAnsi="宋体" w:cs="宋体" w:eastAsia="宋体" w:hint="default"/>
                <w:sz w:val="18"/>
                <w:szCs w:val="18"/>
              </w:rPr>
              <w:t>《关于公司继续使用部分闲置募集资金暂时补充流动资金的议案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pacing w:val="-6"/>
                <w:sz w:val="18"/>
                <w:szCs w:val="18"/>
              </w:rPr>
              <w:t>，</w:t>
            </w:r>
            <w:r>
              <w:rPr>
                <w:rFonts w:ascii="宋体" w:hAnsi="宋体" w:cs="宋体" w:eastAsia="宋体" w:hint="default"/>
                <w:sz w:val="18"/>
                <w:szCs w:val="18"/>
              </w:rPr>
              <w:t>同意公司使用闲</w:t>
            </w:r>
          </w:p>
          <w:p>
            <w:pPr>
              <w:pStyle w:val="TableParagraph"/>
              <w:spacing w:line="302" w:lineRule="auto" w:before="63"/>
              <w:ind w:left="22" w:right="49" w:hanging="1"/>
              <w:jc w:val="left"/>
              <w:rPr>
                <w:rFonts w:ascii="宋体" w:hAnsi="宋体" w:cs="宋体" w:eastAsia="宋体" w:hint="default"/>
                <w:sz w:val="18"/>
                <w:szCs w:val="18"/>
              </w:rPr>
            </w:pPr>
            <w:r>
              <w:rPr>
                <w:rFonts w:ascii="宋体" w:hAnsi="宋体" w:cs="宋体" w:eastAsia="宋体" w:hint="default"/>
                <w:sz w:val="18"/>
                <w:szCs w:val="18"/>
              </w:rPr>
              <w:t>置募集资金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万元暂时用于补充流动资金，使用期限自公司董事会审议批准之日起不超过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个月。上述募集资金于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日全部归还并存入公司 募集资金专用账户。</w:t>
            </w:r>
          </w:p>
          <w:p>
            <w:pPr>
              <w:pStyle w:val="TableParagraph"/>
              <w:spacing w:line="240" w:lineRule="auto" w:before="6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pacing w:val="-6"/>
                <w:sz w:val="18"/>
                <w:szCs w:val="18"/>
              </w:rPr>
              <w:t>、</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
                <w:sz w:val="18"/>
                <w:szCs w:val="18"/>
              </w:rPr>
              <w:t>召</w:t>
            </w:r>
            <w:r>
              <w:rPr>
                <w:rFonts w:ascii="宋体" w:hAnsi="宋体" w:cs="宋体" w:eastAsia="宋体" w:hint="default"/>
                <w:sz w:val="18"/>
                <w:szCs w:val="18"/>
              </w:rPr>
              <w:t>开的第四届董事会第二十一次会议审议通过</w:t>
            </w:r>
            <w:r>
              <w:rPr>
                <w:rFonts w:ascii="宋体" w:hAnsi="宋体" w:cs="宋体" w:eastAsia="宋体" w:hint="default"/>
                <w:spacing w:val="-6"/>
                <w:sz w:val="18"/>
                <w:szCs w:val="18"/>
              </w:rPr>
              <w:t>了</w:t>
            </w:r>
            <w:r>
              <w:rPr>
                <w:rFonts w:ascii="宋体" w:hAnsi="宋体" w:cs="宋体" w:eastAsia="宋体" w:hint="default"/>
                <w:sz w:val="18"/>
                <w:szCs w:val="18"/>
              </w:rPr>
              <w:t>《关于公司继续使用部分闲置募集资金暂时补充流动资金的议案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pacing w:val="-6"/>
                <w:sz w:val="18"/>
                <w:szCs w:val="18"/>
              </w:rPr>
              <w:t>，</w:t>
            </w:r>
            <w:r>
              <w:rPr>
                <w:rFonts w:ascii="宋体" w:hAnsi="宋体" w:cs="宋体" w:eastAsia="宋体" w:hint="default"/>
                <w:sz w:val="18"/>
                <w:szCs w:val="18"/>
              </w:rPr>
              <w:t>同意公司使用闲</w:t>
            </w:r>
          </w:p>
          <w:p>
            <w:pPr>
              <w:pStyle w:val="TableParagraph"/>
              <w:spacing w:line="302" w:lineRule="auto" w:before="63"/>
              <w:ind w:left="22" w:right="23"/>
              <w:jc w:val="left"/>
              <w:rPr>
                <w:rFonts w:ascii="宋体" w:hAnsi="宋体" w:cs="宋体" w:eastAsia="宋体" w:hint="default"/>
                <w:sz w:val="18"/>
                <w:szCs w:val="18"/>
              </w:rPr>
            </w:pPr>
            <w:r>
              <w:rPr>
                <w:rFonts w:ascii="宋体" w:hAnsi="宋体" w:cs="宋体" w:eastAsia="宋体" w:hint="default"/>
                <w:sz w:val="18"/>
                <w:szCs w:val="18"/>
              </w:rPr>
              <w:t>置募集资金</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万元暂时用于补充流动资金，使用期限自公司董事会审议批准之日起不超过</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个月。上述募集资金于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日全部归还并存入公司 募集资金专用账户。</w:t>
            </w:r>
          </w:p>
          <w:p>
            <w:pPr>
              <w:pStyle w:val="TableParagraph"/>
              <w:spacing w:line="240" w:lineRule="auto" w:before="6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召开的第四届董事会第二十八次会议审议通过了《关于公司继续使用部分闲置募集资金暂时补充流动资金的议案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z w:val="18"/>
                <w:szCs w:val="18"/>
              </w:rPr>
              <w:t>，同意公司使用</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闲置募集资金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万元暂时用于补充流动资金</w:t>
            </w:r>
            <w:r>
              <w:rPr>
                <w:rFonts w:ascii="宋体" w:hAnsi="宋体" w:cs="宋体" w:eastAsia="宋体" w:hint="default"/>
                <w:spacing w:val="-77"/>
                <w:sz w:val="18"/>
                <w:szCs w:val="18"/>
              </w:rPr>
              <w:t>，</w:t>
            </w:r>
            <w:r>
              <w:rPr>
                <w:rFonts w:ascii="宋体" w:hAnsi="宋体" w:cs="宋体" w:eastAsia="宋体" w:hint="default"/>
                <w:sz w:val="18"/>
                <w:szCs w:val="18"/>
              </w:rPr>
              <w:t>使用期限自公司董事会审议批准之日起不超过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个</w:t>
            </w:r>
            <w:r>
              <w:rPr>
                <w:rFonts w:ascii="宋体" w:hAnsi="宋体" w:cs="宋体" w:eastAsia="宋体" w:hint="default"/>
                <w:sz w:val="18"/>
                <w:szCs w:val="18"/>
              </w:rPr>
              <w:t>月</w:t>
            </w:r>
            <w:r>
              <w:rPr>
                <w:rFonts w:ascii="宋体" w:hAnsi="宋体" w:cs="宋体" w:eastAsia="宋体" w:hint="default"/>
                <w:spacing w:val="-77"/>
                <w:sz w:val="18"/>
                <w:szCs w:val="18"/>
              </w:rPr>
              <w:t>。</w:t>
            </w: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z w:val="18"/>
                <w:szCs w:val="18"/>
              </w:rPr>
              <w:t>本公司实际使用金额为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12,000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万元。 </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7"/>
              <w:ind w:left="22" w:right="115"/>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1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3D3D3"/>
          </w:tcPr>
          <w:p>
            <w:pPr/>
          </w:p>
        </w:tc>
        <w:tc>
          <w:tcPr>
            <w:tcW w:w="1254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115"/>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1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日账户余额为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55,989,744.86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存放于公司募集资金专用账户及募投公司银行账户。 </w:t>
            </w:r>
          </w:p>
        </w:tc>
      </w:tr>
      <w:tr>
        <w:trPr>
          <w:trHeight w:val="1027" w:hRule="exact"/>
        </w:trPr>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115"/>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12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pacing w:val="-30"/>
                <w:sz w:val="18"/>
                <w:szCs w:val="18"/>
              </w:rPr>
              <w:t>、</w:t>
            </w:r>
            <w:r>
              <w:rPr>
                <w:rFonts w:ascii="宋体" w:hAnsi="宋体" w:cs="宋体" w:eastAsia="宋体" w:hint="default"/>
                <w:sz w:val="18"/>
                <w:szCs w:val="18"/>
              </w:rPr>
              <w:t>公司第四届董事会第三次会议审议及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年度第四次临时股东大会审议通过</w:t>
            </w:r>
            <w:r>
              <w:rPr>
                <w:rFonts w:ascii="宋体" w:hAnsi="宋体" w:cs="宋体" w:eastAsia="宋体" w:hint="default"/>
                <w:spacing w:val="-30"/>
                <w:sz w:val="18"/>
                <w:szCs w:val="18"/>
              </w:rPr>
              <w:t>了</w:t>
            </w:r>
            <w:r>
              <w:rPr>
                <w:rFonts w:ascii="宋体" w:hAnsi="宋体" w:cs="宋体" w:eastAsia="宋体" w:hint="default"/>
                <w:sz w:val="18"/>
                <w:szCs w:val="18"/>
              </w:rPr>
              <w:t>《关于公司使用部分闲置募集资金购买银行理财产品的议案</w:t>
            </w:r>
            <w:r>
              <w:rPr>
                <w:rFonts w:ascii="宋体" w:hAnsi="宋体" w:cs="宋体" w:eastAsia="宋体" w:hint="default"/>
                <w:spacing w:val="-90"/>
                <w:sz w:val="18"/>
                <w:szCs w:val="18"/>
              </w:rPr>
              <w:t>》</w:t>
            </w:r>
            <w:r>
              <w:rPr>
                <w:rFonts w:ascii="宋体" w:hAnsi="宋体" w:cs="宋体" w:eastAsia="宋体" w:hint="default"/>
                <w:spacing w:val="-30"/>
                <w:sz w:val="18"/>
                <w:szCs w:val="18"/>
              </w:rPr>
              <w:t>，</w:t>
            </w:r>
            <w:r>
              <w:rPr>
                <w:rFonts w:ascii="宋体" w:hAnsi="宋体" w:cs="宋体" w:eastAsia="宋体" w:hint="default"/>
                <w:sz w:val="18"/>
                <w:szCs w:val="18"/>
              </w:rPr>
              <w:t>同意公司</w:t>
            </w:r>
            <w:r>
              <w:rPr>
                <w:rFonts w:ascii="宋体" w:hAnsi="宋体" w:cs="宋体" w:eastAsia="宋体" w:hint="default"/>
                <w:spacing w:val="1"/>
                <w:sz w:val="18"/>
                <w:szCs w:val="18"/>
              </w:rPr>
              <w:t>使</w:t>
            </w:r>
            <w:r>
              <w:rPr>
                <w:rFonts w:ascii="宋体" w:hAnsi="宋体" w:cs="宋体" w:eastAsia="宋体" w:hint="default"/>
                <w:sz w:val="18"/>
                <w:szCs w:val="18"/>
              </w:rPr>
              <w:t>用</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不超过</w:t>
            </w:r>
            <w:r>
              <w:rPr>
                <w:rFonts w:ascii="宋体" w:hAnsi="宋体" w:cs="宋体" w:eastAsia="宋体" w:hint="default"/>
                <w:spacing w:val="-8"/>
                <w:sz w:val="18"/>
                <w:szCs w:val="18"/>
              </w:rPr>
              <w:t> </w:t>
            </w:r>
            <w:r>
              <w:rPr>
                <w:rFonts w:ascii="Times New Roman" w:hAnsi="Times New Roman" w:cs="Times New Roman" w:eastAsia="Times New Roman" w:hint="default"/>
                <w:sz w:val="18"/>
                <w:szCs w:val="18"/>
              </w:rPr>
              <w:t>50,000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万元闲置募集资金购买安全性高、流动性好、有保本约定的一年以内的短期银行理财产品。上述募集资金分别于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日全部归还并存入公司募集资金专用账户。</w:t>
            </w:r>
          </w:p>
        </w:tc>
      </w:tr>
    </w:tbl>
    <w:p>
      <w:pPr>
        <w:spacing w:after="0" w:line="240" w:lineRule="auto"/>
        <w:jc w:val="left"/>
        <w:rPr>
          <w:rFonts w:ascii="宋体" w:hAnsi="宋体" w:cs="宋体" w:eastAsia="宋体" w:hint="default"/>
          <w:sz w:val="18"/>
          <w:szCs w:val="18"/>
        </w:rPr>
        <w:sectPr>
          <w:headerReference w:type="default" r:id="rId18"/>
          <w:pgSz w:w="16840" w:h="11910" w:orient="landscape"/>
          <w:pgMar w:header="867" w:footer="978" w:top="1060" w:bottom="1160" w:left="1320" w:right="96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770"/>
        <w:gridCol w:w="12547"/>
      </w:tblGrid>
      <w:tr>
        <w:trPr>
          <w:trHeight w:val="336" w:hRule="exact"/>
        </w:trPr>
        <w:tc>
          <w:tcPr>
            <w:tcW w:w="1770" w:type="dxa"/>
            <w:vMerge w:val="restart"/>
            <w:tcBorders>
              <w:top w:val="single" w:sz="15" w:space="0" w:color="000000"/>
              <w:left w:val="single" w:sz="4" w:space="0" w:color="000000"/>
              <w:right w:val="single" w:sz="4" w:space="0" w:color="000000"/>
            </w:tcBorders>
            <w:shd w:val="clear" w:color="auto" w:fill="D3D3D3"/>
          </w:tcPr>
          <w:p>
            <w:pPr/>
          </w:p>
        </w:tc>
        <w:tc>
          <w:tcPr>
            <w:tcW w:w="12547"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pacing w:val="-30"/>
                <w:sz w:val="18"/>
                <w:szCs w:val="18"/>
              </w:rPr>
              <w:t>、</w:t>
            </w:r>
            <w:r>
              <w:rPr>
                <w:rFonts w:ascii="宋体" w:hAnsi="宋体" w:cs="宋体" w:eastAsia="宋体" w:hint="default"/>
                <w:sz w:val="18"/>
                <w:szCs w:val="18"/>
              </w:rPr>
              <w:t>公司第四届董事会第十三次会议及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年度第二次临时股东大会审议通过</w:t>
            </w:r>
            <w:r>
              <w:rPr>
                <w:rFonts w:ascii="宋体" w:hAnsi="宋体" w:cs="宋体" w:eastAsia="宋体" w:hint="default"/>
                <w:spacing w:val="-30"/>
                <w:sz w:val="18"/>
                <w:szCs w:val="18"/>
              </w:rPr>
              <w:t>了</w:t>
            </w:r>
            <w:r>
              <w:rPr>
                <w:rFonts w:ascii="宋体" w:hAnsi="宋体" w:cs="宋体" w:eastAsia="宋体" w:hint="default"/>
                <w:sz w:val="18"/>
                <w:szCs w:val="18"/>
              </w:rPr>
              <w:t>《关于公司继续使用部分闲置募集资金购买银行理财产品的议案</w:t>
            </w:r>
            <w:r>
              <w:rPr>
                <w:rFonts w:ascii="宋体" w:hAnsi="宋体" w:cs="宋体" w:eastAsia="宋体" w:hint="default"/>
                <w:spacing w:val="-90"/>
                <w:sz w:val="18"/>
                <w:szCs w:val="18"/>
              </w:rPr>
              <w:t>》</w:t>
            </w:r>
            <w:r>
              <w:rPr>
                <w:rFonts w:ascii="宋体" w:hAnsi="宋体" w:cs="宋体" w:eastAsia="宋体" w:hint="default"/>
                <w:spacing w:val="-30"/>
                <w:sz w:val="18"/>
                <w:szCs w:val="18"/>
              </w:rPr>
              <w:t>，</w:t>
            </w:r>
            <w:r>
              <w:rPr>
                <w:rFonts w:ascii="宋体" w:hAnsi="宋体" w:cs="宋体" w:eastAsia="宋体" w:hint="default"/>
                <w:sz w:val="18"/>
                <w:szCs w:val="18"/>
              </w:rPr>
              <w:t>同意公司继</w:t>
            </w:r>
          </w:p>
        </w:tc>
      </w:tr>
      <w:tr>
        <w:trPr>
          <w:trHeight w:val="313"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续使用不超过</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50,000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万元闲置募集资金购买安全性高、流动性好、有保本约定的一年以内的短期银行理财产品，在上述额度内，资金可以在一年内进行滚动使</w:t>
            </w:r>
          </w:p>
        </w:tc>
      </w:tr>
      <w:tr>
        <w:trPr>
          <w:trHeight w:val="327"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用。</w:t>
            </w:r>
          </w:p>
        </w:tc>
      </w:tr>
      <w:tr>
        <w:trPr>
          <w:trHeight w:val="337"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pacing w:val="-30"/>
                <w:sz w:val="18"/>
                <w:szCs w:val="18"/>
              </w:rPr>
              <w:t>、</w:t>
            </w:r>
            <w:r>
              <w:rPr>
                <w:rFonts w:ascii="宋体" w:hAnsi="宋体" w:cs="宋体" w:eastAsia="宋体" w:hint="default"/>
                <w:sz w:val="18"/>
                <w:szCs w:val="18"/>
              </w:rPr>
              <w:t>公司第四届董事会第十七次会议及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年年度股东大会审议通过</w:t>
            </w:r>
            <w:r>
              <w:rPr>
                <w:rFonts w:ascii="宋体" w:hAnsi="宋体" w:cs="宋体" w:eastAsia="宋体" w:hint="default"/>
                <w:spacing w:val="-30"/>
                <w:sz w:val="18"/>
                <w:szCs w:val="18"/>
              </w:rPr>
              <w:t>了</w:t>
            </w:r>
            <w:r>
              <w:rPr>
                <w:rFonts w:ascii="宋体" w:hAnsi="宋体" w:cs="宋体" w:eastAsia="宋体" w:hint="default"/>
                <w:sz w:val="18"/>
                <w:szCs w:val="18"/>
              </w:rPr>
              <w:t>《关于公司继续使用部分闲置募集资金购买银行理财产品的议案</w:t>
            </w:r>
            <w:r>
              <w:rPr>
                <w:rFonts w:ascii="宋体" w:hAnsi="宋体" w:cs="宋体" w:eastAsia="宋体" w:hint="default"/>
                <w:spacing w:val="-90"/>
                <w:sz w:val="18"/>
                <w:szCs w:val="18"/>
              </w:rPr>
              <w:t>》</w:t>
            </w:r>
            <w:r>
              <w:rPr>
                <w:rFonts w:ascii="宋体" w:hAnsi="宋体" w:cs="宋体" w:eastAsia="宋体" w:hint="default"/>
                <w:spacing w:val="-30"/>
                <w:sz w:val="18"/>
                <w:szCs w:val="18"/>
              </w:rPr>
              <w:t>，</w:t>
            </w:r>
            <w:r>
              <w:rPr>
                <w:rFonts w:ascii="宋体" w:hAnsi="宋体" w:cs="宋体" w:eastAsia="宋体" w:hint="default"/>
                <w:sz w:val="18"/>
                <w:szCs w:val="18"/>
              </w:rPr>
              <w:t>同意公司继续使用不</w:t>
            </w:r>
          </w:p>
        </w:tc>
      </w:tr>
      <w:tr>
        <w:trPr>
          <w:trHeight w:val="313"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超过</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70,000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万元闲置募集资金购买安全性高、流动性好、有保本约定的一年以内的短期银行理财产品或结构性存款，在上述额度内，资金可以在一年内进行滚</w:t>
            </w:r>
          </w:p>
        </w:tc>
      </w:tr>
      <w:tr>
        <w:trPr>
          <w:trHeight w:val="327"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动使用。</w:t>
            </w:r>
          </w:p>
        </w:tc>
      </w:tr>
      <w:tr>
        <w:trPr>
          <w:trHeight w:val="336"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pacing w:val="-30"/>
                <w:sz w:val="18"/>
                <w:szCs w:val="18"/>
              </w:rPr>
              <w:t>、</w:t>
            </w:r>
            <w:r>
              <w:rPr>
                <w:rFonts w:ascii="宋体" w:hAnsi="宋体" w:cs="宋体" w:eastAsia="宋体" w:hint="default"/>
                <w:sz w:val="18"/>
                <w:szCs w:val="18"/>
              </w:rPr>
              <w:t>公司第四届董事会第十九次会议及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年度第一次临时股东大会审议通过</w:t>
            </w:r>
            <w:r>
              <w:rPr>
                <w:rFonts w:ascii="宋体" w:hAnsi="宋体" w:cs="宋体" w:eastAsia="宋体" w:hint="default"/>
                <w:spacing w:val="-30"/>
                <w:sz w:val="18"/>
                <w:szCs w:val="18"/>
              </w:rPr>
              <w:t>了</w:t>
            </w:r>
            <w:r>
              <w:rPr>
                <w:rFonts w:ascii="宋体" w:hAnsi="宋体" w:cs="宋体" w:eastAsia="宋体" w:hint="default"/>
                <w:sz w:val="18"/>
                <w:szCs w:val="18"/>
              </w:rPr>
              <w:t>《关于公司使用部分闲置募集资金购买券商收益凭证的议案</w:t>
            </w:r>
            <w:r>
              <w:rPr>
                <w:rFonts w:ascii="宋体" w:hAnsi="宋体" w:cs="宋体" w:eastAsia="宋体" w:hint="default"/>
                <w:spacing w:val="-90"/>
                <w:sz w:val="18"/>
                <w:szCs w:val="18"/>
              </w:rPr>
              <w:t>》</w:t>
            </w:r>
            <w:r>
              <w:rPr>
                <w:rFonts w:ascii="宋体" w:hAnsi="宋体" w:cs="宋体" w:eastAsia="宋体" w:hint="default"/>
                <w:spacing w:val="-30"/>
                <w:sz w:val="18"/>
                <w:szCs w:val="18"/>
              </w:rPr>
              <w:t>，</w:t>
            </w:r>
            <w:r>
              <w:rPr>
                <w:rFonts w:ascii="宋体" w:hAnsi="宋体" w:cs="宋体" w:eastAsia="宋体" w:hint="default"/>
                <w:sz w:val="18"/>
                <w:szCs w:val="18"/>
              </w:rPr>
              <w:t>同意公司使用不</w:t>
            </w:r>
          </w:p>
        </w:tc>
      </w:tr>
      <w:tr>
        <w:trPr>
          <w:trHeight w:val="313"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超过</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万元闲置募集资金购买券商收益凭证，在上述额度内，资金可以在一年内进行滚动使用。本次使用</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万元闲置募集资金购买券商收益凭证的额</w:t>
            </w:r>
          </w:p>
        </w:tc>
      </w:tr>
      <w:tr>
        <w:trPr>
          <w:trHeight w:val="332"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度纳入前期经审批的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万元的额度范围内。</w:t>
            </w:r>
          </w:p>
        </w:tc>
      </w:tr>
      <w:tr>
        <w:trPr>
          <w:trHeight w:val="332"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pacing w:val="-30"/>
                <w:sz w:val="18"/>
                <w:szCs w:val="18"/>
              </w:rPr>
              <w:t>、</w:t>
            </w:r>
            <w:r>
              <w:rPr>
                <w:rFonts w:ascii="宋体" w:hAnsi="宋体" w:cs="宋体" w:eastAsia="宋体" w:hint="default"/>
                <w:sz w:val="18"/>
                <w:szCs w:val="18"/>
              </w:rPr>
              <w:t>公司第四届董事会第三十次会议及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年度第二次临时股东大会审议通过</w:t>
            </w:r>
            <w:r>
              <w:rPr>
                <w:rFonts w:ascii="宋体" w:hAnsi="宋体" w:cs="宋体" w:eastAsia="宋体" w:hint="default"/>
                <w:spacing w:val="-30"/>
                <w:sz w:val="18"/>
                <w:szCs w:val="18"/>
              </w:rPr>
              <w:t>了</w:t>
            </w:r>
            <w:r>
              <w:rPr>
                <w:rFonts w:ascii="宋体" w:hAnsi="宋体" w:cs="宋体" w:eastAsia="宋体" w:hint="default"/>
                <w:sz w:val="18"/>
                <w:szCs w:val="18"/>
              </w:rPr>
              <w:t>《关于公司使用部分闲置募集资金进行现金管理的议案</w:t>
            </w:r>
            <w:r>
              <w:rPr>
                <w:rFonts w:ascii="宋体" w:hAnsi="宋体" w:cs="宋体" w:eastAsia="宋体" w:hint="default"/>
                <w:spacing w:val="-90"/>
                <w:sz w:val="18"/>
                <w:szCs w:val="18"/>
              </w:rPr>
              <w:t>》</w:t>
            </w:r>
            <w:r>
              <w:rPr>
                <w:rFonts w:ascii="宋体" w:hAnsi="宋体" w:cs="宋体" w:eastAsia="宋体" w:hint="default"/>
                <w:spacing w:val="-30"/>
                <w:sz w:val="18"/>
                <w:szCs w:val="18"/>
              </w:rPr>
              <w:t>，</w:t>
            </w:r>
            <w:r>
              <w:rPr>
                <w:rFonts w:ascii="宋体" w:hAnsi="宋体" w:cs="宋体" w:eastAsia="宋体" w:hint="default"/>
                <w:sz w:val="18"/>
                <w:szCs w:val="18"/>
              </w:rPr>
              <w:t>同意公司使用不超过</w:t>
            </w:r>
          </w:p>
        </w:tc>
      </w:tr>
      <w:tr>
        <w:trPr>
          <w:trHeight w:val="333" w:hRule="exact"/>
        </w:trPr>
        <w:tc>
          <w:tcPr>
            <w:tcW w:w="1770" w:type="dxa"/>
            <w:vMerge/>
            <w:tcBorders>
              <w:left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万元闲置募集资金进行现金管理，在上述额度内，资金可以在一年内进行滚动使用。</w:t>
            </w:r>
          </w:p>
        </w:tc>
      </w:tr>
      <w:tr>
        <w:trPr>
          <w:trHeight w:val="763" w:hRule="exact"/>
        </w:trPr>
        <w:tc>
          <w:tcPr>
            <w:tcW w:w="1770" w:type="dxa"/>
            <w:vMerge/>
            <w:tcBorders>
              <w:left w:val="single" w:sz="4" w:space="0" w:color="000000"/>
              <w:bottom w:val="single" w:sz="4" w:space="0" w:color="000000"/>
              <w:right w:val="single" w:sz="4" w:space="0" w:color="000000"/>
            </w:tcBorders>
            <w:shd w:val="clear" w:color="auto" w:fill="D3D3D3"/>
          </w:tcPr>
          <w:p>
            <w:pPr/>
          </w:p>
        </w:tc>
        <w:tc>
          <w:tcPr>
            <w:tcW w:w="1254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日，公司使用暂时闲置的募集资金 </w:t>
            </w:r>
            <w:r>
              <w:rPr>
                <w:rFonts w:ascii="Times New Roman" w:hAnsi="Times New Roman" w:cs="Times New Roman" w:eastAsia="Times New Roman" w:hint="default"/>
                <w:sz w:val="18"/>
                <w:szCs w:val="18"/>
              </w:rPr>
              <w:t>63,000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万元购买结构性存款。</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left="119" w:right="11001"/>
        <w:jc w:val="left"/>
        <w:rPr>
          <w:b w:val="0"/>
          <w:bCs w:val="0"/>
        </w:rPr>
      </w:pP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19" w:right="110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公司报告期不存在募集资金变更项目情况。</w:t>
      </w:r>
    </w:p>
    <w:p>
      <w:pPr>
        <w:spacing w:line="240" w:lineRule="auto" w:before="6"/>
        <w:rPr>
          <w:rFonts w:ascii="宋体" w:hAnsi="宋体" w:cs="宋体" w:eastAsia="宋体" w:hint="default"/>
          <w:sz w:val="19"/>
          <w:szCs w:val="19"/>
        </w:rPr>
      </w:pPr>
    </w:p>
    <w:p>
      <w:pPr>
        <w:pStyle w:val="Heading2"/>
        <w:spacing w:line="240" w:lineRule="auto"/>
        <w:ind w:left="119" w:right="11001"/>
        <w:jc w:val="left"/>
        <w:rPr>
          <w:b w:val="0"/>
          <w:bCs w:val="0"/>
        </w:rPr>
      </w:pPr>
      <w:r>
        <w:rPr/>
        <w:t>六、重大资产和股权出售</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19" w:right="11001"/>
        <w:jc w:val="left"/>
        <w:rPr>
          <w:b w:val="0"/>
          <w:bCs w:val="0"/>
        </w:rPr>
      </w:pPr>
      <w:r>
        <w:rPr>
          <w:rFonts w:ascii="Times New Roman" w:hAnsi="Times New Roman" w:cs="Times New Roman" w:eastAsia="Times New Roman" w:hint="default"/>
        </w:rPr>
        <w:t>1</w:t>
      </w:r>
      <w:r>
        <w:rPr/>
        <w:t>、出售重大资产情况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19" w:right="1208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公司报告期未出售重大资产。</w:t>
      </w:r>
    </w:p>
    <w:p>
      <w:pPr>
        <w:spacing w:line="240" w:lineRule="auto" w:before="1"/>
        <w:rPr>
          <w:rFonts w:ascii="宋体" w:hAnsi="宋体" w:cs="宋体" w:eastAsia="宋体" w:hint="default"/>
          <w:sz w:val="21"/>
          <w:szCs w:val="21"/>
        </w:rPr>
      </w:pPr>
    </w:p>
    <w:p>
      <w:pPr>
        <w:pStyle w:val="Heading4"/>
        <w:spacing w:line="240" w:lineRule="auto"/>
        <w:ind w:left="119" w:right="11001"/>
        <w:jc w:val="left"/>
        <w:rPr>
          <w:b w:val="0"/>
          <w:bCs w:val="0"/>
        </w:rPr>
      </w:pPr>
      <w:r>
        <w:rPr>
          <w:rFonts w:ascii="Times New Roman" w:hAnsi="Times New Roman" w:cs="Times New Roman" w:eastAsia="Times New Roman" w:hint="default"/>
        </w:rPr>
        <w:t>2</w:t>
      </w:r>
      <w:r>
        <w:rPr/>
        <w:t>、出售重大股权情况</w:t>
      </w:r>
      <w:r>
        <w:rPr>
          <w:b w:val="0"/>
          <w:bCs w:val="0"/>
        </w:rPr>
      </w:r>
    </w:p>
    <w:p>
      <w:pPr>
        <w:spacing w:line="240" w:lineRule="auto" w:before="9"/>
        <w:rPr>
          <w:rFonts w:ascii="宋体" w:hAnsi="宋体" w:cs="宋体" w:eastAsia="宋体" w:hint="default"/>
          <w:b/>
          <w:bCs/>
          <w:sz w:val="26"/>
          <w:szCs w:val="26"/>
        </w:rPr>
      </w:pPr>
    </w:p>
    <w:p>
      <w:pPr>
        <w:spacing w:before="0"/>
        <w:ind w:left="119" w:right="1100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6840" w:h="11910" w:orient="landscape"/>
          <w:pgMar w:header="867" w:footer="978" w:top="1060" w:bottom="1160" w:left="1320" w:right="960"/>
        </w:sectPr>
      </w:pPr>
    </w:p>
    <w:p>
      <w:pPr>
        <w:pStyle w:val="Heading2"/>
        <w:spacing w:line="240" w:lineRule="auto" w:before="29"/>
        <w:ind w:left="139" w:right="0"/>
        <w:jc w:val="left"/>
        <w:rPr>
          <w:b w:val="0"/>
          <w:bCs w:val="0"/>
        </w:rPr>
      </w:pPr>
      <w:r>
        <w:rPr/>
        <w:pict>
          <v:group style="position:absolute;margin-left:70.490997pt;margin-top:2.265618pt;width:700.95pt;height:.1pt;mso-position-horizontal-relative:page;mso-position-vertical-relative:paragraph;z-index:-963448" coordorigin="1410,45" coordsize="14019,2">
            <v:shape style="position:absolute;left:1410;top:45;width:14019;height:2" coordorigin="1410,45" coordsize="14019,0" path="m1410,45l15428,45e" filled="false" stroked="true" strokeweight=".72pt" strokecolor="#000000">
              <v:path arrowok="t"/>
            </v:shape>
            <w10:wrap type="none"/>
          </v:group>
        </w:pict>
      </w:r>
      <w:r>
        <w:rPr/>
        <w:t>七、主要控股参股公司分析</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6840" w:h="11910" w:orient="landscape"/>
          <w:pgMar w:header="867" w:footer="978" w:top="1060" w:bottom="1160" w:left="1300" w:right="1240"/>
        </w:sectPr>
      </w:pPr>
    </w:p>
    <w:p>
      <w:pPr>
        <w:spacing w:before="44"/>
        <w:ind w:left="139"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139" w:right="-19"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39"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6840" w:h="11910" w:orient="landscape"/>
          <w:pgMar w:top="1060" w:bottom="1180" w:left="1300" w:right="1240"/>
          <w:cols w:num="2" w:equalWidth="0">
            <w:col w:w="4835" w:space="8306"/>
            <w:col w:w="1159"/>
          </w:cols>
        </w:sectPr>
      </w:pPr>
    </w:p>
    <w:p>
      <w:pPr>
        <w:spacing w:line="240" w:lineRule="auto" w:before="13"/>
        <w:rPr>
          <w:rFonts w:ascii="宋体" w:hAnsi="宋体" w:cs="宋体" w:eastAsia="宋体" w:hint="default"/>
          <w:sz w:val="7"/>
          <w:szCs w:val="7"/>
        </w:rPr>
      </w:pPr>
    </w:p>
    <w:tbl>
      <w:tblPr>
        <w:tblW w:w="0" w:type="auto"/>
        <w:jc w:val="left"/>
        <w:tblInd w:w="135" w:type="dxa"/>
        <w:tblLayout w:type="fixed"/>
        <w:tblCellMar>
          <w:top w:w="0" w:type="dxa"/>
          <w:left w:w="0" w:type="dxa"/>
          <w:bottom w:w="0" w:type="dxa"/>
          <w:right w:w="0" w:type="dxa"/>
        </w:tblCellMar>
        <w:tblLook w:val="01E0"/>
      </w:tblPr>
      <w:tblGrid>
        <w:gridCol w:w="2977"/>
        <w:gridCol w:w="1134"/>
        <w:gridCol w:w="1985"/>
        <w:gridCol w:w="1559"/>
        <w:gridCol w:w="1417"/>
        <w:gridCol w:w="1418"/>
        <w:gridCol w:w="1276"/>
        <w:gridCol w:w="1134"/>
        <w:gridCol w:w="1134"/>
      </w:tblGrid>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98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26"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91"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026"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厦门安妮企业有限公司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0"/>
              <w:jc w:val="both"/>
              <w:rPr>
                <w:rFonts w:ascii="宋体" w:hAnsi="宋体" w:cs="宋体" w:eastAsia="宋体" w:hint="default"/>
                <w:sz w:val="18"/>
                <w:szCs w:val="18"/>
              </w:rPr>
            </w:pPr>
            <w:r>
              <w:rPr>
                <w:rFonts w:ascii="宋体" w:hAnsi="宋体" w:cs="宋体" w:eastAsia="宋体" w:hint="default"/>
                <w:spacing w:val="-5"/>
                <w:sz w:val="18"/>
                <w:szCs w:val="18"/>
              </w:rPr>
              <w:t>纸张加工、本册制造、包</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5"/>
                <w:sz w:val="18"/>
                <w:szCs w:val="18"/>
              </w:rPr>
              <w:t>装用品加工、其他印刷品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印制</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297,187,530.95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114,814,922.14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197,883,355.40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5,368,678.42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5,195,221.48</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安妮（香港）有限公司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4600000</w:t>
            </w:r>
            <w:r>
              <w:rPr>
                <w:rFonts w:ascii="宋体" w:hAnsi="宋体" w:cs="宋体" w:eastAsia="宋体" w:hint="default"/>
                <w:sz w:val="18"/>
                <w:szCs w:val="18"/>
              </w:rPr>
              <w:t>（美元）</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76,774,764.35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19,941,119.82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70,594,371.90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2,736,442.30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3,665,097.70</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北京至美数码防伪印务有限公司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生产、销售印刷品</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50,500,000.00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85,466,295.55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8,609,976.79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8,757,801.51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-9,672,601.04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-9,692,646.23</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北京联移合通科技有限公司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技术推广服务。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47,870,225.39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47,346,915.15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413,119.73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413,119.73</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深圳市微梦想网络技术有限公司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互联网服务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5,956,018.76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56,641.16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2,621,477.79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-1,584,016.84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-2,393,318.73</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厦门千实物业管理有限公司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物业管理服务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5,495,086.21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5,405,587.52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138,508.32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-93,975.78</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-93,998.42</w:t>
            </w:r>
            <w:r>
              <w:rPr>
                <w:rFonts w:ascii="Times New Roman"/>
                <w:sz w:val="18"/>
              </w:rPr>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厦门恒千物业管理有限公司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物业管理服务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48,960,000.00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49,498,044.02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48,656,733.94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5,268,225.28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1,464,424.06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1,477,199.06</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13,571,400.00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485,814,500.50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311,207,986.77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139,410,723.29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45,159,056.61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43,574,289.03</w:t>
            </w:r>
          </w:p>
        </w:tc>
      </w:tr>
      <w:tr>
        <w:trPr>
          <w:trHeight w:val="714"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厦门安妮知识产权服务有限公司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200,000,000.00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73,421,240.47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43,683,380.75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7,509,030.52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-41,712,756.6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-41,560,007.5</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厦门版全家科技有限公司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版权业务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w w:val="95"/>
                <w:sz w:val="18"/>
              </w:rPr>
              <w:t>8,295.11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-1,704.89</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22.06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22.06</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北京市淘智慧电子商务有限公司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知识产权服务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1,252,693.55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1,245,280.80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-4,693.23</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-4,725.40</w:t>
            </w:r>
            <w:r>
              <w:rPr>
                <w:rFonts w:ascii="Times New Roman"/>
                <w:sz w:val="18"/>
              </w:rPr>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厦门安普农食品有限公司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食品生产及贸易</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412,621.19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391,043.14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37,985.43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-108,956.86</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-108,956.86</w:t>
            </w:r>
            <w:r>
              <w:rPr>
                <w:rFonts w:ascii="Times New Roman"/>
                <w:sz w:val="18"/>
              </w:rPr>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厦门安妮文化产业开发有限公司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文化产业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2,787,736.50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2,319,128.67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63,008.94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-280,871.33</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-280,871.33</w:t>
            </w:r>
            <w:r>
              <w:rPr>
                <w:rFonts w:ascii="Times New Roman"/>
                <w:sz w:val="18"/>
              </w:rPr>
            </w:r>
          </w:p>
        </w:tc>
      </w:tr>
    </w:tbl>
    <w:p>
      <w:pPr>
        <w:spacing w:before="51"/>
        <w:ind w:left="139" w:right="0"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before="117"/>
        <w:ind w:left="13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35" w:type="dxa"/>
        <w:tblLayout w:type="fixed"/>
        <w:tblCellMar>
          <w:top w:w="0" w:type="dxa"/>
          <w:left w:w="0" w:type="dxa"/>
          <w:bottom w:w="0" w:type="dxa"/>
          <w:right w:w="0" w:type="dxa"/>
        </w:tblCellMar>
        <w:tblLook w:val="01E0"/>
      </w:tblPr>
      <w:tblGrid>
        <w:gridCol w:w="4678"/>
        <w:gridCol w:w="5245"/>
        <w:gridCol w:w="4111"/>
      </w:tblGrid>
      <w:tr>
        <w:trPr>
          <w:trHeight w:val="402" w:hRule="exact"/>
        </w:trPr>
        <w:tc>
          <w:tcPr>
            <w:tcW w:w="467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52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358"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41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87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bl>
    <w:p>
      <w:pPr>
        <w:spacing w:after="0" w:line="240" w:lineRule="auto"/>
        <w:jc w:val="left"/>
        <w:rPr>
          <w:rFonts w:ascii="宋体" w:hAnsi="宋体" w:cs="宋体" w:eastAsia="宋体" w:hint="default"/>
          <w:sz w:val="18"/>
          <w:szCs w:val="18"/>
        </w:rPr>
        <w:sectPr>
          <w:type w:val="continuous"/>
          <w:pgSz w:w="16840" w:h="11910" w:orient="landscape"/>
          <w:pgMar w:top="1060" w:bottom="1180" w:left="1300" w:right="1240"/>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4678"/>
        <w:gridCol w:w="5245"/>
        <w:gridCol w:w="4111"/>
      </w:tblGrid>
      <w:tr>
        <w:trPr>
          <w:trHeight w:val="416" w:hRule="exact"/>
        </w:trPr>
        <w:tc>
          <w:tcPr>
            <w:tcW w:w="467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厦门安妮文化产业开发有限公司</w:t>
            </w:r>
          </w:p>
        </w:tc>
        <w:tc>
          <w:tcPr>
            <w:tcW w:w="524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c>
          <w:tcPr>
            <w:tcW w:w="411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暂不对公司整体经营产生影响。</w:t>
            </w:r>
          </w:p>
        </w:tc>
      </w:tr>
      <w:tr>
        <w:trPr>
          <w:trHeight w:val="402"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厦门安普农食品有限公司</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参股投资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暂不对公司整体经营产生影响。</w:t>
            </w:r>
          </w:p>
        </w:tc>
      </w:tr>
      <w:tr>
        <w:trPr>
          <w:trHeight w:val="402"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安妮版权创新发展科技（深圳）有限公司</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暂不对公司整体经营产生影响。</w:t>
            </w:r>
          </w:p>
        </w:tc>
      </w:tr>
      <w:tr>
        <w:trPr>
          <w:trHeight w:val="402"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安妮创意设计服务（深圳）有限公司</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暂不对公司整体经营产生影响。</w:t>
            </w:r>
          </w:p>
        </w:tc>
      </w:tr>
      <w:tr>
        <w:trPr>
          <w:trHeight w:val="402"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北京稿稿文化传播有限公司</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暂不对公司整体经营产生影响。</w:t>
            </w:r>
          </w:p>
        </w:tc>
      </w:tr>
      <w:tr>
        <w:trPr>
          <w:trHeight w:val="402" w:hRule="exact"/>
        </w:trPr>
        <w:tc>
          <w:tcPr>
            <w:tcW w:w="4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霍尔果斯林沛文化服务有限公司</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投资设立</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暂不对公司整体经营产生影响。</w:t>
            </w:r>
          </w:p>
        </w:tc>
      </w:tr>
    </w:tbl>
    <w:p>
      <w:pPr>
        <w:spacing w:before="51"/>
        <w:ind w:left="119" w:right="10181" w:firstLine="0"/>
        <w:jc w:val="left"/>
        <w:rPr>
          <w:rFonts w:ascii="宋体" w:hAnsi="宋体" w:cs="宋体" w:eastAsia="宋体" w:hint="default"/>
          <w:sz w:val="18"/>
          <w:szCs w:val="18"/>
        </w:rPr>
      </w:pPr>
      <w:r>
        <w:rPr>
          <w:rFonts w:ascii="宋体" w:hAnsi="宋体" w:cs="宋体" w:eastAsia="宋体" w:hint="default"/>
          <w:sz w:val="18"/>
          <w:szCs w:val="18"/>
        </w:rPr>
        <w:t>主要控股参股公司情况说明</w:t>
      </w:r>
    </w:p>
    <w:p>
      <w:pPr>
        <w:spacing w:after="0"/>
        <w:jc w:val="left"/>
        <w:rPr>
          <w:rFonts w:ascii="宋体" w:hAnsi="宋体" w:cs="宋体" w:eastAsia="宋体" w:hint="default"/>
          <w:sz w:val="18"/>
          <w:szCs w:val="18"/>
        </w:rPr>
        <w:sectPr>
          <w:pgSz w:w="16840" w:h="11910" w:orient="landscape"/>
          <w:pgMar w:header="867" w:footer="978" w:top="1060" w:bottom="1160" w:left="1320" w:right="1240"/>
        </w:sectPr>
      </w:pPr>
    </w:p>
    <w:p>
      <w:pPr>
        <w:spacing w:line="240" w:lineRule="auto" w:before="9"/>
        <w:rPr>
          <w:rFonts w:ascii="宋体" w:hAnsi="宋体" w:cs="宋体" w:eastAsia="宋体" w:hint="default"/>
          <w:sz w:val="19"/>
          <w:szCs w:val="19"/>
        </w:rPr>
      </w:pPr>
    </w:p>
    <w:p>
      <w:pPr>
        <w:pStyle w:val="Heading2"/>
        <w:spacing w:line="240" w:lineRule="auto" w:before="26"/>
        <w:ind w:right="0"/>
        <w:jc w:val="left"/>
        <w:rPr>
          <w:b w:val="0"/>
          <w:bCs w:val="0"/>
        </w:rPr>
      </w:pPr>
      <w:r>
        <w:rPr/>
        <w:t>八、公司控制的结构化主体情况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九、公司未来发展的展望</w:t>
      </w:r>
      <w:r>
        <w:rPr>
          <w:b w:val="0"/>
          <w:bCs w:val="0"/>
        </w:rPr>
      </w:r>
    </w:p>
    <w:p>
      <w:pPr>
        <w:spacing w:line="240" w:lineRule="auto" w:before="7"/>
        <w:rPr>
          <w:rFonts w:ascii="宋体" w:hAnsi="宋体" w:cs="宋体" w:eastAsia="宋体" w:hint="default"/>
          <w:b/>
          <w:bCs/>
          <w:sz w:val="32"/>
          <w:szCs w:val="32"/>
        </w:rPr>
      </w:pPr>
    </w:p>
    <w:p>
      <w:pPr>
        <w:spacing w:line="477" w:lineRule="auto" w:before="0"/>
        <w:ind w:left="645" w:right="0" w:hanging="132"/>
        <w:jc w:val="left"/>
        <w:rPr>
          <w:rFonts w:ascii="宋体" w:hAnsi="宋体" w:cs="宋体" w:eastAsia="宋体" w:hint="default"/>
          <w:sz w:val="18"/>
          <w:szCs w:val="18"/>
        </w:rPr>
      </w:pPr>
      <w:r>
        <w:rPr>
          <w:rFonts w:ascii="宋体" w:hAnsi="宋体" w:cs="宋体" w:eastAsia="宋体" w:hint="default"/>
          <w:sz w:val="18"/>
          <w:szCs w:val="18"/>
        </w:rPr>
        <w:t>（一）公司发展战略和2020年度经营计划 </w:t>
      </w:r>
      <w:r>
        <w:rPr>
          <w:rFonts w:ascii="宋体" w:hAnsi="宋体" w:cs="宋体" w:eastAsia="宋体" w:hint="default"/>
          <w:spacing w:val="-1"/>
          <w:sz w:val="18"/>
          <w:szCs w:val="18"/>
        </w:rPr>
        <w:t>针对宏观经济大环境和行业格局的变化，公司于2019年底重新梳理了未来三年的发展战略，从宏观形势和微观企业两</w:t>
      </w:r>
    </w:p>
    <w:p>
      <w:pPr>
        <w:spacing w:line="477" w:lineRule="auto" w:before="54"/>
        <w:ind w:left="154" w:right="1117" w:firstLine="0"/>
        <w:jc w:val="left"/>
        <w:rPr>
          <w:rFonts w:ascii="宋体" w:hAnsi="宋体" w:cs="宋体" w:eastAsia="宋体" w:hint="default"/>
          <w:sz w:val="18"/>
          <w:szCs w:val="18"/>
        </w:rPr>
      </w:pPr>
      <w:r>
        <w:rPr>
          <w:rFonts w:ascii="宋体" w:hAnsi="宋体" w:cs="宋体" w:eastAsia="宋体" w:hint="default"/>
          <w:spacing w:val="-2"/>
          <w:sz w:val="18"/>
          <w:szCs w:val="18"/>
        </w:rPr>
        <w:t>个角度，分别自上而下及自下而上分析了公司在未来三年将面对的机会和挑战，并对公司在机会面前将采用的应对策略做了</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相应的调整。 </w:t>
      </w:r>
    </w:p>
    <w:p>
      <w:pPr>
        <w:spacing w:line="477" w:lineRule="auto" w:before="54"/>
        <w:ind w:left="514" w:right="0" w:firstLine="0"/>
        <w:jc w:val="left"/>
        <w:rPr>
          <w:rFonts w:ascii="宋体" w:hAnsi="宋体" w:cs="宋体" w:eastAsia="宋体" w:hint="default"/>
          <w:sz w:val="18"/>
          <w:szCs w:val="18"/>
        </w:rPr>
      </w:pPr>
      <w:r>
        <w:rPr>
          <w:rFonts w:ascii="宋体" w:hAnsi="宋体" w:cs="宋体" w:eastAsia="宋体" w:hint="default"/>
          <w:sz w:val="18"/>
          <w:szCs w:val="18"/>
        </w:rPr>
        <w:t>1、宏观形势——自上而下 </w:t>
      </w:r>
      <w:r>
        <w:rPr>
          <w:rFonts w:ascii="宋体" w:hAnsi="宋体" w:cs="宋体" w:eastAsia="宋体" w:hint="default"/>
          <w:spacing w:val="-2"/>
          <w:sz w:val="18"/>
          <w:szCs w:val="18"/>
        </w:rPr>
        <w:t>根据《2017年中国版权产业的经济贡献》（2019年发布）数据统计，我国版权产业的增加值已经突破了6万亿元人民币，</w:t>
      </w:r>
    </w:p>
    <w:p>
      <w:pPr>
        <w:spacing w:line="477" w:lineRule="auto" w:before="54"/>
        <w:ind w:left="154" w:right="1128" w:firstLine="0"/>
        <w:jc w:val="both"/>
        <w:rPr>
          <w:rFonts w:ascii="宋体" w:hAnsi="宋体" w:cs="宋体" w:eastAsia="宋体" w:hint="default"/>
          <w:sz w:val="18"/>
          <w:szCs w:val="18"/>
        </w:rPr>
      </w:pPr>
      <w:r>
        <w:rPr>
          <w:rFonts w:ascii="宋体" w:hAnsi="宋体" w:cs="宋体" w:eastAsia="宋体" w:hint="default"/>
          <w:spacing w:val="-2"/>
          <w:sz w:val="18"/>
          <w:szCs w:val="18"/>
        </w:rPr>
        <w:t>占整体GDP的比重为7.35%，而同期发布的《中国网络版权产业发展报告（2018）》的数据显示，2018年中国数字版权产业市</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场规模达7423亿元人民币，2013年至2018年复合增长率为28%。假设版权服务在产业总值中的占比为10%，按照28%的复合增</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长率估计，2020年至2022年，版权服务的市场规模将分别达到1200亿元、1500亿元和2000亿元，而在目前的版权服务领域尚</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z w:val="18"/>
          <w:szCs w:val="18"/>
        </w:rPr>
        <w:t>未产生规模型企业，产业集中度低，存在市场整合的机会。 </w:t>
      </w:r>
    </w:p>
    <w:p>
      <w:pPr>
        <w:spacing w:line="477" w:lineRule="auto" w:before="54"/>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在中美贸易摩擦不断反复的政治背景和中国GDP即将突破100万亿元人民币的经济背景下，社会的产业结构已经发生并也</w:t>
      </w:r>
      <w:r>
        <w:rPr>
          <w:rFonts w:ascii="宋体" w:hAnsi="宋体" w:cs="宋体" w:eastAsia="宋体" w:hint="default"/>
          <w:sz w:val="18"/>
          <w:szCs w:val="18"/>
        </w:rPr>
        <w:t> </w:t>
      </w:r>
      <w:r>
        <w:rPr>
          <w:rFonts w:ascii="宋体" w:hAnsi="宋体" w:cs="宋体" w:eastAsia="宋体" w:hint="default"/>
          <w:spacing w:val="-2"/>
          <w:sz w:val="18"/>
          <w:szCs w:val="18"/>
        </w:rPr>
        <w:t>会更加快速的发生重大的变化。从产业的角度理解，文化娱乐、艺术收藏、设计等相关产业将逐渐繁荣，为这些行业保驾护</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航的版权服务产业，也必然迎来高速发展的窗口期。而5G、AI、区块链等技术的不断成熟和加速应用，更是助推了这一窗口</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期的到来。 </w:t>
      </w:r>
    </w:p>
    <w:p>
      <w:pPr>
        <w:spacing w:line="477" w:lineRule="auto" w:before="54"/>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市场潜在发展规模和行业高速发展窗口期的双重有利因素，使公司有了在版权服务市场持续深耕的动力和取得成功的信</w:t>
      </w:r>
      <w:r>
        <w:rPr>
          <w:rFonts w:ascii="宋体" w:hAnsi="宋体" w:cs="宋体" w:eastAsia="宋体" w:hint="default"/>
          <w:sz w:val="18"/>
          <w:szCs w:val="18"/>
        </w:rPr>
        <w:t> 心。 </w:t>
      </w:r>
    </w:p>
    <w:p>
      <w:pPr>
        <w:spacing w:line="477" w:lineRule="auto" w:before="54"/>
        <w:ind w:left="514" w:right="0" w:firstLine="0"/>
        <w:jc w:val="left"/>
        <w:rPr>
          <w:rFonts w:ascii="宋体" w:hAnsi="宋体" w:cs="宋体" w:eastAsia="宋体" w:hint="default"/>
          <w:sz w:val="18"/>
          <w:szCs w:val="18"/>
        </w:rPr>
      </w:pPr>
      <w:r>
        <w:rPr>
          <w:rFonts w:ascii="宋体" w:hAnsi="宋体" w:cs="宋体" w:eastAsia="宋体" w:hint="default"/>
          <w:sz w:val="18"/>
          <w:szCs w:val="18"/>
        </w:rPr>
        <w:t>2、微观企业——自下而上 </w:t>
      </w:r>
      <w:r>
        <w:rPr>
          <w:rFonts w:ascii="宋体" w:hAnsi="宋体" w:cs="宋体" w:eastAsia="宋体" w:hint="default"/>
          <w:spacing w:val="-2"/>
          <w:sz w:val="18"/>
          <w:szCs w:val="18"/>
        </w:rPr>
        <w:t>基于“创作即确权、使用即授权、发现即维权”的产品思路，公司将对版权家体系进行自下而上的模式创新，主要为基</w:t>
      </w:r>
    </w:p>
    <w:p>
      <w:pPr>
        <w:spacing w:line="477" w:lineRule="auto" w:before="54"/>
        <w:ind w:left="154" w:right="0" w:firstLine="0"/>
        <w:jc w:val="left"/>
        <w:rPr>
          <w:rFonts w:ascii="宋体" w:hAnsi="宋体" w:cs="宋体" w:eastAsia="宋体" w:hint="default"/>
          <w:sz w:val="18"/>
          <w:szCs w:val="18"/>
        </w:rPr>
      </w:pPr>
      <w:r>
        <w:rPr>
          <w:rFonts w:ascii="宋体" w:hAnsi="宋体" w:cs="宋体" w:eastAsia="宋体" w:hint="default"/>
          <w:spacing w:val="-4"/>
          <w:sz w:val="18"/>
          <w:szCs w:val="18"/>
        </w:rPr>
        <w:t>于“中台体系”的“小生态”模式。所谓基于“中台体系”的“小生态”模式，是指在以底层技术平台为后台核心的基础上，</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通过“版权家”平台提供的6项服务（确权、授权、维权、资产管理、金融化、信息服务），将数据沉淀在中台，通过数据</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的挖掘让业务更有智慧，最终通过智能化的中台大数据，赋能前台的一系列业务项目，构建一个个“小生态”，并逐渐发展</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壮大，最终实现版权“大生态”圈，分享版权服务市场千亿级别的大蛋糕。 </w:t>
      </w:r>
    </w:p>
    <w:p>
      <w:pPr>
        <w:spacing w:before="54"/>
        <w:ind w:left="514" w:right="0" w:firstLine="0"/>
        <w:jc w:val="left"/>
        <w:rPr>
          <w:rFonts w:ascii="宋体" w:hAnsi="宋体" w:cs="宋体" w:eastAsia="宋体" w:hint="default"/>
          <w:sz w:val="18"/>
          <w:szCs w:val="18"/>
        </w:rPr>
      </w:pPr>
      <w:r>
        <w:rPr>
          <w:rFonts w:ascii="宋体" w:hAnsi="宋体" w:cs="宋体" w:eastAsia="宋体" w:hint="default"/>
          <w:sz w:val="18"/>
          <w:szCs w:val="18"/>
        </w:rPr>
        <w:t>3、2020年度经营计划 </w:t>
      </w:r>
    </w:p>
    <w:p>
      <w:pPr>
        <w:spacing w:line="240" w:lineRule="auto" w:before="10"/>
        <w:rPr>
          <w:rFonts w:ascii="宋体" w:hAnsi="宋体" w:cs="宋体" w:eastAsia="宋体" w:hint="default"/>
          <w:sz w:val="17"/>
          <w:szCs w:val="17"/>
        </w:rPr>
      </w:pPr>
    </w:p>
    <w:p>
      <w:pPr>
        <w:spacing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2020年，公司将在以下几个方面有针对性的投入，实现年度经营目标： </w:t>
      </w:r>
    </w:p>
    <w:p>
      <w:pPr>
        <w:spacing w:line="240" w:lineRule="auto" w:before="10"/>
        <w:rPr>
          <w:rFonts w:ascii="宋体" w:hAnsi="宋体" w:cs="宋体" w:eastAsia="宋体" w:hint="default"/>
          <w:sz w:val="17"/>
          <w:szCs w:val="17"/>
        </w:rPr>
      </w:pPr>
    </w:p>
    <w:p>
      <w:pPr>
        <w:spacing w:line="477" w:lineRule="auto" w:before="0"/>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（1）推出超级产品</w:t>
      </w:r>
      <w:r>
        <w:rPr>
          <w:rFonts w:ascii="宋体" w:hAnsi="宋体" w:cs="宋体" w:eastAsia="宋体" w:hint="default"/>
          <w:b/>
          <w:bCs/>
          <w:w w:val="99"/>
          <w:sz w:val="18"/>
          <w:szCs w:val="18"/>
        </w:rPr>
        <w:t> </w:t>
      </w:r>
      <w:r>
        <w:rPr>
          <w:rFonts w:ascii="宋体" w:hAnsi="宋体" w:cs="宋体" w:eastAsia="宋体" w:hint="default"/>
          <w:spacing w:val="-2"/>
          <w:sz w:val="18"/>
          <w:szCs w:val="18"/>
        </w:rPr>
        <w:t>以前期积累的客户服务经验数据和不断更新的行业及客户需求情况，以顾客场景和顾客利益为中心，对目标顾客进行充</w:t>
      </w:r>
    </w:p>
    <w:p>
      <w:pPr>
        <w:spacing w:after="0" w:line="477" w:lineRule="auto"/>
        <w:jc w:val="left"/>
        <w:rPr>
          <w:rFonts w:ascii="宋体" w:hAnsi="宋体" w:cs="宋体" w:eastAsia="宋体" w:hint="default"/>
          <w:sz w:val="18"/>
          <w:szCs w:val="18"/>
        </w:rPr>
        <w:sectPr>
          <w:headerReference w:type="default" r:id="rId19"/>
          <w:footerReference w:type="default" r:id="rId20"/>
          <w:pgSz w:w="11910" w:h="16840"/>
          <w:pgMar w:header="877" w:footer="982" w:top="1100" w:bottom="1180" w:left="980" w:right="0"/>
          <w:pgNumType w:start="36"/>
        </w:sectPr>
      </w:pPr>
    </w:p>
    <w:p>
      <w:pPr>
        <w:spacing w:line="240" w:lineRule="auto" w:before="11"/>
        <w:rPr>
          <w:rFonts w:ascii="宋体" w:hAnsi="宋体" w:cs="宋体" w:eastAsia="宋体" w:hint="default"/>
          <w:sz w:val="27"/>
          <w:szCs w:val="27"/>
        </w:rPr>
      </w:pPr>
    </w:p>
    <w:p>
      <w:pPr>
        <w:spacing w:line="477" w:lineRule="auto" w:before="44"/>
        <w:ind w:left="153" w:right="1130" w:firstLine="0"/>
        <w:jc w:val="both"/>
        <w:rPr>
          <w:rFonts w:ascii="宋体" w:hAnsi="宋体" w:cs="宋体" w:eastAsia="宋体" w:hint="default"/>
          <w:sz w:val="18"/>
          <w:szCs w:val="18"/>
        </w:rPr>
      </w:pPr>
      <w:r>
        <w:rPr>
          <w:rFonts w:ascii="宋体" w:hAnsi="宋体" w:cs="宋体" w:eastAsia="宋体" w:hint="default"/>
          <w:spacing w:val="-2"/>
          <w:sz w:val="18"/>
          <w:szCs w:val="18"/>
        </w:rPr>
        <w:t>分的调研和分析，以顾客思维作为产品研发和更新的导向，不断将“版权家”打造成能够满足顾客显性/隐性/潜在三个层面</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需求的超级产品。至2020年底，公司将在版权家各顾客界面上全部上线使用三大蓝图产品，版权综合服务平台全面上线版权</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信息服务和版权资产管理服务业务，通过ABCD技术的全面升级，使得产品具有超级顾客体验。 </w:t>
      </w:r>
    </w:p>
    <w:p>
      <w:pPr>
        <w:spacing w:line="477" w:lineRule="auto" w:before="54"/>
        <w:ind w:left="513" w:right="0" w:firstLine="1"/>
        <w:jc w:val="left"/>
        <w:rPr>
          <w:rFonts w:ascii="宋体" w:hAnsi="宋体" w:cs="宋体" w:eastAsia="宋体" w:hint="default"/>
          <w:sz w:val="18"/>
          <w:szCs w:val="18"/>
        </w:rPr>
      </w:pPr>
      <w:r>
        <w:rPr>
          <w:rFonts w:ascii="宋体" w:hAnsi="宋体" w:cs="宋体" w:eastAsia="宋体" w:hint="default"/>
          <w:b/>
          <w:bCs/>
          <w:sz w:val="18"/>
          <w:szCs w:val="18"/>
        </w:rPr>
        <w:t>（2）发力超级销售</w:t>
      </w:r>
      <w:r>
        <w:rPr>
          <w:rFonts w:ascii="宋体" w:hAnsi="宋体" w:cs="宋体" w:eastAsia="宋体" w:hint="default"/>
          <w:b/>
          <w:bCs/>
          <w:w w:val="99"/>
          <w:sz w:val="18"/>
          <w:szCs w:val="18"/>
        </w:rPr>
        <w:t> </w:t>
      </w:r>
      <w:r>
        <w:rPr>
          <w:rFonts w:ascii="宋体" w:hAnsi="宋体" w:cs="宋体" w:eastAsia="宋体" w:hint="default"/>
          <w:spacing w:val="-2"/>
          <w:sz w:val="18"/>
          <w:szCs w:val="18"/>
        </w:rPr>
        <w:t>顾客数量的持续拓展是公司业务收入增长的重要保障，2020年，公司将会加强对销售和市场的投入力度，通过精准的营</w:t>
      </w:r>
    </w:p>
    <w:p>
      <w:pPr>
        <w:spacing w:line="477" w:lineRule="auto" w:before="54"/>
        <w:ind w:left="153" w:right="1131" w:firstLine="0"/>
        <w:jc w:val="both"/>
        <w:rPr>
          <w:rFonts w:ascii="宋体" w:hAnsi="宋体" w:cs="宋体" w:eastAsia="宋体" w:hint="default"/>
          <w:sz w:val="18"/>
          <w:szCs w:val="18"/>
        </w:rPr>
      </w:pPr>
      <w:r>
        <w:rPr>
          <w:rFonts w:ascii="宋体" w:hAnsi="宋体" w:cs="宋体" w:eastAsia="宋体" w:hint="default"/>
          <w:spacing w:val="-2"/>
          <w:sz w:val="18"/>
          <w:szCs w:val="18"/>
        </w:rPr>
        <w:t>销渠道建设，针对不同客户需求对产品和服务进行推广，通过对“版权家”品牌美誉度的建设和沉淀，占领顾客心智，通过</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支撑超级产品的价值链打造，提高顾客的体验，创造新需求，努力在新生行业中成为版权服务的第一品牌。 </w:t>
      </w:r>
    </w:p>
    <w:p>
      <w:pPr>
        <w:spacing w:line="477" w:lineRule="auto" w:before="54"/>
        <w:ind w:left="153" w:right="1128" w:firstLine="492"/>
        <w:jc w:val="both"/>
        <w:rPr>
          <w:rFonts w:ascii="宋体" w:hAnsi="宋体" w:cs="宋体" w:eastAsia="宋体" w:hint="default"/>
          <w:sz w:val="18"/>
          <w:szCs w:val="18"/>
        </w:rPr>
      </w:pPr>
      <w:r>
        <w:rPr>
          <w:rFonts w:ascii="宋体" w:hAnsi="宋体" w:cs="宋体" w:eastAsia="宋体" w:hint="default"/>
          <w:sz w:val="18"/>
          <w:szCs w:val="18"/>
        </w:rPr>
        <w:t>同时，公司对C端/B端/G端客户的开发也制定了明确的目标：至2020年底，公司努力实现“版权家”综合服务平台注 </w:t>
      </w:r>
      <w:r>
        <w:rPr>
          <w:rFonts w:ascii="宋体" w:hAnsi="宋体" w:cs="宋体" w:eastAsia="宋体" w:hint="default"/>
          <w:spacing w:val="-2"/>
          <w:sz w:val="18"/>
          <w:szCs w:val="18"/>
        </w:rPr>
        <w:t>册客户数25000以上，付费客户数10000以上；版权家客户端注册客户数10000以上，付费客户数2000以上；开拓园区/渠道类</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z w:val="18"/>
          <w:szCs w:val="18"/>
        </w:rPr>
        <w:t>客户接口服务数30个以上。 </w:t>
      </w:r>
    </w:p>
    <w:p>
      <w:pPr>
        <w:spacing w:line="477" w:lineRule="auto" w:before="54"/>
        <w:ind w:left="646" w:right="0" w:hanging="131"/>
        <w:jc w:val="left"/>
        <w:rPr>
          <w:rFonts w:ascii="宋体" w:hAnsi="宋体" w:cs="宋体" w:eastAsia="宋体" w:hint="default"/>
          <w:sz w:val="18"/>
          <w:szCs w:val="18"/>
        </w:rPr>
      </w:pPr>
      <w:r>
        <w:rPr>
          <w:rFonts w:ascii="宋体" w:hAnsi="宋体" w:cs="宋体" w:eastAsia="宋体" w:hint="default"/>
          <w:b/>
          <w:bCs/>
          <w:sz w:val="18"/>
          <w:szCs w:val="18"/>
        </w:rPr>
        <w:t>（3）构建中台赋能</w:t>
      </w:r>
      <w:r>
        <w:rPr>
          <w:rFonts w:ascii="宋体" w:hAnsi="宋体" w:cs="宋体" w:eastAsia="宋体" w:hint="default"/>
          <w:b/>
          <w:bCs/>
          <w:w w:val="99"/>
          <w:sz w:val="18"/>
          <w:szCs w:val="18"/>
        </w:rPr>
        <w:t> </w:t>
      </w:r>
      <w:r>
        <w:rPr>
          <w:rFonts w:ascii="宋体" w:hAnsi="宋体" w:cs="宋体" w:eastAsia="宋体" w:hint="default"/>
          <w:spacing w:val="-1"/>
          <w:sz w:val="18"/>
          <w:szCs w:val="18"/>
        </w:rPr>
        <w:t>2020年是公司实行基于“中台体系”的“小生态”模式创新的第一年，公司将通过业务中台和数据中台的搭建，通过</w:t>
      </w:r>
    </w:p>
    <w:p>
      <w:pPr>
        <w:spacing w:line="477" w:lineRule="auto" w:before="54"/>
        <w:ind w:left="154" w:right="1041" w:firstLine="0"/>
        <w:jc w:val="both"/>
        <w:rPr>
          <w:rFonts w:ascii="宋体" w:hAnsi="宋体" w:cs="宋体" w:eastAsia="宋体" w:hint="default"/>
          <w:sz w:val="18"/>
          <w:szCs w:val="18"/>
        </w:rPr>
      </w:pPr>
      <w:r>
        <w:rPr>
          <w:rFonts w:ascii="宋体" w:hAnsi="宋体" w:cs="宋体" w:eastAsia="宋体" w:hint="default"/>
          <w:spacing w:val="-4"/>
          <w:sz w:val="18"/>
          <w:szCs w:val="18"/>
        </w:rPr>
        <w:t>对存量数据的深入再挖掘及增量数据的针对性梳理，构建完善的业务与数据之间的互补链，提高支撑前台各业务条线的能力，</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通过赋能更好的为客户服务。 </w:t>
      </w:r>
    </w:p>
    <w:p>
      <w:pPr>
        <w:spacing w:line="477" w:lineRule="auto" w:before="54"/>
        <w:ind w:left="154" w:right="1117" w:firstLine="360"/>
        <w:jc w:val="left"/>
        <w:rPr>
          <w:rFonts w:ascii="宋体" w:hAnsi="宋体" w:cs="宋体" w:eastAsia="宋体" w:hint="default"/>
          <w:sz w:val="18"/>
          <w:szCs w:val="18"/>
        </w:rPr>
      </w:pPr>
      <w:r>
        <w:rPr>
          <w:rFonts w:ascii="宋体" w:hAnsi="宋体" w:cs="宋体" w:eastAsia="宋体" w:hint="default"/>
          <w:spacing w:val="-2"/>
          <w:sz w:val="18"/>
          <w:szCs w:val="18"/>
        </w:rPr>
        <w:t>下图展示了“中台体系”搭建的整体规划以及相应的运作模式，其中前台的顾客场景将根据业务推进的情况实时进行更</w:t>
      </w:r>
      <w:r>
        <w:rPr>
          <w:rFonts w:ascii="宋体" w:hAnsi="宋体" w:cs="宋体" w:eastAsia="宋体" w:hint="default"/>
          <w:sz w:val="18"/>
          <w:szCs w:val="18"/>
        </w:rPr>
        <w:t> 新和迭代。 </w:t>
      </w:r>
    </w:p>
    <w:p>
      <w:pPr>
        <w:spacing w:line="477" w:lineRule="auto" w:before="54"/>
        <w:ind w:left="154" w:right="1120" w:firstLine="360"/>
        <w:jc w:val="left"/>
        <w:rPr>
          <w:rFonts w:ascii="宋体" w:hAnsi="宋体" w:cs="宋体" w:eastAsia="宋体" w:hint="default"/>
          <w:sz w:val="18"/>
          <w:szCs w:val="18"/>
        </w:rPr>
      </w:pPr>
      <w:r>
        <w:rPr>
          <w:rFonts w:ascii="宋体" w:hAnsi="宋体" w:cs="宋体" w:eastAsia="宋体" w:hint="default"/>
          <w:sz w:val="18"/>
          <w:szCs w:val="18"/>
        </w:rPr>
        <w:t>（1）终端顾客使用版权家的前台产品或服务，同时将顾客行为数据、顾客反馈信息及内外部的大量数据信息，都通过 前台直接沉淀到数据中台体系里，从而不断积累和丰富“版权家”的数据资产。 </w:t>
      </w:r>
    </w:p>
    <w:p>
      <w:pPr>
        <w:spacing w:line="477" w:lineRule="auto" w:before="54"/>
        <w:ind w:left="154" w:right="1120" w:firstLine="360"/>
        <w:jc w:val="left"/>
        <w:rPr>
          <w:rFonts w:ascii="宋体" w:hAnsi="宋体" w:cs="宋体" w:eastAsia="宋体" w:hint="default"/>
          <w:sz w:val="18"/>
          <w:szCs w:val="18"/>
        </w:rPr>
      </w:pPr>
      <w:r>
        <w:rPr>
          <w:rFonts w:ascii="宋体" w:hAnsi="宋体" w:cs="宋体" w:eastAsia="宋体" w:hint="default"/>
          <w:sz w:val="18"/>
          <w:szCs w:val="18"/>
        </w:rPr>
        <w:t>（2）通过数据建模等方式来分析、挖掘和重构数据的价值，为前台业务发展提供数据产品，并成为“版权家”的数据 资产，从而不断夯实“版权家”的版权服务赋能平台的核心能力。 </w:t>
      </w:r>
    </w:p>
    <w:p>
      <w:pPr>
        <w:spacing w:before="54"/>
        <w:ind w:left="514" w:right="0" w:firstLine="0"/>
        <w:jc w:val="left"/>
        <w:rPr>
          <w:rFonts w:ascii="宋体" w:hAnsi="宋体" w:cs="宋体" w:eastAsia="宋体" w:hint="default"/>
          <w:sz w:val="18"/>
          <w:szCs w:val="18"/>
        </w:rPr>
      </w:pPr>
      <w:r>
        <w:rPr>
          <w:rFonts w:ascii="宋体" w:hAnsi="宋体" w:cs="宋体" w:eastAsia="宋体" w:hint="default"/>
          <w:sz w:val="18"/>
          <w:szCs w:val="18"/>
        </w:rPr>
        <w:t>（3）将“版权家”中台能力进行标准化、模块化、产品化，最终实现中台和前台的紧密联通。 </w:t>
      </w:r>
    </w:p>
    <w:p>
      <w:pPr>
        <w:spacing w:line="240" w:lineRule="auto" w:before="10"/>
        <w:rPr>
          <w:rFonts w:ascii="宋体" w:hAnsi="宋体" w:cs="宋体" w:eastAsia="宋体" w:hint="default"/>
          <w:sz w:val="17"/>
          <w:szCs w:val="17"/>
        </w:rPr>
      </w:pPr>
    </w:p>
    <w:p>
      <w:pPr>
        <w:spacing w:line="477" w:lineRule="auto" w:before="0"/>
        <w:ind w:left="154" w:right="0" w:firstLine="360"/>
        <w:jc w:val="left"/>
        <w:rPr>
          <w:rFonts w:ascii="宋体" w:hAnsi="宋体" w:cs="宋体" w:eastAsia="宋体" w:hint="default"/>
          <w:sz w:val="18"/>
          <w:szCs w:val="18"/>
        </w:rPr>
      </w:pPr>
      <w:r>
        <w:rPr>
          <w:rFonts w:ascii="宋体" w:hAnsi="宋体" w:cs="宋体" w:eastAsia="宋体" w:hint="default"/>
          <w:sz w:val="18"/>
          <w:szCs w:val="18"/>
        </w:rPr>
        <w:t>（4）以“版权家”版权服务赋能能力为核心，评估立项、筛选业务合作项目、评估战略投资项目、孵化创新项目、加 </w:t>
      </w:r>
      <w:r>
        <w:rPr>
          <w:rFonts w:ascii="宋体" w:hAnsi="宋体" w:cs="宋体" w:eastAsia="宋体" w:hint="default"/>
          <w:spacing w:val="-4"/>
          <w:sz w:val="18"/>
          <w:szCs w:val="18"/>
        </w:rPr>
        <w:t>强组织协同、提升整体效率和竞争力，实现战略体系、业务协同、数据协同、资源协同等多方面整体赋能，支撑“小生态”，</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培育“大生态”。 </w:t>
      </w:r>
    </w:p>
    <w:p>
      <w:pPr>
        <w:spacing w:before="54"/>
        <w:ind w:left="634" w:right="0" w:firstLine="0"/>
        <w:jc w:val="left"/>
        <w:rPr>
          <w:rFonts w:ascii="宋体" w:hAnsi="宋体" w:cs="宋体" w:eastAsia="宋体" w:hint="default"/>
          <w:sz w:val="18"/>
          <w:szCs w:val="18"/>
        </w:rPr>
      </w:pPr>
      <w:r>
        <w:rPr>
          <w:rFonts w:ascii="宋体"/>
          <w:sz w:val="18"/>
        </w:rPr>
        <w:t> </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p>
      <w:pPr>
        <w:spacing w:line="2847" w:lineRule="exact"/>
        <w:ind w:left="448"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53.5pt;height:142.4pt;mso-position-horizontal-relative:char;mso-position-vertical-relative:line" coordorigin="0,0" coordsize="9070,2848">
            <v:shape style="position:absolute;left:0;top:0;width:9070;height:2005" type="#_x0000_t75" stroked="false">
              <v:imagedata r:id="rId21" o:title=""/>
            </v:shape>
            <v:shape style="position:absolute;left:1798;top:2005;width:7272;height:216" type="#_x0000_t75" stroked="false">
              <v:imagedata r:id="rId22" o:title=""/>
            </v:shape>
            <v:shape style="position:absolute;left:204;top:2192;width:8866;height:331" type="#_x0000_t75" stroked="false">
              <v:imagedata r:id="rId23" o:title=""/>
            </v:shape>
            <v:shape style="position:absolute;left:1798;top:2488;width:7272;height:360" type="#_x0000_t75" stroked="false">
              <v:imagedata r:id="rId24" o:title=""/>
            </v:shape>
          </v:group>
        </w:pict>
      </w:r>
      <w:r>
        <w:rPr>
          <w:rFonts w:ascii="宋体" w:hAnsi="宋体" w:cs="宋体" w:eastAsia="宋体" w:hint="default"/>
          <w:position w:val="-56"/>
          <w:sz w:val="20"/>
          <w:szCs w:val="20"/>
        </w:rPr>
      </w:r>
    </w:p>
    <w:p>
      <w:pPr>
        <w:spacing w:line="240" w:lineRule="auto" w:before="4"/>
        <w:rPr>
          <w:rFonts w:ascii="宋体" w:hAnsi="宋体" w:cs="宋体" w:eastAsia="宋体" w:hint="default"/>
          <w:sz w:val="8"/>
          <w:szCs w:val="8"/>
        </w:rPr>
      </w:pPr>
    </w:p>
    <w:p>
      <w:pPr>
        <w:spacing w:line="554" w:lineRule="exact"/>
        <w:ind w:left="632"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44.25pt;height:27.75pt;mso-position-horizontal-relative:char;mso-position-vertical-relative:line" coordorigin="0,0" coordsize="8885,555">
            <v:shape style="position:absolute;left:1613;top:0;width:7272;height:137" type="#_x0000_t75" stroked="false">
              <v:imagedata r:id="rId25" o:title=""/>
            </v:shape>
            <v:shape style="position:absolute;left:0;top:108;width:8885;height:446" type="#_x0000_t75" stroked="false">
              <v:imagedata r:id="rId26" o:title=""/>
            </v:shape>
          </v:group>
        </w:pict>
      </w:r>
      <w:r>
        <w:rPr>
          <w:rFonts w:ascii="宋体" w:hAnsi="宋体" w:cs="宋体" w:eastAsia="宋体" w:hint="default"/>
          <w:position w:val="-1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p>
      <w:pPr>
        <w:spacing w:line="477" w:lineRule="auto" w:before="0"/>
        <w:ind w:left="513" w:right="0" w:firstLine="1"/>
        <w:jc w:val="left"/>
        <w:rPr>
          <w:rFonts w:ascii="宋体" w:hAnsi="宋体" w:cs="宋体" w:eastAsia="宋体" w:hint="default"/>
          <w:sz w:val="18"/>
          <w:szCs w:val="18"/>
        </w:rPr>
      </w:pPr>
      <w:r>
        <w:rPr>
          <w:rFonts w:ascii="宋体" w:hAnsi="宋体" w:cs="宋体" w:eastAsia="宋体" w:hint="default"/>
          <w:b/>
          <w:bCs/>
          <w:sz w:val="18"/>
          <w:szCs w:val="18"/>
        </w:rPr>
        <w:t>（4）布局前海大湾区</w:t>
      </w:r>
      <w:r>
        <w:rPr>
          <w:rFonts w:ascii="宋体" w:hAnsi="宋体" w:cs="宋体" w:eastAsia="宋体" w:hint="default"/>
          <w:b/>
          <w:bCs/>
          <w:w w:val="99"/>
          <w:sz w:val="18"/>
          <w:szCs w:val="18"/>
        </w:rPr>
        <w:t> </w:t>
      </w:r>
      <w:r>
        <w:rPr>
          <w:rFonts w:ascii="宋体" w:hAnsi="宋体" w:cs="宋体" w:eastAsia="宋体" w:hint="default"/>
          <w:spacing w:val="-2"/>
          <w:sz w:val="18"/>
          <w:szCs w:val="18"/>
        </w:rPr>
        <w:t>报告期内，公司与深圳前海管理局达成合作，由公司和前海科创投牵头，共同发起设立了“版权创新研究院”，全面助</w:t>
      </w:r>
    </w:p>
    <w:p>
      <w:pPr>
        <w:spacing w:line="477" w:lineRule="auto" w:before="54"/>
        <w:ind w:left="153" w:right="1129" w:firstLine="0"/>
        <w:jc w:val="both"/>
        <w:rPr>
          <w:rFonts w:ascii="宋体" w:hAnsi="宋体" w:cs="宋体" w:eastAsia="宋体" w:hint="default"/>
          <w:sz w:val="18"/>
          <w:szCs w:val="18"/>
        </w:rPr>
      </w:pPr>
      <w:r>
        <w:rPr>
          <w:rFonts w:ascii="宋体" w:hAnsi="宋体" w:cs="宋体" w:eastAsia="宋体" w:hint="default"/>
          <w:spacing w:val="-2"/>
          <w:sz w:val="18"/>
          <w:szCs w:val="18"/>
        </w:rPr>
        <w:t>力“国家版权创新发展基地”的建设，进行版权产业机制创新、技术与标准创新、基地运营与服务模式创新，通过创新驱动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发展，打造完善的区域性版权产业生态体系。同时，公司将借势前海的前沿政策优势和国家版权创新基地的行业地位，深度</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整合国际国内资源，将业务延伸到港澳和国际，占领顾客心智，让版权家真正成为世界版权服务市场顾客的首选品牌。</w:t>
      </w:r>
      <w:r>
        <w:rPr>
          <w:rFonts w:ascii="宋体" w:hAnsi="宋体" w:cs="宋体" w:eastAsia="宋体" w:hint="default"/>
          <w:b/>
          <w:bCs/>
          <w:w w:val="99"/>
          <w:sz w:val="18"/>
          <w:szCs w:val="18"/>
        </w:rPr>
        <w:t> </w:t>
      </w:r>
      <w:r>
        <w:rPr>
          <w:rFonts w:ascii="宋体" w:hAnsi="宋体" w:cs="宋体" w:eastAsia="宋体" w:hint="default"/>
          <w:sz w:val="18"/>
          <w:szCs w:val="18"/>
        </w:rPr>
      </w:r>
    </w:p>
    <w:p>
      <w:pPr>
        <w:spacing w:line="477" w:lineRule="auto" w:before="54"/>
        <w:ind w:left="153" w:right="1129" w:firstLine="360"/>
        <w:jc w:val="both"/>
        <w:rPr>
          <w:rFonts w:ascii="宋体" w:hAnsi="宋体" w:cs="宋体" w:eastAsia="宋体" w:hint="default"/>
          <w:sz w:val="18"/>
          <w:szCs w:val="18"/>
        </w:rPr>
      </w:pPr>
      <w:r>
        <w:rPr>
          <w:rFonts w:ascii="宋体" w:hAnsi="宋体" w:cs="宋体" w:eastAsia="宋体" w:hint="default"/>
          <w:spacing w:val="-2"/>
          <w:sz w:val="18"/>
          <w:szCs w:val="18"/>
        </w:rPr>
        <w:t>2020年，公司将继续加强与相关政府部门的沟通交流，争取专项政策扶持和财政资金支持。而“版权创新研究院”将定</w:t>
      </w:r>
      <w:r>
        <w:rPr>
          <w:rFonts w:ascii="宋体" w:hAnsi="宋体" w:cs="宋体" w:eastAsia="宋体" w:hint="default"/>
          <w:sz w:val="18"/>
          <w:szCs w:val="18"/>
        </w:rPr>
        <w:t> </w:t>
      </w:r>
      <w:r>
        <w:rPr>
          <w:rFonts w:ascii="宋体" w:hAnsi="宋体" w:cs="宋体" w:eastAsia="宋体" w:hint="default"/>
          <w:spacing w:val="-2"/>
          <w:sz w:val="18"/>
          <w:szCs w:val="18"/>
        </w:rPr>
        <w:t>位于版权行业第一专家智库，利用前海领先的人才政策和营商环境，吸引高层次人才的加盟；同时，公司计划定期发布版权</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行业白皮书、举办行业峰会，汇聚行业内多方资源，树立行业高端论坛标杆，并以此为契机将业务延伸拓展，打造更宽广的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版权业务版图。 </w:t>
      </w:r>
    </w:p>
    <w:p>
      <w:pPr>
        <w:spacing w:line="477" w:lineRule="auto" w:before="54"/>
        <w:ind w:left="513" w:right="0" w:firstLine="1"/>
        <w:jc w:val="left"/>
        <w:rPr>
          <w:rFonts w:ascii="宋体" w:hAnsi="宋体" w:cs="宋体" w:eastAsia="宋体" w:hint="default"/>
          <w:sz w:val="18"/>
          <w:szCs w:val="18"/>
        </w:rPr>
      </w:pPr>
      <w:r>
        <w:rPr>
          <w:rFonts w:ascii="宋体" w:hAnsi="宋体" w:cs="宋体" w:eastAsia="宋体" w:hint="default"/>
          <w:b/>
          <w:bCs/>
          <w:sz w:val="18"/>
          <w:szCs w:val="18"/>
        </w:rPr>
        <w:t>（5）拓展区块链业务</w:t>
      </w:r>
      <w:r>
        <w:rPr>
          <w:rFonts w:ascii="宋体" w:hAnsi="宋体" w:cs="宋体" w:eastAsia="宋体" w:hint="default"/>
          <w:b/>
          <w:bCs/>
          <w:w w:val="99"/>
          <w:sz w:val="18"/>
          <w:szCs w:val="18"/>
        </w:rPr>
        <w:t> </w:t>
      </w:r>
      <w:r>
        <w:rPr>
          <w:rFonts w:ascii="宋体" w:hAnsi="宋体" w:cs="宋体" w:eastAsia="宋体" w:hint="default"/>
          <w:spacing w:val="-2"/>
          <w:sz w:val="18"/>
          <w:szCs w:val="18"/>
        </w:rPr>
        <w:t>2020年，公司将在国家版权创新发展基地政策指引下，以区块链技术结合AI、5G、AR、VR等前沿科技为基础，扩大战略</w:t>
      </w:r>
    </w:p>
    <w:p>
      <w:pPr>
        <w:spacing w:line="477" w:lineRule="auto" w:before="54"/>
        <w:ind w:left="153" w:right="1128" w:firstLine="0"/>
        <w:jc w:val="both"/>
        <w:rPr>
          <w:rFonts w:ascii="宋体" w:hAnsi="宋体" w:cs="宋体" w:eastAsia="宋体" w:hint="default"/>
          <w:sz w:val="18"/>
          <w:szCs w:val="18"/>
        </w:rPr>
      </w:pPr>
      <w:r>
        <w:rPr>
          <w:rFonts w:ascii="宋体" w:hAnsi="宋体" w:cs="宋体" w:eastAsia="宋体" w:hint="default"/>
          <w:spacing w:val="-2"/>
          <w:sz w:val="18"/>
          <w:szCs w:val="18"/>
        </w:rPr>
        <w:t>合作范围，开展包括版权资产管理、版权金融在内的版权综合服务创新模式探索；以版权区块链联盟为抓手，以区块链技术</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为依托，整合版权管理机构、版权服务机构、版权学术机构、数字内容生产者和消费者以及国内外相关行业协会等资源，逐</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步构建新型版权价值网络体系，未来将以区块链节点服务、子链服务、中间件技术服务等多种方式进行输出，实现更多商业</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场景的应用落地和变现模式的创新。至2020年底，公司努力实现版权区块链联盟链5个以上记账节点和100个以上轻节点，版</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权区块链联盟5个以上收费会员和50个以上普通会员，5个以上“区块链+”商业场景模式落地，建立涵盖“图文视听软游”</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的完整版权生态体系。 </w:t>
      </w:r>
    </w:p>
    <w:p>
      <w:pPr>
        <w:spacing w:line="499" w:lineRule="auto" w:before="54"/>
        <w:ind w:left="513" w:right="5530" w:firstLine="0"/>
        <w:jc w:val="left"/>
        <w:rPr>
          <w:rFonts w:ascii="宋体" w:hAnsi="宋体" w:cs="宋体" w:eastAsia="宋体" w:hint="default"/>
          <w:sz w:val="18"/>
          <w:szCs w:val="18"/>
        </w:rPr>
      </w:pPr>
      <w:r>
        <w:rPr>
          <w:rFonts w:ascii="宋体" w:hAnsi="宋体" w:cs="宋体" w:eastAsia="宋体" w:hint="default"/>
          <w:sz w:val="18"/>
          <w:szCs w:val="18"/>
        </w:rPr>
        <w:t>（二）可能面临的风险及应对措施 1、宏观经济波动及重大事件带来的不确定风险 </w:t>
      </w:r>
    </w:p>
    <w:p>
      <w:pPr>
        <w:spacing w:before="59"/>
        <w:ind w:left="513" w:right="0" w:firstLine="0"/>
        <w:jc w:val="left"/>
        <w:rPr>
          <w:rFonts w:ascii="宋体" w:hAnsi="宋体" w:cs="宋体" w:eastAsia="宋体" w:hint="default"/>
          <w:sz w:val="18"/>
          <w:szCs w:val="18"/>
        </w:rPr>
      </w:pPr>
      <w:r>
        <w:rPr>
          <w:rFonts w:ascii="宋体" w:hAnsi="宋体" w:cs="宋体" w:eastAsia="宋体" w:hint="default"/>
          <w:sz w:val="18"/>
          <w:szCs w:val="18"/>
        </w:rPr>
        <w:t>2020年初，中国爆发“新冠肺炎”疫情，社会经济生活受到了一定程度的影响，虽然目前国内疫情得到了控制，但是随</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1"/>
        <w:rPr>
          <w:rFonts w:ascii="宋体" w:hAnsi="宋体" w:cs="宋体" w:eastAsia="宋体" w:hint="default"/>
          <w:sz w:val="27"/>
          <w:szCs w:val="27"/>
        </w:rPr>
      </w:pPr>
    </w:p>
    <w:p>
      <w:pPr>
        <w:spacing w:line="477" w:lineRule="auto" w:before="44"/>
        <w:ind w:left="153" w:right="1130" w:firstLine="0"/>
        <w:jc w:val="both"/>
        <w:rPr>
          <w:rFonts w:ascii="宋体" w:hAnsi="宋体" w:cs="宋体" w:eastAsia="宋体" w:hint="default"/>
          <w:sz w:val="18"/>
          <w:szCs w:val="18"/>
        </w:rPr>
      </w:pPr>
      <w:r>
        <w:rPr>
          <w:rFonts w:ascii="宋体" w:hAnsi="宋体" w:cs="宋体" w:eastAsia="宋体" w:hint="default"/>
          <w:spacing w:val="-2"/>
          <w:sz w:val="18"/>
          <w:szCs w:val="18"/>
        </w:rPr>
        <w:t>着“新冠肺炎”疫情在全球范围的扩散蔓延，世界经济下行风险加剧，疫情的结束时间以及结束后对于社会经济形势以及企</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业生产经营等方面的影响存在较大不确定性，不排除受疫情及宏观经济波动的影响，消费者群体的收入水平、消费结构等发</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生变动，由于版权行业属于第三产业，受实体经济活动的活跃度和行业活跃度的影响较大，公司的客户群体复工复产延后及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后续的恢复情况的不确定，将对公司业务开展产生直接的影响。针对这一系统性风险，公司会在确保符合政府疫情防控相关</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规定和业务开展安全性的前提下，稳健经营、控制风险，同时更加积极挖掘客户需求，尽力将疫情的影响降至最低。 </w:t>
      </w:r>
    </w:p>
    <w:p>
      <w:pPr>
        <w:spacing w:line="477" w:lineRule="auto" w:before="54"/>
        <w:ind w:left="513" w:right="0" w:firstLine="0"/>
        <w:jc w:val="left"/>
        <w:rPr>
          <w:rFonts w:ascii="宋体" w:hAnsi="宋体" w:cs="宋体" w:eastAsia="宋体" w:hint="default"/>
          <w:sz w:val="18"/>
          <w:szCs w:val="18"/>
        </w:rPr>
      </w:pPr>
      <w:r>
        <w:rPr>
          <w:rFonts w:ascii="宋体" w:hAnsi="宋体" w:cs="宋体" w:eastAsia="宋体" w:hint="default"/>
          <w:sz w:val="18"/>
          <w:szCs w:val="18"/>
        </w:rPr>
        <w:t>2、募投项目实施效果及收益不达预期的风险 </w:t>
      </w:r>
      <w:r>
        <w:rPr>
          <w:rFonts w:ascii="宋体" w:hAnsi="宋体" w:cs="宋体" w:eastAsia="宋体" w:hint="default"/>
          <w:spacing w:val="-2"/>
          <w:sz w:val="18"/>
          <w:szCs w:val="18"/>
        </w:rPr>
        <w:t>公司前期对“版权大数据平台建设”项目的可行性进行了充分论证和财务测算，综合评价了风险和收益。但募投项目的</w:t>
      </w:r>
    </w:p>
    <w:p>
      <w:pPr>
        <w:spacing w:line="477" w:lineRule="auto" w:before="54"/>
        <w:ind w:left="153" w:right="1131" w:firstLine="0"/>
        <w:jc w:val="both"/>
        <w:rPr>
          <w:rFonts w:ascii="宋体" w:hAnsi="宋体" w:cs="宋体" w:eastAsia="宋体" w:hint="default"/>
          <w:sz w:val="18"/>
          <w:szCs w:val="18"/>
        </w:rPr>
      </w:pPr>
      <w:r>
        <w:rPr>
          <w:rFonts w:ascii="宋体" w:hAnsi="宋体" w:cs="宋体" w:eastAsia="宋体" w:hint="default"/>
          <w:spacing w:val="-2"/>
          <w:sz w:val="18"/>
          <w:szCs w:val="18"/>
        </w:rPr>
        <w:t>实际实施效果受宏观经济大环境及行业发展进度等多方面因素的影响，存在一定的不确定性。谨慎起见，公司也在报告期内</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公告将募投项目建设周期延长二年至2021年12月31日，公司在募集资金的使用中，会坚持充分论证、科学决策、谨慎投资的</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原则，同时不断完善公司内部控制机制，降低投资失误的风险。 </w:t>
      </w:r>
    </w:p>
    <w:p>
      <w:pPr>
        <w:spacing w:line="477" w:lineRule="auto" w:before="54"/>
        <w:ind w:left="513" w:right="1031" w:firstLine="0"/>
        <w:jc w:val="left"/>
        <w:rPr>
          <w:rFonts w:ascii="宋体" w:hAnsi="宋体" w:cs="宋体" w:eastAsia="宋体" w:hint="default"/>
          <w:sz w:val="18"/>
          <w:szCs w:val="18"/>
        </w:rPr>
      </w:pPr>
      <w:r>
        <w:rPr>
          <w:rFonts w:ascii="宋体" w:hAnsi="宋体" w:cs="宋体" w:eastAsia="宋体" w:hint="default"/>
          <w:sz w:val="18"/>
          <w:szCs w:val="18"/>
        </w:rPr>
        <w:t>3、与合作方关系不稳定的风险 公司与电信运营商、互联网平台、内容生产方之间保持了良好的合作关系，为合作伙伴提供确权、授权、维权等服务。</w:t>
      </w:r>
    </w:p>
    <w:p>
      <w:pPr>
        <w:spacing w:line="477" w:lineRule="auto" w:before="54"/>
        <w:ind w:left="153" w:right="1130" w:firstLine="0"/>
        <w:jc w:val="both"/>
        <w:rPr>
          <w:rFonts w:ascii="宋体" w:hAnsi="宋体" w:cs="宋体" w:eastAsia="宋体" w:hint="default"/>
          <w:sz w:val="18"/>
          <w:szCs w:val="18"/>
        </w:rPr>
      </w:pPr>
      <w:r>
        <w:rPr>
          <w:rFonts w:ascii="宋体" w:hAnsi="宋体" w:cs="宋体" w:eastAsia="宋体" w:hint="default"/>
          <w:spacing w:val="-2"/>
          <w:sz w:val="18"/>
          <w:szCs w:val="18"/>
        </w:rPr>
        <w:t>若公司未来与合作方的合作关系出现不稳定的情况，将会影响公司的盈利能力。公司将通过夯实与现有合作伙伴互利共赢关</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系，同时大力拓展新合作伙伴的方式来规避相关风险。 </w:t>
      </w:r>
    </w:p>
    <w:p>
      <w:pPr>
        <w:spacing w:line="477" w:lineRule="auto" w:before="54"/>
        <w:ind w:left="513" w:right="0" w:firstLine="0"/>
        <w:jc w:val="left"/>
        <w:rPr>
          <w:rFonts w:ascii="宋体" w:hAnsi="宋体" w:cs="宋体" w:eastAsia="宋体" w:hint="default"/>
          <w:sz w:val="18"/>
          <w:szCs w:val="18"/>
        </w:rPr>
      </w:pPr>
      <w:r>
        <w:rPr>
          <w:rFonts w:ascii="宋体" w:hAnsi="宋体" w:cs="宋体" w:eastAsia="宋体" w:hint="default"/>
          <w:sz w:val="18"/>
          <w:szCs w:val="18"/>
        </w:rPr>
        <w:t>4、商誉减值的风险 </w:t>
      </w:r>
      <w:r>
        <w:rPr>
          <w:rFonts w:ascii="宋体" w:hAnsi="宋体" w:cs="宋体" w:eastAsia="宋体" w:hint="default"/>
          <w:spacing w:val="-2"/>
          <w:sz w:val="18"/>
          <w:szCs w:val="18"/>
        </w:rPr>
        <w:t>截止2019年12月31日，公司投资并购畅元国讯产生的商誉剩余账面价值为51741.47万元，报告期内计提畅元国讯商誉减</w:t>
      </w:r>
    </w:p>
    <w:p>
      <w:pPr>
        <w:spacing w:line="477" w:lineRule="auto" w:before="54"/>
        <w:ind w:left="153" w:right="1131" w:firstLine="0"/>
        <w:jc w:val="both"/>
        <w:rPr>
          <w:rFonts w:ascii="宋体" w:hAnsi="宋体" w:cs="宋体" w:eastAsia="宋体" w:hint="default"/>
          <w:sz w:val="18"/>
          <w:szCs w:val="18"/>
        </w:rPr>
      </w:pPr>
      <w:r>
        <w:rPr>
          <w:rFonts w:ascii="宋体" w:hAnsi="宋体" w:cs="宋体" w:eastAsia="宋体" w:hint="default"/>
          <w:spacing w:val="-2"/>
          <w:sz w:val="18"/>
          <w:szCs w:val="18"/>
        </w:rPr>
        <w:t>值22061.48万元。若投资并购的子公司盈利情况未来不达预期，将可能形成商誉减值，从而影响当期损益。公司将紧密关注</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pacing w:val="-2"/>
          <w:sz w:val="18"/>
          <w:szCs w:val="18"/>
        </w:rPr>
        <w:t>并购子公司的经营情况及行业发展趋势，通过人才、管理及业务协同的方式来强化投后管理，整合优势资源，夯实核心竞争</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力，保障子公司稳健发展，降低商誉减值的风险。 </w:t>
      </w:r>
    </w:p>
    <w:p>
      <w:pPr>
        <w:spacing w:before="54"/>
        <w:ind w:left="513" w:right="0" w:firstLine="0"/>
        <w:jc w:val="left"/>
        <w:rPr>
          <w:rFonts w:ascii="宋体" w:hAnsi="宋体" w:cs="宋体" w:eastAsia="宋体" w:hint="default"/>
          <w:sz w:val="18"/>
          <w:szCs w:val="18"/>
        </w:rPr>
      </w:pPr>
      <w:r>
        <w:rPr>
          <w:rFonts w:ascii="宋体" w:hAnsi="宋体" w:cs="宋体" w:eastAsia="宋体" w:hint="default"/>
          <w:sz w:val="18"/>
          <w:szCs w:val="18"/>
        </w:rPr>
        <w:t>5、人才管理的风险 </w:t>
      </w:r>
    </w:p>
    <w:p>
      <w:pPr>
        <w:spacing w:line="240" w:lineRule="auto" w:before="10"/>
        <w:rPr>
          <w:rFonts w:ascii="宋体" w:hAnsi="宋体" w:cs="宋体" w:eastAsia="宋体" w:hint="default"/>
          <w:sz w:val="17"/>
          <w:szCs w:val="17"/>
        </w:rPr>
      </w:pPr>
    </w:p>
    <w:p>
      <w:pPr>
        <w:spacing w:line="477" w:lineRule="auto" w:before="0"/>
        <w:ind w:left="153" w:right="1131" w:firstLine="0"/>
        <w:jc w:val="both"/>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2"/>
          <w:sz w:val="18"/>
          <w:szCs w:val="18"/>
        </w:rPr>
        <w:t>版权业务已经成为上市公司重要的业务组成部分之一，公司目前已经拥有稳定的版权服务管理团队和人才储备库，同时</w:t>
      </w:r>
      <w:r>
        <w:rPr>
          <w:rFonts w:ascii="宋体" w:hAnsi="宋体" w:cs="宋体" w:eastAsia="宋体" w:hint="default"/>
          <w:sz w:val="18"/>
          <w:szCs w:val="18"/>
        </w:rPr>
        <w:t> </w:t>
      </w:r>
      <w:r>
        <w:rPr>
          <w:rFonts w:ascii="宋体" w:hAnsi="宋体" w:cs="宋体" w:eastAsia="宋体" w:hint="default"/>
          <w:spacing w:val="-2"/>
          <w:sz w:val="18"/>
          <w:szCs w:val="18"/>
        </w:rPr>
        <w:t>通过专业的人才管理措施稳定和壮大优秀人才队伍，但与公司发展战略和发展目标的要求相比目前人才储备规模仍有待进一</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步加强。公司将积极采取多种人才管理措施，加强激励措施，加强公司人才储备，减少核心专业人才变动给公司经营业务带</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来的负面影响。 </w:t>
      </w:r>
    </w:p>
    <w:p>
      <w:pPr>
        <w:spacing w:line="240" w:lineRule="auto" w:before="7"/>
        <w:rPr>
          <w:rFonts w:ascii="宋体" w:hAnsi="宋体" w:cs="宋体" w:eastAsia="宋体" w:hint="default"/>
          <w:sz w:val="17"/>
          <w:szCs w:val="17"/>
        </w:rPr>
      </w:pPr>
    </w:p>
    <w:p>
      <w:pPr>
        <w:pStyle w:val="Heading2"/>
        <w:spacing w:line="240" w:lineRule="auto"/>
        <w:ind w:right="0"/>
        <w:jc w:val="both"/>
        <w:rPr>
          <w:b w:val="0"/>
          <w:bCs w:val="0"/>
        </w:rPr>
      </w:pPr>
      <w:r>
        <w:rPr/>
        <w:t>十、接待调研、沟通、采访等活动</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both"/>
        <w:rPr>
          <w:b w:val="0"/>
          <w:bCs w:val="0"/>
        </w:rPr>
      </w:pP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178"/>
        <w:gridCol w:w="2177"/>
        <w:gridCol w:w="2177"/>
        <w:gridCol w:w="3037"/>
      </w:tblGrid>
      <w:tr>
        <w:trPr>
          <w:trHeight w:val="401" w:hRule="exact"/>
        </w:trPr>
        <w:tc>
          <w:tcPr>
            <w:tcW w:w="217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43"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704"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3"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电话沟通</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投资者关系活动记录表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20191028</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right="3610"/>
        <w:jc w:val="center"/>
        <w:rPr>
          <w:b w:val="0"/>
          <w:bCs w:val="0"/>
        </w:rPr>
      </w:pPr>
      <w:bookmarkStart w:name="_TOC_250008" w:id="5"/>
      <w:r>
        <w:rPr/>
        <w:t>第五节重要事项</w:t>
      </w:r>
      <w:bookmarkEnd w:id="5"/>
      <w:r>
        <w:rPr>
          <w:b w:val="0"/>
          <w:bCs w:val="0"/>
        </w:rPr>
      </w:r>
    </w:p>
    <w:p>
      <w:pPr>
        <w:spacing w:line="240" w:lineRule="auto" w:before="11"/>
        <w:rPr>
          <w:rFonts w:ascii="宋体" w:hAnsi="宋体" w:cs="宋体" w:eastAsia="宋体" w:hint="default"/>
          <w:b/>
          <w:bCs/>
          <w:sz w:val="38"/>
          <w:szCs w:val="38"/>
        </w:rPr>
      </w:pPr>
    </w:p>
    <w:p>
      <w:pPr>
        <w:pStyle w:val="Heading2"/>
        <w:spacing w:line="240" w:lineRule="auto"/>
        <w:ind w:right="0"/>
        <w:jc w:val="left"/>
        <w:rPr>
          <w:b w:val="0"/>
          <w:bCs w:val="0"/>
        </w:rPr>
      </w:pP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7"/>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3"/>
          <w:szCs w:val="13"/>
        </w:rPr>
      </w:pPr>
    </w:p>
    <w:p>
      <w:pPr>
        <w:spacing w:line="477" w:lineRule="auto" w:before="0"/>
        <w:ind w:left="154" w:right="1131" w:firstLine="360"/>
        <w:jc w:val="both"/>
        <w:rPr>
          <w:rFonts w:ascii="宋体" w:hAnsi="宋体" w:cs="宋体" w:eastAsia="宋体" w:hint="default"/>
          <w:sz w:val="18"/>
          <w:szCs w:val="18"/>
        </w:rPr>
      </w:pPr>
      <w:r>
        <w:rPr>
          <w:rFonts w:ascii="宋体" w:hAnsi="宋体" w:cs="宋体" w:eastAsia="宋体" w:hint="default"/>
          <w:sz w:val="18"/>
          <w:szCs w:val="18"/>
        </w:rPr>
        <w:t>公司严格执行《2019年-2021年股东回报计划》，对分红标准、比例以及利润分配政策的决策程序进行了明确规定，从 </w:t>
      </w:r>
      <w:r>
        <w:rPr>
          <w:rFonts w:ascii="宋体" w:hAnsi="宋体" w:cs="宋体" w:eastAsia="宋体" w:hint="default"/>
          <w:spacing w:val="-2"/>
          <w:sz w:val="18"/>
          <w:szCs w:val="18"/>
        </w:rPr>
        <w:t>制度上保证了利润分配政策的连续性和稳定性，能够充分保护中小投资者的合法权益。具体参照本章节“公司近三年（包括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本报告期）普通股现金分红情况表”。 </w:t>
      </w:r>
    </w:p>
    <w:p>
      <w:pPr>
        <w:spacing w:line="240" w:lineRule="auto" w:before="3"/>
        <w:rPr>
          <w:rFonts w:ascii="宋体" w:hAnsi="宋体" w:cs="宋体" w:eastAsia="宋体" w:hint="default"/>
          <w:sz w:val="21"/>
          <w:szCs w:val="21"/>
        </w:rPr>
      </w:pPr>
    </w:p>
    <w:tbl>
      <w:tblPr>
        <w:tblW w:w="0" w:type="auto"/>
        <w:jc w:val="left"/>
        <w:tblInd w:w="149" w:type="dxa"/>
        <w:tblLayout w:type="fixed"/>
        <w:tblCellMar>
          <w:top w:w="0" w:type="dxa"/>
          <w:left w:w="0" w:type="dxa"/>
          <w:bottom w:w="0" w:type="dxa"/>
          <w:right w:w="0" w:type="dxa"/>
        </w:tblCellMar>
        <w:tblLook w:val="01E0"/>
      </w:tblPr>
      <w:tblGrid>
        <w:gridCol w:w="4784"/>
        <w:gridCol w:w="4783"/>
      </w:tblGrid>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83"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83"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现金分红政策未调整</w:t>
            </w:r>
          </w:p>
        </w:tc>
      </w:tr>
    </w:tbl>
    <w:p>
      <w:pPr>
        <w:spacing w:line="412" w:lineRule="auto" w:before="51"/>
        <w:ind w:left="154" w:right="1120" w:firstLine="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年（包括本报告期）的普通股股利分配方案（预案）、资本公积金转增股本方案（预案）情况</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1、2017年度利润分配方案为：本年度利润不分配，结转下一年度；以2017年12月31日股本数为基数，以资本公积金转增股</w:t>
      </w:r>
    </w:p>
    <w:p>
      <w:pPr>
        <w:spacing w:line="477" w:lineRule="auto" w:before="103"/>
        <w:ind w:left="154" w:right="2111" w:firstLine="0"/>
        <w:jc w:val="left"/>
        <w:rPr>
          <w:rFonts w:ascii="宋体" w:hAnsi="宋体" w:cs="宋体" w:eastAsia="宋体" w:hint="default"/>
          <w:sz w:val="18"/>
          <w:szCs w:val="18"/>
        </w:rPr>
      </w:pPr>
      <w:r>
        <w:rPr>
          <w:rFonts w:ascii="宋体" w:hAnsi="宋体" w:cs="宋体" w:eastAsia="宋体" w:hint="default"/>
          <w:sz w:val="18"/>
          <w:szCs w:val="18"/>
        </w:rPr>
        <w:t>本，每10股转增5股。 2、2018年度利润分配方案为：本年度利润不分配，结转下一年度；不以资本公积转增股本。 </w:t>
      </w:r>
    </w:p>
    <w:p>
      <w:pPr>
        <w:spacing w:before="54"/>
        <w:ind w:left="154" w:right="0" w:firstLine="0"/>
        <w:jc w:val="left"/>
        <w:rPr>
          <w:rFonts w:ascii="宋体" w:hAnsi="宋体" w:cs="宋体" w:eastAsia="宋体" w:hint="default"/>
          <w:sz w:val="18"/>
          <w:szCs w:val="18"/>
        </w:rPr>
      </w:pPr>
      <w:r>
        <w:rPr>
          <w:rFonts w:ascii="宋体" w:hAnsi="宋体" w:cs="宋体" w:eastAsia="宋体" w:hint="default"/>
          <w:sz w:val="18"/>
          <w:szCs w:val="18"/>
        </w:rPr>
        <w:t>3、2019年度利润分配方案为：本年度利润不分配，结转下一年度；不以资本公积转增股本。 </w:t>
      </w:r>
    </w:p>
    <w:p>
      <w:pPr>
        <w:spacing w:line="240" w:lineRule="auto" w:before="7"/>
        <w:rPr>
          <w:rFonts w:ascii="宋体" w:hAnsi="宋体" w:cs="宋体" w:eastAsia="宋体" w:hint="default"/>
          <w:sz w:val="11"/>
          <w:szCs w:val="11"/>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6"/>
        <w:ind w:left="0" w:right="112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8"/>
        <w:gridCol w:w="1194"/>
        <w:gridCol w:w="1196"/>
        <w:gridCol w:w="1196"/>
        <w:gridCol w:w="1195"/>
        <w:gridCol w:w="1196"/>
        <w:gridCol w:w="1196"/>
        <w:gridCol w:w="1195"/>
      </w:tblGrid>
      <w:tr>
        <w:trPr>
          <w:trHeight w:val="2274" w:hRule="exact"/>
        </w:trPr>
        <w:tc>
          <w:tcPr>
            <w:tcW w:w="11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（含税）</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53" w:right="50"/>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52" w:right="53"/>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5"/>
              <w:ind w:left="52" w:right="50"/>
              <w:jc w:val="center"/>
              <w:rPr>
                <w:rFonts w:ascii="宋体" w:hAnsi="宋体" w:cs="宋体" w:eastAsia="宋体" w:hint="default"/>
                <w:sz w:val="18"/>
                <w:szCs w:val="18"/>
              </w:rPr>
            </w:pPr>
            <w:r>
              <w:rPr>
                <w:rFonts w:ascii="宋体" w:hAnsi="宋体" w:cs="宋体" w:eastAsia="宋体" w:hint="default"/>
                <w:sz w:val="18"/>
                <w:szCs w:val="18"/>
              </w:rPr>
              <w:t>（如回购股 份）现金分红 的金额</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53" w:right="50"/>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5"/>
              <w:ind w:left="412" w:right="143" w:hanging="270"/>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5"/>
              <w:ind w:left="52" w:right="50"/>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r>
        <w:trPr>
          <w:trHeight w:val="402" w:hRule="exact"/>
        </w:trPr>
        <w:tc>
          <w:tcPr>
            <w:tcW w:w="11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9" w:right="0"/>
              <w:jc w:val="left"/>
              <w:rPr>
                <w:rFonts w:ascii="Times New Roman" w:hAnsi="Times New Roman" w:cs="Times New Roman" w:eastAsia="Times New Roman" w:hint="default"/>
                <w:sz w:val="18"/>
                <w:szCs w:val="18"/>
              </w:rPr>
            </w:pPr>
            <w:r>
              <w:rPr>
                <w:rFonts w:ascii="Times New Roman"/>
                <w:sz w:val="18"/>
              </w:rPr>
              <w:t>24,057,565.30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8" w:right="0"/>
              <w:jc w:val="lef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9" w:right="0"/>
              <w:jc w:val="lef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8" w:right="0"/>
              <w:jc w:val="lef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197"/>
        <w:gridCol w:w="1195"/>
        <w:gridCol w:w="1196"/>
        <w:gridCol w:w="1196"/>
        <w:gridCol w:w="1195"/>
        <w:gridCol w:w="1196"/>
        <w:gridCol w:w="1196"/>
        <w:gridCol w:w="1195"/>
      </w:tblGrid>
      <w:tr>
        <w:trPr>
          <w:trHeight w:val="402" w:hRule="exact"/>
        </w:trPr>
        <w:tc>
          <w:tcPr>
            <w:tcW w:w="11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9" w:right="0"/>
              <w:jc w:val="left"/>
              <w:rPr>
                <w:rFonts w:ascii="Times New Roman" w:hAnsi="Times New Roman" w:cs="Times New Roman" w:eastAsia="Times New Roman" w:hint="default"/>
                <w:sz w:val="18"/>
                <w:szCs w:val="18"/>
              </w:rPr>
            </w:pPr>
            <w:r>
              <w:rPr>
                <w:rFonts w:ascii="Times New Roman"/>
                <w:sz w:val="18"/>
              </w:rPr>
              <w:t>75,525,209.45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-365,071,834.9</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7"/>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二、本报告期利润分配及资本公积金转增股本情况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553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公司计划年度不派发现金红利，不送红股，不以公积金转增股本。</w:t>
      </w:r>
    </w:p>
    <w:p>
      <w:pPr>
        <w:spacing w:after="0" w:line="338" w:lineRule="auto"/>
        <w:jc w:val="left"/>
        <w:rPr>
          <w:rFonts w:ascii="宋体" w:hAnsi="宋体" w:cs="宋体" w:eastAsia="宋体" w:hint="default"/>
          <w:sz w:val="18"/>
          <w:szCs w:val="18"/>
        </w:rPr>
        <w:sectPr>
          <w:pgSz w:w="11910" w:h="16840"/>
          <w:pgMar w:header="877" w:footer="982" w:top="1100" w:bottom="1180" w:left="980" w:right="0"/>
        </w:sectPr>
      </w:pPr>
    </w:p>
    <w:p>
      <w:pPr>
        <w:pStyle w:val="Heading2"/>
        <w:spacing w:line="240" w:lineRule="auto" w:before="30"/>
        <w:ind w:left="139" w:right="0"/>
        <w:jc w:val="left"/>
        <w:rPr>
          <w:b w:val="0"/>
          <w:bCs w:val="0"/>
        </w:rPr>
      </w:pPr>
      <w:r>
        <w:rPr/>
        <w:pict>
          <v:shape style="position:absolute;margin-left:553.251099pt;margin-top:254.339996pt;width:99.7pt;height:191.2pt;mso-position-horizontal-relative:page;mso-position-vertical-relative:page;z-index:-96335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锁：</w:t>
                  </w:r>
                </w:p>
              </w:txbxContent>
            </v:textbox>
            <w10:wrap type="none"/>
          </v:shape>
        </w:pict>
      </w:r>
      <w:r>
        <w:rPr/>
        <w:pict>
          <v:group style="position:absolute;margin-left:70.490997pt;margin-top:2.25562pt;width:700.95pt;height:.1pt;mso-position-horizontal-relative:page;mso-position-vertical-relative:paragraph;z-index:-963328" coordorigin="1410,45" coordsize="14019,2">
            <v:shape style="position:absolute;left:1410;top:45;width:14019;height:2" coordorigin="1410,45" coordsize="14019,0" path="m1410,45l15428,45e" filled="false" stroked="true" strokeweight=".72pt" strokecolor="#000000">
              <v:path arrowok="t"/>
            </v:shape>
            <w10:wrap type="none"/>
          </v:group>
        </w:pict>
      </w:r>
      <w:r>
        <w:rPr/>
        <w:t>三、承诺事项履行情况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39" w:right="0"/>
        <w:jc w:val="left"/>
        <w:rPr>
          <w:b w:val="0"/>
          <w:bCs w:val="0"/>
        </w:rPr>
      </w:pPr>
      <w:r>
        <w:rPr>
          <w:rFonts w:ascii="Times New Roman" w:hAnsi="Times New Roman" w:cs="Times New Roman" w:eastAsia="Times New Roman" w:hint="default"/>
        </w:rPr>
        <w:t>1</w:t>
      </w:r>
      <w:r>
        <w:rPr/>
        <w:t>、公司实际控制人、股东、关联方、收购人以及公司等承诺相关方在报告期内履行完毕及截至报告期末尚未履行完毕的承诺事项</w:t>
      </w:r>
      <w:r>
        <w:rPr>
          <w:b w:val="0"/>
          <w:bCs w:val="0"/>
        </w:rPr>
      </w:r>
    </w:p>
    <w:p>
      <w:pPr>
        <w:spacing w:line="240" w:lineRule="auto" w:before="8"/>
        <w:rPr>
          <w:rFonts w:ascii="宋体" w:hAnsi="宋体" w:cs="宋体" w:eastAsia="宋体" w:hint="default"/>
          <w:b/>
          <w:bCs/>
          <w:sz w:val="26"/>
          <w:szCs w:val="26"/>
        </w:rPr>
      </w:pPr>
    </w:p>
    <w:p>
      <w:pPr>
        <w:spacing w:before="0"/>
        <w:ind w:left="139" w:right="0" w:firstLine="0"/>
        <w:jc w:val="left"/>
        <w:rPr>
          <w:rFonts w:ascii="宋体" w:hAnsi="宋体" w:cs="宋体" w:eastAsia="宋体" w:hint="default"/>
          <w:sz w:val="18"/>
          <w:szCs w:val="18"/>
        </w:rPr>
      </w:pPr>
      <w:r>
        <w:rPr/>
        <w:pict>
          <v:shape style="position:absolute;margin-left:436.310516pt;margin-top:37.631725pt;width:216.6pt;height:97.6pt;mso-position-horizontal-relative:page;mso-position-vertical-relative:paragraph;z-index:-963376"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本人及本人控制的公司均未生产、</w:t>
                  </w:r>
                </w:p>
              </w:txbxContent>
            </v:textbox>
            <w10:wrap type="none"/>
          </v:shape>
        </w:pict>
      </w:r>
      <w:r>
        <w:rPr/>
        <w:pict>
          <v:group style="position:absolute;margin-left:568.369995pt;margin-top:37.631725pt;width:84.55pt;height:289.3pt;mso-position-horizontal-relative:page;mso-position-vertical-relative:paragraph;z-index:-963304" coordorigin="11367,753" coordsize="1691,5786">
            <v:group style="position:absolute;left:11367;top:753;width:1691;height:1952" coordorigin="11367,753" coordsize="1691,1952">
              <v:shape style="position:absolute;left:11367;top:753;width:1691;height:1952" coordorigin="11367,753" coordsize="1691,1952" path="m11367,753l11367,2704,13058,2704,13058,753,11367,753xe" filled="true" fillcolor="#ffffff" stroked="false">
                <v:path arrowok="t"/>
                <v:fill type="solid"/>
              </v:shape>
            </v:group>
            <v:group style="position:absolute;left:11390;top:1533;width:1646;height:392" coordorigin="11390,1533" coordsize="1646,392">
              <v:shape style="position:absolute;left:11390;top:1533;width:1646;height:392" coordorigin="11390,1533" coordsize="1646,392" path="m11390,1533l11390,1924,13035,1924,13035,1533,11390,1533xe" filled="true" fillcolor="#ffffff" stroked="false">
                <v:path arrowok="t"/>
                <v:fill type="solid"/>
              </v:shape>
            </v:group>
            <v:group style="position:absolute;left:11367;top:2715;width:1691;height:3824" coordorigin="11367,2715" coordsize="1691,3824">
              <v:shape style="position:absolute;left:11367;top:2715;width:1691;height:3824" coordorigin="11367,2715" coordsize="1691,3824" path="m11367,2715l11367,6538,13058,6538,13058,2715,11367,2715xe" filled="true" fillcolor="#ffffff" stroked="false">
                <v:path arrowok="t"/>
                <v:fill type="solid"/>
              </v:shape>
            </v:group>
            <v:group style="position:absolute;left:11390;top:4431;width:1646;height:392" coordorigin="11390,4431" coordsize="1646,392">
              <v:shape style="position:absolute;left:11390;top:4431;width:1646;height:392" coordorigin="11390,4431" coordsize="1646,392" path="m11390,4431l11390,4822,13035,4822,13035,4431,11390,4431xe" filled="true" fillcolor="#ffffff" stroked="false">
                <v:path arrowok="t"/>
                <v:fill type="solid"/>
              </v:shape>
            </v:group>
            <w10:wrap type="none"/>
          </v:group>
        </w:pict>
      </w: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35" w:type="dxa"/>
        <w:tblLayout w:type="fixed"/>
        <w:tblCellMar>
          <w:top w:w="0" w:type="dxa"/>
          <w:left w:w="0" w:type="dxa"/>
          <w:bottom w:w="0" w:type="dxa"/>
          <w:right w:w="0" w:type="dxa"/>
        </w:tblCellMar>
        <w:tblLook w:val="01E0"/>
      </w:tblPr>
      <w:tblGrid>
        <w:gridCol w:w="2836"/>
        <w:gridCol w:w="1126"/>
        <w:gridCol w:w="1126"/>
        <w:gridCol w:w="4836"/>
        <w:gridCol w:w="1702"/>
        <w:gridCol w:w="991"/>
        <w:gridCol w:w="1134"/>
      </w:tblGrid>
      <w:tr>
        <w:trPr>
          <w:trHeight w:val="401"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11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87"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97"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4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7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84"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30"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02"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786" w:hRule="exact"/>
        </w:trPr>
        <w:tc>
          <w:tcPr>
            <w:tcW w:w="2836" w:type="dxa"/>
            <w:tcBorders>
              <w:top w:val="single" w:sz="4" w:space="0" w:color="000000"/>
              <w:left w:val="single" w:sz="4" w:space="0" w:color="000000"/>
              <w:bottom w:val="nil" w:sz="6" w:space="0" w:color="auto"/>
              <w:right w:val="single" w:sz="4" w:space="0" w:color="000000"/>
            </w:tcBorders>
            <w:shd w:val="clear" w:color="auto" w:fill="D3D3D3"/>
          </w:tcPr>
          <w:p>
            <w:pP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1126" w:type="dxa"/>
            <w:vMerge w:val="restart"/>
            <w:tcBorders>
              <w:top w:val="single" w:sz="4" w:space="0" w:color="000000"/>
              <w:left w:val="single" w:sz="4" w:space="0" w:color="000000"/>
              <w:right w:val="single" w:sz="4" w:space="0" w:color="000000"/>
            </w:tcBorders>
          </w:tcPr>
          <w:p>
            <w:pPr/>
          </w:p>
        </w:tc>
        <w:tc>
          <w:tcPr>
            <w:tcW w:w="4836" w:type="dxa"/>
            <w:vMerge w:val="restart"/>
            <w:tcBorders>
              <w:top w:val="single" w:sz="4" w:space="0" w:color="000000"/>
              <w:left w:val="single" w:sz="4" w:space="0" w:color="000000"/>
              <w:right w:val="single" w:sz="4" w:space="0" w:color="000000"/>
            </w:tcBorders>
          </w:tcPr>
          <w:p>
            <w:pPr>
              <w:pStyle w:val="TableParagraph"/>
              <w:spacing w:line="314" w:lineRule="auto" w:before="52"/>
              <w:ind w:left="23" w:right="2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、自本承诺函签署之日起，</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开发任何与股份公司及其下属子公司生产的产品及构成竞争 </w:t>
            </w:r>
            <w:r>
              <w:rPr>
                <w:rFonts w:ascii="宋体" w:hAnsi="宋体" w:cs="宋体" w:eastAsia="宋体" w:hint="default"/>
                <w:spacing w:val="-3"/>
                <w:sz w:val="18"/>
                <w:szCs w:val="18"/>
              </w:rPr>
              <w:t>或可能构成竞争的产品，未直接或间接经营任何与股份公司及</w:t>
            </w:r>
            <w:r>
              <w:rPr>
                <w:rFonts w:ascii="宋体" w:hAnsi="宋体" w:cs="宋体" w:eastAsia="宋体" w:hint="default"/>
                <w:sz w:val="18"/>
                <w:szCs w:val="18"/>
              </w:rPr>
              <w:t> </w:t>
            </w:r>
            <w:r>
              <w:rPr>
                <w:rFonts w:ascii="宋体" w:hAnsi="宋体" w:cs="宋体" w:eastAsia="宋体" w:hint="default"/>
                <w:spacing w:val="-3"/>
                <w:sz w:val="18"/>
                <w:szCs w:val="18"/>
              </w:rPr>
              <w:t>其下属子公司经营的业务构成竞争或可能构成竞争的业务，也</w:t>
            </w:r>
            <w:r>
              <w:rPr>
                <w:rFonts w:ascii="宋体" w:hAnsi="宋体" w:cs="宋体" w:eastAsia="宋体" w:hint="default"/>
                <w:sz w:val="18"/>
                <w:szCs w:val="18"/>
              </w:rPr>
              <w:t> 未参与投资任何与股份公司及其下属子公司生产的产品或经 营的业务构成竞争或可能构成竞争的其他企业。</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履行中</w:t>
            </w:r>
          </w:p>
        </w:tc>
      </w:tr>
      <w:tr>
        <w:trPr>
          <w:trHeight w:val="391"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r>
      <w:tr>
        <w:trPr>
          <w:trHeight w:val="785" w:hRule="exact"/>
        </w:trPr>
        <w:tc>
          <w:tcPr>
            <w:tcW w:w="2836" w:type="dxa"/>
            <w:tcBorders>
              <w:top w:val="nil" w:sz="6" w:space="0" w:color="auto"/>
              <w:left w:val="single" w:sz="4" w:space="0" w:color="000000"/>
              <w:bottom w:val="single" w:sz="4" w:space="0" w:color="000000"/>
              <w:right w:val="single" w:sz="4" w:space="0" w:color="000000"/>
            </w:tcBorders>
            <w:shd w:val="clear" w:color="auto" w:fill="D3D3D3"/>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4836" w:type="dxa"/>
            <w:vMerge/>
            <w:tcBorders>
              <w:left w:val="single" w:sz="4" w:space="0" w:color="000000"/>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r>
      <w:tr>
        <w:trPr>
          <w:trHeight w:val="1566" w:hRule="exact"/>
        </w:trPr>
        <w:tc>
          <w:tcPr>
            <w:tcW w:w="2836" w:type="dxa"/>
            <w:tcBorders>
              <w:top w:val="single" w:sz="4" w:space="0" w:color="000000"/>
              <w:left w:val="single" w:sz="4" w:space="0" w:color="000000"/>
              <w:bottom w:val="nil" w:sz="6" w:space="0" w:color="auto"/>
              <w:right w:val="single" w:sz="4" w:space="0" w:color="000000"/>
            </w:tcBorders>
            <w:shd w:val="clear" w:color="auto" w:fill="D3D3D3"/>
          </w:tcPr>
          <w:p>
            <w:pP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00" w:lineRule="auto"/>
              <w:ind w:left="23" w:right="89"/>
              <w:jc w:val="both"/>
              <w:rPr>
                <w:rFonts w:ascii="宋体" w:hAnsi="宋体" w:cs="宋体" w:eastAsia="宋体" w:hint="default"/>
                <w:sz w:val="18"/>
                <w:szCs w:val="18"/>
              </w:rPr>
            </w:pPr>
            <w:r>
              <w:rPr>
                <w:rFonts w:ascii="宋体" w:hAnsi="宋体" w:cs="宋体" w:eastAsia="宋体" w:hint="default"/>
                <w:sz w:val="18"/>
                <w:szCs w:val="18"/>
              </w:rPr>
              <w:t>杨超</w:t>
            </w:r>
            <w:r>
              <w:rPr>
                <w:rFonts w:ascii="Times New Roman" w:hAnsi="Times New Roman" w:cs="Times New Roman" w:eastAsia="Times New Roman" w:hint="default"/>
                <w:sz w:val="18"/>
                <w:szCs w:val="18"/>
              </w:rPr>
              <w:t>;</w:t>
            </w:r>
            <w:r>
              <w:rPr>
                <w:rFonts w:ascii="宋体" w:hAnsi="宋体" w:cs="宋体" w:eastAsia="宋体" w:hint="default"/>
                <w:sz w:val="18"/>
                <w:szCs w:val="18"/>
              </w:rPr>
              <w:t>雷建</w:t>
            </w:r>
            <w:r>
              <w:rPr>
                <w:rFonts w:ascii="Times New Roman" w:hAnsi="Times New Roman" w:cs="Times New Roman" w:eastAsia="Times New Roman" w:hint="default"/>
                <w:sz w:val="18"/>
                <w:szCs w:val="18"/>
              </w:rPr>
              <w:t>;</w:t>
            </w:r>
            <w:r>
              <w:rPr>
                <w:rFonts w:ascii="宋体" w:hAnsi="宋体" w:cs="宋体" w:eastAsia="宋体" w:hint="default"/>
                <w:sz w:val="18"/>
                <w:szCs w:val="18"/>
              </w:rPr>
              <w:t>陈 兆滨</w:t>
            </w:r>
            <w:r>
              <w:rPr>
                <w:rFonts w:ascii="Times New Roman" w:hAnsi="Times New Roman" w:cs="Times New Roman" w:eastAsia="Times New Roman" w:hint="default"/>
                <w:sz w:val="18"/>
                <w:szCs w:val="18"/>
              </w:rPr>
              <w:t>;</w:t>
            </w:r>
            <w:r>
              <w:rPr>
                <w:rFonts w:ascii="宋体" w:hAnsi="宋体" w:cs="宋体" w:eastAsia="宋体" w:hint="default"/>
                <w:sz w:val="18"/>
                <w:szCs w:val="18"/>
              </w:rPr>
              <w:t>毛智才</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鲁武英</w:t>
            </w:r>
            <w:r>
              <w:rPr>
                <w:rFonts w:ascii="Times New Roman" w:hAnsi="Times New Roman" w:cs="Times New Roman" w:eastAsia="Times New Roman" w:hint="default"/>
                <w:sz w:val="18"/>
                <w:szCs w:val="18"/>
              </w:rPr>
              <w:t>;</w:t>
            </w:r>
            <w:r>
              <w:rPr>
                <w:rFonts w:ascii="宋体" w:hAnsi="宋体" w:cs="宋体" w:eastAsia="宋体" w:hint="default"/>
                <w:sz w:val="18"/>
                <w:szCs w:val="18"/>
              </w:rPr>
              <w:t>江勇</w:t>
            </w: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16" w:lineRule="auto"/>
              <w:ind w:left="22" w:right="191"/>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4836" w:type="dxa"/>
            <w:vMerge w:val="restart"/>
            <w:tcBorders>
              <w:top w:val="single" w:sz="4" w:space="0" w:color="000000"/>
              <w:left w:val="single" w:sz="4" w:space="0" w:color="000000"/>
              <w:right w:val="single" w:sz="4" w:space="0" w:color="000000"/>
            </w:tcBorders>
          </w:tcPr>
          <w:p>
            <w:pPr>
              <w:pStyle w:val="TableParagraph"/>
              <w:spacing w:line="300" w:lineRule="auto" w:before="52"/>
              <w:ind w:left="23" w:right="19"/>
              <w:jc w:val="left"/>
              <w:rPr>
                <w:rFonts w:ascii="宋体" w:hAnsi="宋体" w:cs="宋体" w:eastAsia="宋体" w:hint="default"/>
                <w:sz w:val="18"/>
                <w:szCs w:val="18"/>
              </w:rPr>
            </w:pPr>
            <w:r>
              <w:rPr>
                <w:rFonts w:ascii="宋体" w:hAnsi="宋体" w:cs="宋体" w:eastAsia="宋体" w:hint="default"/>
                <w:sz w:val="18"/>
                <w:szCs w:val="18"/>
              </w:rPr>
              <w:t>杨超所获股份分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批解锁：其中杨超所获股份的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锁定期 为自股份发行并上市之日起</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个月且标的公司</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年实现利 </w:t>
            </w:r>
            <w:r>
              <w:rPr>
                <w:rFonts w:ascii="宋体" w:hAnsi="宋体" w:cs="宋体" w:eastAsia="宋体" w:hint="default"/>
                <w:spacing w:val="-6"/>
                <w:sz w:val="18"/>
                <w:szCs w:val="18"/>
              </w:rPr>
              <w:t>润承诺；所获股份的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锁定期为自股份发行并上市之日起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个月；占其本次交易所获股份的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锁定期为自股份发行并 上市之日起</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个月；占其本次交易所获股份的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锁定期为 自股份发行并上市之日起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 </w:t>
            </w:r>
            <w:r>
              <w:rPr>
                <w:rFonts w:ascii="宋体" w:hAnsi="宋体" w:cs="宋体" w:eastAsia="宋体" w:hint="default"/>
                <w:spacing w:val="-9"/>
                <w:sz w:val="18"/>
                <w:szCs w:val="18"/>
              </w:rPr>
              <w:t>个月。雷建所获股份分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批解</w:t>
            </w:r>
            <w:r>
              <w:rPr>
                <w:rFonts w:ascii="宋体" w:hAnsi="宋体" w:cs="宋体" w:eastAsia="宋体" w:hint="default"/>
                <w:spacing w:val="-85"/>
                <w:sz w:val="18"/>
                <w:szCs w:val="18"/>
              </w:rPr>
              <w:t> </w:t>
            </w:r>
            <w:r>
              <w:rPr>
                <w:rFonts w:ascii="宋体" w:hAnsi="宋体" w:cs="宋体" w:eastAsia="宋体" w:hint="default"/>
                <w:sz w:val="18"/>
                <w:szCs w:val="18"/>
              </w:rPr>
              <w:t>其中雷建所获股份的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锁定期为自股份发行并上市之日起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个月且标的公司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年实现利润承诺；所获股份的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锁</w:t>
            </w:r>
          </w:p>
          <w:p>
            <w:pPr>
              <w:pStyle w:val="TableParagraph"/>
              <w:spacing w:line="300" w:lineRule="auto" w:before="13"/>
              <w:ind w:left="23" w:right="30"/>
              <w:jc w:val="left"/>
              <w:rPr>
                <w:rFonts w:ascii="宋体" w:hAnsi="宋体" w:cs="宋体" w:eastAsia="宋体" w:hint="default"/>
                <w:sz w:val="18"/>
                <w:szCs w:val="18"/>
              </w:rPr>
            </w:pPr>
            <w:r>
              <w:rPr>
                <w:rFonts w:ascii="宋体" w:hAnsi="宋体" w:cs="宋体" w:eastAsia="宋体" w:hint="default"/>
                <w:sz w:val="18"/>
                <w:szCs w:val="18"/>
              </w:rPr>
              <w:t>定期为自股份发行并上市之日起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个月；其余股份（占其本 次交易所获股份的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w:t>
            </w:r>
            <w:r>
              <w:rPr>
                <w:rFonts w:ascii="宋体" w:hAnsi="宋体" w:cs="宋体" w:eastAsia="宋体" w:hint="default"/>
                <w:sz w:val="18"/>
                <w:szCs w:val="18"/>
              </w:rPr>
              <w:t>）锁定期为自股份发行并上市之日起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个月。陈兆滨、鲁武英、毛智才、江勇所获股份的锁定期</w:t>
            </w:r>
          </w:p>
          <w:p>
            <w:pPr>
              <w:pStyle w:val="TableParagraph"/>
              <w:spacing w:line="240" w:lineRule="auto" w:before="14"/>
              <w:ind w:left="23" w:right="0"/>
              <w:jc w:val="left"/>
              <w:rPr>
                <w:rFonts w:ascii="宋体" w:hAnsi="宋体" w:cs="宋体" w:eastAsia="宋体" w:hint="default"/>
                <w:sz w:val="18"/>
                <w:szCs w:val="18"/>
              </w:rPr>
            </w:pPr>
            <w:r>
              <w:rPr>
                <w:rFonts w:ascii="宋体" w:hAnsi="宋体" w:cs="宋体" w:eastAsia="宋体" w:hint="default"/>
                <w:sz w:val="18"/>
                <w:szCs w:val="18"/>
              </w:rPr>
              <w:t>为自股份发行并上市之日起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04" w:lineRule="auto"/>
              <w:ind w:left="22" w:right="20"/>
              <w:jc w:val="left"/>
              <w:rPr>
                <w:rFonts w:ascii="宋体" w:hAnsi="宋体" w:cs="宋体" w:eastAsia="宋体" w:hint="default"/>
                <w:sz w:val="18"/>
                <w:szCs w:val="18"/>
              </w:rPr>
            </w:pPr>
            <w:r>
              <w:rPr>
                <w:rFonts w:ascii="宋体" w:hAnsi="宋体" w:cs="宋体" w:eastAsia="宋体" w:hint="default"/>
                <w:sz w:val="18"/>
                <w:szCs w:val="18"/>
              </w:rPr>
              <w:t>杨超为四 </w:t>
            </w:r>
            <w:r>
              <w:rPr>
                <w:rFonts w:ascii="宋体" w:hAnsi="宋体" w:cs="宋体" w:eastAsia="宋体" w:hint="default"/>
                <w:spacing w:val="-3"/>
                <w:sz w:val="18"/>
                <w:szCs w:val="18"/>
              </w:rPr>
              <w:t>年，雷建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陈</w:t>
            </w:r>
            <w:r>
              <w:rPr>
                <w:rFonts w:ascii="宋体" w:hAnsi="宋体" w:cs="宋体" w:eastAsia="宋体" w:hint="default"/>
                <w:spacing w:val="-87"/>
                <w:sz w:val="18"/>
                <w:szCs w:val="18"/>
              </w:rPr>
              <w:t> </w:t>
            </w:r>
            <w:r>
              <w:rPr>
                <w:rFonts w:ascii="宋体" w:hAnsi="宋体" w:cs="宋体" w:eastAsia="宋体" w:hint="default"/>
                <w:sz w:val="18"/>
                <w:szCs w:val="18"/>
              </w:rPr>
              <w:t>兆滨</w:t>
            </w:r>
            <w:r>
              <w:rPr>
                <w:rFonts w:ascii="Times New Roman" w:hAnsi="Times New Roman" w:cs="Times New Roman" w:eastAsia="Times New Roman" w:hint="default"/>
                <w:sz w:val="18"/>
                <w:szCs w:val="18"/>
              </w:rPr>
              <w:t>;</w:t>
            </w:r>
            <w:r>
              <w:rPr>
                <w:rFonts w:ascii="宋体" w:hAnsi="宋体" w:cs="宋体" w:eastAsia="宋体" w:hint="default"/>
                <w:sz w:val="18"/>
                <w:szCs w:val="18"/>
              </w:rPr>
              <w:t>毛智 才</w:t>
            </w:r>
            <w:r>
              <w:rPr>
                <w:rFonts w:ascii="Times New Roman" w:hAnsi="Times New Roman" w:cs="Times New Roman" w:eastAsia="Times New Roman" w:hint="default"/>
                <w:sz w:val="18"/>
                <w:szCs w:val="18"/>
              </w:rPr>
              <w:t>;</w:t>
            </w:r>
            <w:r>
              <w:rPr>
                <w:rFonts w:ascii="宋体" w:hAnsi="宋体" w:cs="宋体" w:eastAsia="宋体" w:hint="default"/>
                <w:sz w:val="18"/>
                <w:szCs w:val="18"/>
              </w:rPr>
              <w:t>鲁武英</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江勇为三年</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04" w:lineRule="auto"/>
              <w:ind w:left="23" w:right="20"/>
              <w:jc w:val="left"/>
              <w:rPr>
                <w:rFonts w:ascii="宋体" w:hAnsi="宋体" w:cs="宋体" w:eastAsia="宋体" w:hint="default"/>
                <w:sz w:val="18"/>
                <w:szCs w:val="18"/>
              </w:rPr>
            </w:pPr>
            <w:r>
              <w:rPr>
                <w:rFonts w:ascii="宋体" w:hAnsi="宋体" w:cs="宋体" w:eastAsia="宋体" w:hint="default"/>
                <w:sz w:val="18"/>
                <w:szCs w:val="18"/>
              </w:rPr>
              <w:t>雷建</w:t>
            </w:r>
            <w:r>
              <w:rPr>
                <w:rFonts w:ascii="Times New Roman" w:hAnsi="Times New Roman" w:cs="Times New Roman" w:eastAsia="Times New Roman" w:hint="default"/>
                <w:sz w:val="18"/>
                <w:szCs w:val="18"/>
              </w:rPr>
              <w:t>;</w:t>
            </w:r>
            <w:r>
              <w:rPr>
                <w:rFonts w:ascii="宋体" w:hAnsi="宋体" w:cs="宋体" w:eastAsia="宋体" w:hint="default"/>
                <w:sz w:val="18"/>
                <w:szCs w:val="18"/>
              </w:rPr>
              <w:t>陈兆滨</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毛智才</w:t>
            </w:r>
            <w:r>
              <w:rPr>
                <w:rFonts w:ascii="Times New Roman" w:hAnsi="Times New Roman" w:cs="Times New Roman" w:eastAsia="Times New Roman" w:hint="default"/>
                <w:sz w:val="18"/>
                <w:szCs w:val="18"/>
              </w:rPr>
              <w:t>;</w:t>
            </w:r>
            <w:r>
              <w:rPr>
                <w:rFonts w:ascii="宋体" w:hAnsi="宋体" w:cs="宋体" w:eastAsia="宋体" w:hint="default"/>
                <w:sz w:val="18"/>
                <w:szCs w:val="18"/>
              </w:rPr>
              <w:t>鲁武 英</w:t>
            </w:r>
            <w:r>
              <w:rPr>
                <w:rFonts w:ascii="Times New Roman" w:hAnsi="Times New Roman" w:cs="Times New Roman" w:eastAsia="Times New Roman" w:hint="default"/>
                <w:sz w:val="18"/>
                <w:szCs w:val="18"/>
              </w:rPr>
              <w:t>;</w:t>
            </w:r>
            <w:r>
              <w:rPr>
                <w:rFonts w:ascii="宋体" w:hAnsi="宋体" w:cs="宋体" w:eastAsia="宋体" w:hint="default"/>
                <w:sz w:val="18"/>
                <w:szCs w:val="18"/>
              </w:rPr>
              <w:t>江勇严履 行完毕，杨超 履行中</w:t>
            </w:r>
          </w:p>
        </w:tc>
      </w:tr>
      <w:tr>
        <w:trPr>
          <w:trHeight w:val="703"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51"/>
              <w:ind w:left="22" w:right="101"/>
              <w:jc w:val="left"/>
              <w:rPr>
                <w:rFonts w:ascii="宋体" w:hAnsi="宋体" w:cs="宋体" w:eastAsia="宋体" w:hint="default"/>
                <w:sz w:val="18"/>
                <w:szCs w:val="18"/>
              </w:rPr>
            </w:pPr>
            <w:r>
              <w:rPr>
                <w:rFonts w:ascii="宋体" w:hAnsi="宋体" w:cs="宋体" w:eastAsia="宋体" w:hint="default"/>
                <w:sz w:val="18"/>
                <w:szCs w:val="18"/>
              </w:rPr>
              <w:t>收购报告书或权益变动报告书中所 作承诺</w:t>
            </w: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r>
      <w:tr>
        <w:trPr>
          <w:trHeight w:val="1565" w:hRule="exact"/>
        </w:trPr>
        <w:tc>
          <w:tcPr>
            <w:tcW w:w="2836" w:type="dxa"/>
            <w:tcBorders>
              <w:top w:val="nil" w:sz="6" w:space="0" w:color="auto"/>
              <w:left w:val="single" w:sz="4" w:space="0" w:color="000000"/>
              <w:bottom w:val="single" w:sz="4" w:space="0" w:color="000000"/>
              <w:right w:val="single" w:sz="4" w:space="0" w:color="000000"/>
            </w:tcBorders>
            <w:shd w:val="clear" w:color="auto" w:fill="D3D3D3"/>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4836" w:type="dxa"/>
            <w:vMerge/>
            <w:tcBorders>
              <w:left w:val="single" w:sz="4" w:space="0" w:color="000000"/>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r>
      <w:tr>
        <w:trPr>
          <w:trHeight w:val="318" w:hRule="exact"/>
        </w:trPr>
        <w:tc>
          <w:tcPr>
            <w:tcW w:w="2836" w:type="dxa"/>
            <w:tcBorders>
              <w:top w:val="single" w:sz="4" w:space="0" w:color="000000"/>
              <w:left w:val="single" w:sz="4" w:space="0" w:color="000000"/>
              <w:bottom w:val="nil" w:sz="6" w:space="0" w:color="auto"/>
              <w:right w:val="single" w:sz="4" w:space="0" w:color="000000"/>
            </w:tcBorders>
            <w:shd w:val="clear" w:color="auto" w:fill="D3D3D3"/>
          </w:tcPr>
          <w:p>
            <w:pPr/>
          </w:p>
        </w:tc>
        <w:tc>
          <w:tcPr>
            <w:tcW w:w="1126" w:type="dxa"/>
            <w:vMerge w:val="restart"/>
            <w:tcBorders>
              <w:top w:val="single" w:sz="4" w:space="0" w:color="000000"/>
              <w:left w:val="single" w:sz="4" w:space="0" w:color="000000"/>
              <w:right w:val="single" w:sz="4" w:space="0" w:color="000000"/>
            </w:tcBorders>
          </w:tcPr>
          <w:p>
            <w:pPr>
              <w:pStyle w:val="TableParagraph"/>
              <w:spacing w:line="300" w:lineRule="auto" w:before="52"/>
              <w:ind w:left="23" w:right="89"/>
              <w:jc w:val="both"/>
              <w:rPr>
                <w:rFonts w:ascii="宋体" w:hAnsi="宋体" w:cs="宋体" w:eastAsia="宋体" w:hint="default"/>
                <w:sz w:val="18"/>
                <w:szCs w:val="18"/>
              </w:rPr>
            </w:pPr>
            <w:r>
              <w:rPr>
                <w:rFonts w:ascii="宋体" w:hAnsi="宋体" w:cs="宋体" w:eastAsia="宋体" w:hint="default"/>
                <w:sz w:val="18"/>
                <w:szCs w:val="18"/>
              </w:rPr>
              <w:t>杨超</w:t>
            </w:r>
            <w:r>
              <w:rPr>
                <w:rFonts w:ascii="Times New Roman" w:hAnsi="Times New Roman" w:cs="Times New Roman" w:eastAsia="Times New Roman" w:hint="default"/>
                <w:sz w:val="18"/>
                <w:szCs w:val="18"/>
              </w:rPr>
              <w:t>;</w:t>
            </w:r>
            <w:r>
              <w:rPr>
                <w:rFonts w:ascii="宋体" w:hAnsi="宋体" w:cs="宋体" w:eastAsia="宋体" w:hint="default"/>
                <w:sz w:val="18"/>
                <w:szCs w:val="18"/>
              </w:rPr>
              <w:t>雷建</w:t>
            </w:r>
            <w:r>
              <w:rPr>
                <w:rFonts w:ascii="Times New Roman" w:hAnsi="Times New Roman" w:cs="Times New Roman" w:eastAsia="Times New Roman" w:hint="default"/>
                <w:sz w:val="18"/>
                <w:szCs w:val="18"/>
              </w:rPr>
              <w:t>;</w:t>
            </w:r>
            <w:r>
              <w:rPr>
                <w:rFonts w:ascii="宋体" w:hAnsi="宋体" w:cs="宋体" w:eastAsia="宋体" w:hint="default"/>
                <w:sz w:val="18"/>
                <w:szCs w:val="18"/>
              </w:rPr>
              <w:t>陈 兆滨</w:t>
            </w:r>
            <w:r>
              <w:rPr>
                <w:rFonts w:ascii="Times New Roman" w:hAnsi="Times New Roman" w:cs="Times New Roman" w:eastAsia="Times New Roman" w:hint="default"/>
                <w:sz w:val="18"/>
                <w:szCs w:val="18"/>
              </w:rPr>
              <w:t>;</w:t>
            </w:r>
            <w:r>
              <w:rPr>
                <w:rFonts w:ascii="宋体" w:hAnsi="宋体" w:cs="宋体" w:eastAsia="宋体" w:hint="default"/>
                <w:sz w:val="18"/>
                <w:szCs w:val="18"/>
              </w:rPr>
              <w:t>毛智才</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鲁武英</w:t>
            </w:r>
            <w:r>
              <w:rPr>
                <w:rFonts w:ascii="Times New Roman" w:hAnsi="Times New Roman" w:cs="Times New Roman" w:eastAsia="Times New Roman" w:hint="default"/>
                <w:sz w:val="18"/>
                <w:szCs w:val="18"/>
              </w:rPr>
              <w:t>;</w:t>
            </w:r>
            <w:r>
              <w:rPr>
                <w:rFonts w:ascii="宋体" w:hAnsi="宋体" w:cs="宋体" w:eastAsia="宋体" w:hint="default"/>
                <w:sz w:val="18"/>
                <w:szCs w:val="18"/>
              </w:rPr>
              <w:t>江勇</w:t>
            </w: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91"/>
              <w:jc w:val="left"/>
              <w:rPr>
                <w:rFonts w:ascii="宋体" w:hAnsi="宋体" w:cs="宋体" w:eastAsia="宋体" w:hint="default"/>
                <w:sz w:val="18"/>
                <w:szCs w:val="18"/>
              </w:rPr>
            </w:pPr>
            <w:r>
              <w:rPr>
                <w:rFonts w:ascii="宋体" w:hAnsi="宋体" w:cs="宋体" w:eastAsia="宋体" w:hint="default"/>
                <w:sz w:val="18"/>
                <w:szCs w:val="18"/>
              </w:rPr>
              <w:t>业绩承诺及 补偿安排</w:t>
            </w:r>
          </w:p>
        </w:tc>
        <w:tc>
          <w:tcPr>
            <w:tcW w:w="4836" w:type="dxa"/>
            <w:vMerge w:val="restart"/>
            <w:tcBorders>
              <w:top w:val="single" w:sz="4" w:space="0" w:color="000000"/>
              <w:left w:val="single" w:sz="4" w:space="0" w:color="000000"/>
              <w:right w:val="single" w:sz="4" w:space="0" w:color="000000"/>
            </w:tcBorders>
          </w:tcPr>
          <w:p>
            <w:pPr>
              <w:pStyle w:val="TableParagraph"/>
              <w:spacing w:line="316" w:lineRule="auto" w:before="52"/>
              <w:ind w:left="23" w:right="19"/>
              <w:jc w:val="both"/>
              <w:rPr>
                <w:rFonts w:ascii="宋体" w:hAnsi="宋体" w:cs="宋体" w:eastAsia="宋体" w:hint="default"/>
                <w:sz w:val="18"/>
                <w:szCs w:val="18"/>
              </w:rPr>
            </w:pPr>
            <w:r>
              <w:rPr>
                <w:rFonts w:ascii="宋体" w:hAnsi="宋体" w:cs="宋体" w:eastAsia="宋体" w:hint="default"/>
                <w:spacing w:val="-4"/>
                <w:sz w:val="18"/>
                <w:szCs w:val="18"/>
              </w:rPr>
              <w:t>杨超、雷建、陈兆滨、鲁武英、毛智才、江勇签署了《发行股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份支付现金购买资产协议》及《发行股份支付现金购买资产协</w:t>
            </w:r>
            <w:r>
              <w:rPr>
                <w:rFonts w:ascii="宋体" w:hAnsi="宋体" w:cs="宋体" w:eastAsia="宋体" w:hint="default"/>
                <w:sz w:val="18"/>
                <w:szCs w:val="18"/>
              </w:rPr>
              <w:t> </w:t>
            </w:r>
            <w:r>
              <w:rPr>
                <w:rFonts w:ascii="宋体" w:hAnsi="宋体" w:cs="宋体" w:eastAsia="宋体" w:hint="default"/>
                <w:spacing w:val="-4"/>
                <w:sz w:val="18"/>
                <w:szCs w:val="18"/>
              </w:rPr>
              <w:t>议之补充协议》，相关业绩补偿及股权回购均已约定</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三年</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91"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r>
      <w:tr>
        <w:trPr>
          <w:trHeight w:val="317" w:hRule="exact"/>
        </w:trPr>
        <w:tc>
          <w:tcPr>
            <w:tcW w:w="2836" w:type="dxa"/>
            <w:tcBorders>
              <w:top w:val="nil" w:sz="6" w:space="0" w:color="auto"/>
              <w:left w:val="single" w:sz="4" w:space="0" w:color="000000"/>
              <w:bottom w:val="single" w:sz="4" w:space="0" w:color="000000"/>
              <w:right w:val="single" w:sz="4" w:space="0" w:color="000000"/>
            </w:tcBorders>
            <w:shd w:val="clear" w:color="auto" w:fill="D3D3D3"/>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4836" w:type="dxa"/>
            <w:vMerge/>
            <w:tcBorders>
              <w:left w:val="single" w:sz="4" w:space="0" w:color="000000"/>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r>
      <w:tr>
        <w:trPr>
          <w:trHeight w:val="142" w:hRule="exact"/>
        </w:trPr>
        <w:tc>
          <w:tcPr>
            <w:tcW w:w="2836" w:type="dxa"/>
            <w:tcBorders>
              <w:top w:val="single" w:sz="4" w:space="0" w:color="000000"/>
              <w:left w:val="single" w:sz="4" w:space="0" w:color="000000"/>
              <w:bottom w:val="nil" w:sz="6" w:space="0" w:color="auto"/>
              <w:right w:val="single" w:sz="4" w:space="0" w:color="000000"/>
            </w:tcBorders>
            <w:shd w:val="clear" w:color="auto" w:fill="D3D3D3"/>
          </w:tcPr>
          <w:p>
            <w:pP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林旭曦</w:t>
            </w:r>
            <w:r>
              <w:rPr>
                <w:rFonts w:ascii="Times New Roman" w:hAnsi="Times New Roman" w:cs="Times New Roman" w:eastAsia="Times New Roman" w:hint="default"/>
                <w:sz w:val="18"/>
                <w:szCs w:val="18"/>
              </w:rPr>
              <w:t>;</w:t>
            </w:r>
            <w:r>
              <w:rPr>
                <w:rFonts w:ascii="宋体" w:hAnsi="宋体" w:cs="宋体" w:eastAsia="宋体" w:hint="default"/>
                <w:sz w:val="18"/>
                <w:szCs w:val="18"/>
              </w:rPr>
              <w:t>张杰</w:t>
            </w:r>
          </w:p>
        </w:tc>
        <w:tc>
          <w:tcPr>
            <w:tcW w:w="1126"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191"/>
              <w:jc w:val="left"/>
              <w:rPr>
                <w:rFonts w:ascii="宋体" w:hAnsi="宋体" w:cs="宋体" w:eastAsia="宋体" w:hint="default"/>
                <w:sz w:val="18"/>
                <w:szCs w:val="18"/>
              </w:rPr>
            </w:pPr>
            <w:r>
              <w:rPr>
                <w:rFonts w:ascii="宋体" w:hAnsi="宋体" w:cs="宋体" w:eastAsia="宋体" w:hint="default"/>
                <w:sz w:val="18"/>
                <w:szCs w:val="18"/>
              </w:rPr>
              <w:t>关于同业竞 争、关联交</w:t>
            </w:r>
          </w:p>
        </w:tc>
        <w:tc>
          <w:tcPr>
            <w:tcW w:w="4836" w:type="dxa"/>
            <w:vMerge w:val="restart"/>
            <w:tcBorders>
              <w:top w:val="single" w:sz="4" w:space="0" w:color="000000"/>
              <w:left w:val="single" w:sz="4" w:space="0" w:color="000000"/>
              <w:right w:val="single" w:sz="4" w:space="0" w:color="000000"/>
            </w:tcBorders>
          </w:tcPr>
          <w:p>
            <w:pPr>
              <w:pStyle w:val="TableParagraph"/>
              <w:spacing w:line="300" w:lineRule="auto" w:before="52"/>
              <w:ind w:left="23" w:right="20"/>
              <w:jc w:val="left"/>
              <w:rPr>
                <w:rFonts w:ascii="宋体" w:hAnsi="宋体" w:cs="宋体" w:eastAsia="宋体" w:hint="default"/>
                <w:sz w:val="18"/>
                <w:szCs w:val="18"/>
              </w:rPr>
            </w:pPr>
            <w:r>
              <w:rPr>
                <w:rFonts w:ascii="宋体" w:hAnsi="宋体" w:cs="宋体" w:eastAsia="宋体" w:hint="default"/>
                <w:spacing w:val="-8"/>
                <w:sz w:val="18"/>
                <w:szCs w:val="18"/>
              </w:rPr>
              <w:t>一）《关于避免同业竞争的承诺函》：</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本人确认并保证目前本</w:t>
            </w:r>
            <w:r>
              <w:rPr>
                <w:rFonts w:ascii="宋体" w:hAnsi="宋体" w:cs="宋体" w:eastAsia="宋体" w:hint="default"/>
                <w:spacing w:val="-74"/>
                <w:sz w:val="18"/>
                <w:szCs w:val="18"/>
              </w:rPr>
              <w:t> </w:t>
            </w:r>
            <w:r>
              <w:rPr>
                <w:rFonts w:ascii="宋体" w:hAnsi="宋体" w:cs="宋体" w:eastAsia="宋体" w:hint="default"/>
                <w:sz w:val="18"/>
                <w:szCs w:val="18"/>
              </w:rPr>
              <w:t>人控制的安妮股份除外的其他企业不会直接或间接经营任何</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39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首次公开发行或再融资时所作承诺</w:t>
            </w: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vMerge/>
            <w:tcBorders>
              <w:left w:val="single" w:sz="4" w:space="0" w:color="000000"/>
              <w:right w:val="single" w:sz="4" w:space="0" w:color="000000"/>
            </w:tcBorders>
          </w:tcPr>
          <w:p>
            <w:pPr/>
          </w:p>
        </w:tc>
        <w:tc>
          <w:tcPr>
            <w:tcW w:w="1702"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r>
      <w:tr>
        <w:trPr>
          <w:trHeight w:val="140" w:hRule="exact"/>
        </w:trPr>
        <w:tc>
          <w:tcPr>
            <w:tcW w:w="2836" w:type="dxa"/>
            <w:tcBorders>
              <w:top w:val="nil" w:sz="6" w:space="0" w:color="auto"/>
              <w:left w:val="single" w:sz="4" w:space="0" w:color="000000"/>
              <w:bottom w:val="single" w:sz="4" w:space="0" w:color="000000"/>
              <w:right w:val="single" w:sz="4" w:space="0" w:color="000000"/>
            </w:tcBorders>
            <w:shd w:val="clear" w:color="auto" w:fill="D3D3D3"/>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4836" w:type="dxa"/>
            <w:vMerge/>
            <w:tcBorders>
              <w:left w:val="single" w:sz="4" w:space="0" w:color="000000"/>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r>
    </w:tbl>
    <w:p>
      <w:pPr>
        <w:spacing w:after="0"/>
        <w:sectPr>
          <w:headerReference w:type="default" r:id="rId27"/>
          <w:footerReference w:type="default" r:id="rId28"/>
          <w:pgSz w:w="16840" w:h="11910" w:orient="landscape"/>
          <w:pgMar w:header="867" w:footer="978" w:top="1060" w:bottom="1160" w:left="1300" w:right="1300"/>
          <w:pgNumType w:start="42"/>
        </w:sectPr>
      </w:pPr>
    </w:p>
    <w:p>
      <w:pPr>
        <w:spacing w:line="240" w:lineRule="auto" w:before="4"/>
        <w:rPr>
          <w:rFonts w:ascii="Times New Roman" w:hAnsi="Times New Roman" w:cs="Times New Roman" w:eastAsia="Times New Roman" w:hint="default"/>
          <w:sz w:val="3"/>
          <w:szCs w:val="3"/>
        </w:rPr>
      </w:pPr>
      <w:r>
        <w:rPr/>
        <w:pict>
          <v:group style="position:absolute;margin-left:568.369995pt;margin-top:57.18pt;width:84.55pt;height:360.85pt;mso-position-horizontal-relative:page;mso-position-vertical-relative:page;z-index:-963280" coordorigin="11367,1144" coordsize="1691,7217">
            <v:shape style="position:absolute;left:11367;top:1144;width:1691;height:7217" coordorigin="11367,1144" coordsize="1691,7217" path="m11367,1144l11367,8360,13058,8360,13058,1144,11367,1144xe" filled="true" fillcolor="#ffffff" stroked="false">
              <v:path arrowok="t"/>
              <v:fill type="solid"/>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2836"/>
        <w:gridCol w:w="1126"/>
        <w:gridCol w:w="1126"/>
        <w:gridCol w:w="4836"/>
        <w:gridCol w:w="1702"/>
        <w:gridCol w:w="991"/>
        <w:gridCol w:w="1134"/>
        <w:gridCol w:w="239"/>
      </w:tblGrid>
      <w:tr>
        <w:trPr>
          <w:trHeight w:val="331" w:hRule="exact"/>
        </w:trPr>
        <w:tc>
          <w:tcPr>
            <w:tcW w:w="2836" w:type="dxa"/>
            <w:vMerge w:val="restart"/>
            <w:tcBorders>
              <w:top w:val="single" w:sz="15" w:space="0" w:color="000000"/>
              <w:left w:val="single" w:sz="4" w:space="0" w:color="000000"/>
              <w:right w:val="single" w:sz="4" w:space="0" w:color="000000"/>
            </w:tcBorders>
            <w:shd w:val="clear" w:color="auto" w:fill="D3D3D3"/>
          </w:tcPr>
          <w:p>
            <w:pPr/>
          </w:p>
        </w:tc>
        <w:tc>
          <w:tcPr>
            <w:tcW w:w="1126" w:type="dxa"/>
            <w:vMerge w:val="restart"/>
            <w:tcBorders>
              <w:top w:val="single" w:sz="15" w:space="0" w:color="000000"/>
              <w:left w:val="single" w:sz="4" w:space="0" w:color="000000"/>
              <w:right w:val="single" w:sz="4" w:space="0" w:color="000000"/>
            </w:tcBorders>
          </w:tcPr>
          <w:p>
            <w:pPr/>
          </w:p>
        </w:tc>
        <w:tc>
          <w:tcPr>
            <w:tcW w:w="11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易、资金占用</w:t>
            </w:r>
          </w:p>
        </w:tc>
        <w:tc>
          <w:tcPr>
            <w:tcW w:w="483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与畅元国讯经营的业务构成竞争或可能构成竞争的业务</w:t>
            </w:r>
            <w:r>
              <w:rPr>
                <w:rFonts w:ascii="宋体" w:hAnsi="宋体" w:cs="宋体" w:eastAsia="宋体" w:hint="default"/>
                <w:spacing w:val="-81"/>
                <w:sz w:val="18"/>
                <w:szCs w:val="18"/>
              </w:rPr>
              <w:t>，</w:t>
            </w:r>
            <w:r>
              <w:rPr>
                <w:rFonts w:ascii="宋体" w:hAnsi="宋体" w:cs="宋体" w:eastAsia="宋体" w:hint="default"/>
                <w:sz w:val="18"/>
                <w:szCs w:val="18"/>
              </w:rPr>
              <w:t>亦不</w:t>
            </w:r>
          </w:p>
        </w:tc>
        <w:tc>
          <w:tcPr>
            <w:tcW w:w="1702" w:type="dxa"/>
            <w:tcBorders>
              <w:top w:val="single" w:sz="15" w:space="0" w:color="000000"/>
              <w:left w:val="single" w:sz="4" w:space="0" w:color="000000"/>
              <w:bottom w:val="nil" w:sz="6" w:space="0" w:color="auto"/>
              <w:right w:val="single" w:sz="4" w:space="0" w:color="000000"/>
            </w:tcBorders>
          </w:tcPr>
          <w:p>
            <w:pPr/>
          </w:p>
        </w:tc>
        <w:tc>
          <w:tcPr>
            <w:tcW w:w="991" w:type="dxa"/>
            <w:vMerge w:val="restart"/>
            <w:tcBorders>
              <w:top w:val="single" w:sz="15" w:space="0" w:color="000000"/>
              <w:left w:val="single" w:sz="4" w:space="0" w:color="000000"/>
              <w:right w:val="single" w:sz="4" w:space="0" w:color="000000"/>
            </w:tcBorders>
          </w:tcPr>
          <w:p>
            <w:pPr/>
          </w:p>
        </w:tc>
        <w:tc>
          <w:tcPr>
            <w:tcW w:w="1134" w:type="dxa"/>
            <w:vMerge w:val="restart"/>
            <w:tcBorders>
              <w:top w:val="single" w:sz="15" w:space="0" w:color="000000"/>
              <w:left w:val="single" w:sz="4" w:space="0" w:color="000000"/>
              <w:right w:val="single" w:sz="4" w:space="0" w:color="000000"/>
            </w:tcBorders>
          </w:tcPr>
          <w:p>
            <w:pPr/>
          </w:p>
        </w:tc>
        <w:tc>
          <w:tcPr>
            <w:tcW w:w="239" w:type="dxa"/>
            <w:vMerge w:val="restart"/>
            <w:tcBorders>
              <w:top w:val="single" w:sz="6" w:space="0" w:color="000000"/>
              <w:left w:val="single" w:sz="4" w:space="0" w:color="000000"/>
              <w:right w:val="nil" w:sz="6" w:space="0" w:color="auto"/>
            </w:tcBorders>
          </w:tcPr>
          <w:p>
            <w:pPr/>
          </w:p>
        </w:tc>
      </w:tr>
      <w:tr>
        <w:trPr>
          <w:trHeight w:val="313"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方面的承诺</w:t>
            </w: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会投资任何与畅元国讯经营的业务构成竞争或可能构成竞争</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6"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的其他企业；</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本人保证将努力促使与本人关系密切的家庭成</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员不直接或间接从事</w:t>
            </w:r>
            <w:r>
              <w:rPr>
                <w:rFonts w:ascii="宋体" w:hAnsi="宋体" w:cs="宋体" w:eastAsia="宋体" w:hint="default"/>
                <w:spacing w:val="-81"/>
                <w:sz w:val="18"/>
                <w:szCs w:val="18"/>
              </w:rPr>
              <w:t>、</w:t>
            </w:r>
            <w:r>
              <w:rPr>
                <w:rFonts w:ascii="宋体" w:hAnsi="宋体" w:cs="宋体" w:eastAsia="宋体" w:hint="default"/>
                <w:sz w:val="18"/>
                <w:szCs w:val="18"/>
              </w:rPr>
              <w:t>参与或投资与畅元国讯经营相竞争的任</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2"/>
                <w:sz w:val="18"/>
                <w:szCs w:val="18"/>
              </w:rPr>
              <w:t>何经营活动。</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本人保证将赔偿安妮股份因本人违反承诺而遭</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受或产生的任何损失或开支</w:t>
            </w:r>
            <w:r>
              <w:rPr>
                <w:rFonts w:ascii="宋体" w:hAnsi="宋体" w:cs="宋体" w:eastAsia="宋体" w:hint="default"/>
                <w:spacing w:val="-130"/>
                <w:sz w:val="18"/>
                <w:szCs w:val="18"/>
              </w:rPr>
              <w:t>。</w:t>
            </w:r>
            <w:r>
              <w:rPr>
                <w:rFonts w:ascii="宋体" w:hAnsi="宋体" w:cs="宋体" w:eastAsia="宋体" w:hint="default"/>
                <w:sz w:val="18"/>
                <w:szCs w:val="18"/>
              </w:rPr>
              <w:t>（二</w:t>
            </w:r>
            <w:r>
              <w:rPr>
                <w:rFonts w:ascii="宋体" w:hAnsi="宋体" w:cs="宋体" w:eastAsia="宋体" w:hint="default"/>
                <w:spacing w:val="-130"/>
                <w:sz w:val="18"/>
                <w:szCs w:val="18"/>
              </w:rPr>
              <w:t>）</w:t>
            </w:r>
            <w:r>
              <w:rPr>
                <w:rFonts w:ascii="宋体" w:hAnsi="宋体" w:cs="宋体" w:eastAsia="宋体" w:hint="default"/>
                <w:sz w:val="18"/>
                <w:szCs w:val="18"/>
              </w:rPr>
              <w:t>《关于</w:t>
            </w:r>
            <w:r>
              <w:rPr>
                <w:rFonts w:ascii="宋体" w:hAnsi="宋体" w:cs="宋体" w:eastAsia="宋体" w:hint="default"/>
                <w:spacing w:val="-2"/>
                <w:sz w:val="18"/>
                <w:szCs w:val="18"/>
              </w:rPr>
              <w:t>减</w:t>
            </w:r>
            <w:r>
              <w:rPr>
                <w:rFonts w:ascii="宋体" w:hAnsi="宋体" w:cs="宋体" w:eastAsia="宋体" w:hint="default"/>
                <w:sz w:val="18"/>
                <w:szCs w:val="18"/>
              </w:rPr>
              <w:t>少和避免关联交易</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的承诺</w:t>
            </w:r>
            <w:r>
              <w:rPr>
                <w:rFonts w:ascii="宋体" w:hAnsi="宋体" w:cs="宋体" w:eastAsia="宋体" w:hint="default"/>
                <w:spacing w:val="-90"/>
                <w:sz w:val="18"/>
                <w:szCs w:val="18"/>
              </w:rPr>
              <w:t>》</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、本次交易完成后，本人及本人控制的其他企业</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3"/>
                <w:sz w:val="18"/>
                <w:szCs w:val="18"/>
              </w:rPr>
              <w:t>与上市公司之间将尽量减少、避免关联交易。在进行确有必要</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且无法规避的关联交易时</w:t>
            </w:r>
            <w:r>
              <w:rPr>
                <w:rFonts w:ascii="宋体" w:hAnsi="宋体" w:cs="宋体" w:eastAsia="宋体" w:hint="default"/>
                <w:spacing w:val="-81"/>
                <w:sz w:val="18"/>
                <w:szCs w:val="18"/>
              </w:rPr>
              <w:t>，</w:t>
            </w:r>
            <w:r>
              <w:rPr>
                <w:rFonts w:ascii="宋体" w:hAnsi="宋体" w:cs="宋体" w:eastAsia="宋体" w:hint="default"/>
                <w:sz w:val="18"/>
                <w:szCs w:val="18"/>
              </w:rPr>
              <w:t>保证按市场化原则和公允价格进行</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公平操作，按相关法律、法规、规章等规范性文件及上市公司</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章程的规定履行关联交易的决策程序及信息披露义务</w:t>
            </w:r>
            <w:r>
              <w:rPr>
                <w:rFonts w:ascii="宋体" w:hAnsi="宋体" w:cs="宋体" w:eastAsia="宋体" w:hint="default"/>
                <w:spacing w:val="-81"/>
                <w:sz w:val="18"/>
                <w:szCs w:val="18"/>
              </w:rPr>
              <w:t>，</w:t>
            </w:r>
            <w:r>
              <w:rPr>
                <w:rFonts w:ascii="宋体" w:hAnsi="宋体" w:cs="宋体" w:eastAsia="宋体" w:hint="default"/>
                <w:sz w:val="18"/>
                <w:szCs w:val="18"/>
              </w:rPr>
              <w:t>并保证</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以市场公允价格与上市公司及下属子公司进行交易</w:t>
            </w:r>
            <w:r>
              <w:rPr>
                <w:rFonts w:ascii="宋体" w:hAnsi="宋体" w:cs="宋体" w:eastAsia="宋体" w:hint="default"/>
                <w:spacing w:val="-81"/>
                <w:sz w:val="18"/>
                <w:szCs w:val="18"/>
              </w:rPr>
              <w:t>，</w:t>
            </w:r>
            <w:r>
              <w:rPr>
                <w:rFonts w:ascii="宋体" w:hAnsi="宋体" w:cs="宋体" w:eastAsia="宋体" w:hint="default"/>
                <w:sz w:val="18"/>
                <w:szCs w:val="18"/>
              </w:rPr>
              <w:t>不利用该</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等交易从事任何损害上市公司及下属子公司利益的行为</w:t>
            </w:r>
            <w:r>
              <w:rPr>
                <w:rFonts w:ascii="宋体" w:hAnsi="宋体" w:cs="宋体" w:eastAsia="宋体" w:hint="default"/>
                <w:spacing w:val="-81"/>
                <w:sz w:val="18"/>
                <w:szCs w:val="18"/>
              </w:rPr>
              <w:t>。</w:t>
            </w:r>
            <w:r>
              <w:rPr>
                <w:rFonts w:ascii="宋体" w:hAnsi="宋体" w:cs="宋体" w:eastAsia="宋体" w:hint="default"/>
                <w:sz w:val="18"/>
                <w:szCs w:val="18"/>
              </w:rPr>
              <w:t>本人</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保证不会通过关联交易损害上市公司及其他股东的合法权益</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33" w:right="0"/>
              <w:jc w:val="left"/>
              <w:rPr>
                <w:rFonts w:ascii="宋体" w:hAnsi="宋体" w:cs="宋体" w:eastAsia="宋体" w:hint="default"/>
                <w:sz w:val="18"/>
                <w:szCs w:val="18"/>
              </w:rPr>
            </w:pPr>
            <w:r>
              <w:rPr>
                <w:rFonts w:ascii="宋体" w:hAnsi="宋体" w:cs="宋体" w:eastAsia="宋体" w:hint="default"/>
                <w:sz w:val="18"/>
                <w:szCs w:val="18"/>
              </w:rPr>
              <w:t>。</w:t>
            </w: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、本人承诺不利用上市公司控股股东</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实际控制人地位及重大</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影响</w:t>
            </w:r>
            <w:r>
              <w:rPr>
                <w:rFonts w:ascii="宋体" w:hAnsi="宋体" w:cs="宋体" w:eastAsia="宋体" w:hint="default"/>
                <w:spacing w:val="-81"/>
                <w:sz w:val="18"/>
                <w:szCs w:val="18"/>
              </w:rPr>
              <w:t>，</w:t>
            </w:r>
            <w:r>
              <w:rPr>
                <w:rFonts w:ascii="宋体" w:hAnsi="宋体" w:cs="宋体" w:eastAsia="宋体" w:hint="default"/>
                <w:sz w:val="18"/>
                <w:szCs w:val="18"/>
              </w:rPr>
              <w:t>谋求上市公司及下属子公司在业务合作等方面给予本人</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及本人投资的其他企业优于市场第三方的权利</w:t>
            </w:r>
            <w:r>
              <w:rPr>
                <w:rFonts w:ascii="宋体" w:hAnsi="宋体" w:cs="宋体" w:eastAsia="宋体" w:hint="default"/>
                <w:spacing w:val="-81"/>
                <w:sz w:val="18"/>
                <w:szCs w:val="18"/>
              </w:rPr>
              <w:t>，</w:t>
            </w:r>
            <w:r>
              <w:rPr>
                <w:rFonts w:ascii="宋体" w:hAnsi="宋体" w:cs="宋体" w:eastAsia="宋体" w:hint="default"/>
                <w:sz w:val="18"/>
                <w:szCs w:val="18"/>
              </w:rPr>
              <w:t>或谋求与上市</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公司及下属子公司达成交易的优先权利</w:t>
            </w:r>
            <w:r>
              <w:rPr>
                <w:rFonts w:ascii="宋体" w:hAnsi="宋体" w:cs="宋体" w:eastAsia="宋体" w:hint="default"/>
                <w:spacing w:val="-81"/>
                <w:sz w:val="18"/>
                <w:szCs w:val="18"/>
              </w:rPr>
              <w:t>，</w:t>
            </w:r>
            <w:r>
              <w:rPr>
                <w:rFonts w:ascii="宋体" w:hAnsi="宋体" w:cs="宋体" w:eastAsia="宋体" w:hint="default"/>
                <w:sz w:val="18"/>
                <w:szCs w:val="18"/>
              </w:rPr>
              <w:t>损害上市公司及其他</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股东的合法利益。</w:t>
            </w:r>
            <w:r>
              <w:rPr>
                <w:rFonts w:ascii="Times New Roman" w:hAnsi="Times New Roman" w:cs="Times New Roman" w:eastAsia="Times New Roman" w:hint="default"/>
                <w:sz w:val="18"/>
                <w:szCs w:val="18"/>
              </w:rPr>
              <w:t>3</w:t>
            </w:r>
            <w:r>
              <w:rPr>
                <w:rFonts w:ascii="宋体" w:hAnsi="宋体" w:cs="宋体" w:eastAsia="宋体" w:hint="default"/>
                <w:sz w:val="18"/>
                <w:szCs w:val="18"/>
              </w:rPr>
              <w:t>、本人将杜绝一切非法占用上市公司的资</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3"/>
                <w:sz w:val="18"/>
                <w:szCs w:val="18"/>
              </w:rPr>
              <w:t>金、资产的行为，在任何情况下，不要求上市公司向本人及其</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pacing w:val="-111"/>
                <w:sz w:val="18"/>
                <w:szCs w:val="18"/>
              </w:rPr>
              <w:t>。</w:t>
            </w:r>
            <w:r>
              <w:rPr>
                <w:rFonts w:ascii="宋体" w:hAnsi="宋体" w:cs="宋体" w:eastAsia="宋体" w:hint="default"/>
                <w:sz w:val="18"/>
                <w:szCs w:val="18"/>
              </w:rPr>
              <w:t>（三</w:t>
            </w:r>
            <w:r>
              <w:rPr>
                <w:rFonts w:ascii="宋体" w:hAnsi="宋体" w:cs="宋体" w:eastAsia="宋体" w:hint="default"/>
                <w:spacing w:val="-90"/>
                <w:sz w:val="18"/>
                <w:szCs w:val="18"/>
              </w:rPr>
              <w:t>）</w:t>
            </w:r>
            <w:r>
              <w:rPr>
                <w:rFonts w:ascii="宋体" w:hAnsi="宋体" w:cs="宋体" w:eastAsia="宋体" w:hint="default"/>
                <w:spacing w:val="-111"/>
                <w:sz w:val="18"/>
                <w:szCs w:val="18"/>
              </w:rPr>
              <w:t>、</w:t>
            </w:r>
            <w:r>
              <w:rPr>
                <w:rFonts w:ascii="宋体" w:hAnsi="宋体" w:cs="宋体" w:eastAsia="宋体" w:hint="default"/>
                <w:sz w:val="18"/>
                <w:szCs w:val="18"/>
              </w:rPr>
              <w:t>《关于避免资金占用</w:t>
            </w:r>
            <w:r>
              <w:rPr>
                <w:rFonts w:ascii="宋体" w:hAnsi="宋体" w:cs="宋体" w:eastAsia="宋体" w:hint="default"/>
                <w:spacing w:val="-21"/>
                <w:sz w:val="18"/>
                <w:szCs w:val="18"/>
              </w:rPr>
              <w:t>、</w:t>
            </w:r>
            <w:r>
              <w:rPr>
                <w:rFonts w:ascii="宋体" w:hAnsi="宋体" w:cs="宋体" w:eastAsia="宋体" w:hint="default"/>
                <w:sz w:val="18"/>
                <w:szCs w:val="18"/>
              </w:rPr>
              <w:t>关联担保的承诺函</w:t>
            </w:r>
            <w:r>
              <w:rPr>
                <w:rFonts w:ascii="宋体" w:hAnsi="宋体" w:cs="宋体" w:eastAsia="宋体" w:hint="default"/>
                <w:spacing w:val="-90"/>
                <w:sz w:val="18"/>
                <w:szCs w:val="18"/>
              </w:rPr>
              <w:t>》</w:t>
            </w:r>
            <w:r>
              <w:rPr>
                <w:rFonts w:ascii="宋体" w:hAnsi="宋体" w:cs="宋体" w:eastAsia="宋体" w:hint="default"/>
                <w:spacing w:val="-21"/>
                <w:sz w:val="18"/>
                <w:szCs w:val="18"/>
              </w:rPr>
              <w:t>：在</w:t>
            </w:r>
            <w:r>
              <w:rPr>
                <w:rFonts w:ascii="宋体" w:hAnsi="宋体" w:cs="宋体" w:eastAsia="宋体" w:hint="default"/>
                <w:sz w:val="18"/>
                <w:szCs w:val="18"/>
              </w:rPr>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3"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本次交易后不会占用上市公司的资金或要求其为本人及本人</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5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48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投资的其他企业提供担保，否则，应承担个别及连带责任</w:t>
            </w:r>
          </w:p>
        </w:tc>
        <w:tc>
          <w:tcPr>
            <w:tcW w:w="1702" w:type="dxa"/>
            <w:tcBorders>
              <w:top w:val="nil" w:sz="6" w:space="0" w:color="auto"/>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57" w:hRule="exact"/>
        </w:trPr>
        <w:tc>
          <w:tcPr>
            <w:tcW w:w="2836" w:type="dxa"/>
            <w:vMerge/>
            <w:tcBorders>
              <w:left w:val="single" w:sz="4" w:space="0" w:color="000000"/>
              <w:right w:val="single" w:sz="4" w:space="0" w:color="000000"/>
            </w:tcBorders>
            <w:shd w:val="clear" w:color="auto" w:fill="D3D3D3"/>
          </w:tcPr>
          <w:p>
            <w:pPr/>
          </w:p>
        </w:tc>
        <w:tc>
          <w:tcPr>
            <w:tcW w:w="1126" w:type="dxa"/>
            <w:tcBorders>
              <w:top w:val="single" w:sz="4" w:space="0" w:color="000000"/>
              <w:left w:val="single" w:sz="4" w:space="0" w:color="000000"/>
              <w:bottom w:val="nil" w:sz="6" w:space="0" w:color="auto"/>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
        </w:tc>
        <w:tc>
          <w:tcPr>
            <w:tcW w:w="48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117"/>
                <w:sz w:val="18"/>
                <w:szCs w:val="18"/>
              </w:rPr>
              <w:t>）</w:t>
            </w:r>
            <w:r>
              <w:rPr>
                <w:rFonts w:ascii="宋体" w:hAnsi="宋体" w:cs="宋体" w:eastAsia="宋体" w:hint="default"/>
                <w:sz w:val="18"/>
                <w:szCs w:val="18"/>
              </w:rPr>
              <w:t>《关于避免资金占用</w:t>
            </w:r>
            <w:r>
              <w:rPr>
                <w:rFonts w:ascii="宋体" w:hAnsi="宋体" w:cs="宋体" w:eastAsia="宋体" w:hint="default"/>
                <w:spacing w:val="-27"/>
                <w:sz w:val="18"/>
                <w:szCs w:val="18"/>
              </w:rPr>
              <w:t>、</w:t>
            </w:r>
            <w:r>
              <w:rPr>
                <w:rFonts w:ascii="宋体" w:hAnsi="宋体" w:cs="宋体" w:eastAsia="宋体" w:hint="default"/>
                <w:sz w:val="18"/>
                <w:szCs w:val="18"/>
              </w:rPr>
              <w:t>关联担保的承诺函</w:t>
            </w:r>
            <w:r>
              <w:rPr>
                <w:rFonts w:ascii="宋体" w:hAnsi="宋体" w:cs="宋体" w:eastAsia="宋体" w:hint="default"/>
                <w:spacing w:val="-90"/>
                <w:sz w:val="18"/>
                <w:szCs w:val="18"/>
              </w:rPr>
              <w:t>》</w:t>
            </w:r>
            <w:r>
              <w:rPr>
                <w:rFonts w:ascii="宋体" w:hAnsi="宋体" w:cs="宋体" w:eastAsia="宋体" w:hint="default"/>
                <w:spacing w:val="-27"/>
                <w:sz w:val="18"/>
                <w:szCs w:val="18"/>
              </w:rPr>
              <w:t>：</w:t>
            </w:r>
            <w:r>
              <w:rPr>
                <w:rFonts w:ascii="宋体" w:hAnsi="宋体" w:cs="宋体" w:eastAsia="宋体" w:hint="default"/>
                <w:sz w:val="18"/>
                <w:szCs w:val="18"/>
              </w:rPr>
              <w:t>在本次交易</w:t>
            </w:r>
          </w:p>
        </w:tc>
        <w:tc>
          <w:tcPr>
            <w:tcW w:w="1702"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239" w:type="dxa"/>
            <w:vMerge/>
            <w:tcBorders>
              <w:left w:val="single" w:sz="4" w:space="0" w:color="000000"/>
              <w:right w:val="nil" w:sz="6" w:space="0" w:color="auto"/>
            </w:tcBorders>
          </w:tcPr>
          <w:p>
            <w:pPr/>
          </w:p>
        </w:tc>
      </w:tr>
      <w:tr>
        <w:trPr>
          <w:trHeight w:val="1559" w:hRule="exact"/>
        </w:trPr>
        <w:tc>
          <w:tcPr>
            <w:tcW w:w="2836" w:type="dxa"/>
            <w:vMerge/>
            <w:tcBorders>
              <w:left w:val="single" w:sz="4" w:space="0" w:color="000000"/>
              <w:right w:val="single" w:sz="4" w:space="0" w:color="000000"/>
            </w:tcBorders>
            <w:shd w:val="clear" w:color="auto" w:fill="D3D3D3"/>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300" w:lineRule="auto"/>
              <w:ind w:left="23" w:right="89"/>
              <w:jc w:val="both"/>
              <w:rPr>
                <w:rFonts w:ascii="宋体" w:hAnsi="宋体" w:cs="宋体" w:eastAsia="宋体" w:hint="default"/>
                <w:sz w:val="18"/>
                <w:szCs w:val="18"/>
              </w:rPr>
            </w:pPr>
            <w:r>
              <w:rPr>
                <w:rFonts w:ascii="宋体" w:hAnsi="宋体" w:cs="宋体" w:eastAsia="宋体" w:hint="default"/>
                <w:sz w:val="18"/>
                <w:szCs w:val="18"/>
              </w:rPr>
              <w:t>杨超</w:t>
            </w:r>
            <w:r>
              <w:rPr>
                <w:rFonts w:ascii="Times New Roman" w:hAnsi="Times New Roman" w:cs="Times New Roman" w:eastAsia="Times New Roman" w:hint="default"/>
                <w:sz w:val="18"/>
                <w:szCs w:val="18"/>
              </w:rPr>
              <w:t>;</w:t>
            </w:r>
            <w:r>
              <w:rPr>
                <w:rFonts w:ascii="宋体" w:hAnsi="宋体" w:cs="宋体" w:eastAsia="宋体" w:hint="default"/>
                <w:sz w:val="18"/>
                <w:szCs w:val="18"/>
              </w:rPr>
              <w:t>陈兆滨</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鲁武英</w:t>
            </w:r>
            <w:r>
              <w:rPr>
                <w:rFonts w:ascii="Times New Roman" w:hAnsi="Times New Roman" w:cs="Times New Roman" w:eastAsia="Times New Roman" w:hint="default"/>
                <w:sz w:val="18"/>
                <w:szCs w:val="18"/>
              </w:rPr>
              <w:t>;</w:t>
            </w:r>
            <w:r>
              <w:rPr>
                <w:rFonts w:ascii="宋体" w:hAnsi="宋体" w:cs="宋体" w:eastAsia="宋体" w:hint="default"/>
                <w:sz w:val="18"/>
                <w:szCs w:val="18"/>
              </w:rPr>
              <w:t>毛智 才</w:t>
            </w:r>
            <w:r>
              <w:rPr>
                <w:rFonts w:ascii="Times New Roman" w:hAnsi="Times New Roman" w:cs="Times New Roman" w:eastAsia="Times New Roman" w:hint="default"/>
                <w:sz w:val="18"/>
                <w:szCs w:val="18"/>
              </w:rPr>
              <w:t>;</w:t>
            </w:r>
            <w:r>
              <w:rPr>
                <w:rFonts w:ascii="宋体" w:hAnsi="宋体" w:cs="宋体" w:eastAsia="宋体" w:hint="default"/>
                <w:sz w:val="18"/>
                <w:szCs w:val="18"/>
              </w:rPr>
              <w:t>雷建</w:t>
            </w:r>
            <w:r>
              <w:rPr>
                <w:rFonts w:ascii="Times New Roman" w:hAnsi="Times New Roman" w:cs="Times New Roman" w:eastAsia="Times New Roman" w:hint="default"/>
                <w:sz w:val="18"/>
                <w:szCs w:val="18"/>
              </w:rPr>
              <w:t>;</w:t>
            </w:r>
            <w:r>
              <w:rPr>
                <w:rFonts w:ascii="宋体" w:hAnsi="宋体" w:cs="宋体" w:eastAsia="宋体" w:hint="default"/>
                <w:sz w:val="18"/>
                <w:szCs w:val="18"/>
              </w:rPr>
              <w:t>江勇</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319" w:lineRule="auto" w:before="146"/>
              <w:ind w:left="22" w:right="20"/>
              <w:jc w:val="left"/>
              <w:rPr>
                <w:rFonts w:ascii="宋体" w:hAnsi="宋体" w:cs="宋体" w:eastAsia="宋体" w:hint="default"/>
                <w:sz w:val="18"/>
                <w:szCs w:val="18"/>
              </w:rPr>
            </w:pPr>
            <w:r>
              <w:rPr>
                <w:rFonts w:ascii="宋体" w:hAnsi="宋体" w:cs="宋体" w:eastAsia="宋体" w:hint="default"/>
                <w:sz w:val="18"/>
                <w:szCs w:val="18"/>
              </w:rPr>
              <w:t>关于同业竞 争、关联交 </w:t>
            </w:r>
            <w:r>
              <w:rPr>
                <w:rFonts w:ascii="宋体" w:hAnsi="宋体" w:cs="宋体" w:eastAsia="宋体" w:hint="default"/>
                <w:spacing w:val="-2"/>
                <w:sz w:val="18"/>
                <w:szCs w:val="18"/>
              </w:rPr>
              <w:t>易、资金占用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方面的承诺</w:t>
            </w: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314" w:lineRule="auto" w:before="10"/>
              <w:ind w:left="23" w:right="19"/>
              <w:jc w:val="left"/>
              <w:rPr>
                <w:rFonts w:ascii="宋体" w:hAnsi="宋体" w:cs="宋体" w:eastAsia="宋体" w:hint="default"/>
                <w:sz w:val="18"/>
                <w:szCs w:val="18"/>
              </w:rPr>
            </w:pPr>
            <w:r>
              <w:rPr>
                <w:rFonts w:ascii="宋体" w:hAnsi="宋体" w:cs="宋体" w:eastAsia="宋体" w:hint="default"/>
                <w:sz w:val="18"/>
                <w:szCs w:val="18"/>
              </w:rPr>
              <w:t>后不会占用畅元国讯的资金或要求其为本人及本人投资的其 </w:t>
            </w:r>
            <w:r>
              <w:rPr>
                <w:rFonts w:ascii="宋体" w:hAnsi="宋体" w:cs="宋体" w:eastAsia="宋体" w:hint="default"/>
                <w:spacing w:val="-10"/>
                <w:sz w:val="18"/>
                <w:szCs w:val="18"/>
              </w:rPr>
              <w:t>他企业提供担保，否则，应承担个别及连带责任。（二）《关于</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7"/>
                <w:sz w:val="18"/>
                <w:szCs w:val="18"/>
              </w:rPr>
              <w:t>避免同业竞争的承诺函》：</w:t>
            </w: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、本次交易完成后，在本公司持有</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3"/>
                <w:sz w:val="18"/>
                <w:szCs w:val="18"/>
              </w:rPr>
              <w:t>安妮股份股票期间，本公司及本公司控制的企业不会直接或间</w:t>
            </w:r>
            <w:r>
              <w:rPr>
                <w:rFonts w:ascii="宋体" w:hAnsi="宋体" w:cs="宋体" w:eastAsia="宋体" w:hint="default"/>
                <w:sz w:val="18"/>
                <w:szCs w:val="18"/>
              </w:rPr>
              <w:t> </w:t>
            </w:r>
            <w:r>
              <w:rPr>
                <w:rFonts w:ascii="宋体" w:hAnsi="宋体" w:cs="宋体" w:eastAsia="宋体" w:hint="default"/>
                <w:spacing w:val="-3"/>
                <w:sz w:val="18"/>
                <w:szCs w:val="18"/>
              </w:rPr>
              <w:t>接经营任何与畅元国讯、安妮股份及其其他下属公司经营的业</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严格履行中</w:t>
            </w:r>
          </w:p>
        </w:tc>
        <w:tc>
          <w:tcPr>
            <w:tcW w:w="239" w:type="dxa"/>
            <w:vMerge/>
            <w:tcBorders>
              <w:left w:val="single" w:sz="4" w:space="0" w:color="000000"/>
              <w:right w:val="nil" w:sz="6" w:space="0" w:color="auto"/>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3D3D3"/>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48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务构成竞争或可能构成竞争的业务</w:t>
            </w:r>
            <w:r>
              <w:rPr>
                <w:rFonts w:ascii="宋体" w:hAnsi="宋体" w:cs="宋体" w:eastAsia="宋体" w:hint="default"/>
                <w:spacing w:val="-81"/>
                <w:sz w:val="18"/>
                <w:szCs w:val="18"/>
              </w:rPr>
              <w:t>，</w:t>
            </w:r>
            <w:r>
              <w:rPr>
                <w:rFonts w:ascii="宋体" w:hAnsi="宋体" w:cs="宋体" w:eastAsia="宋体" w:hint="default"/>
                <w:sz w:val="18"/>
                <w:szCs w:val="18"/>
              </w:rPr>
              <w:t>亦不会投资任何与畅元国</w:t>
            </w:r>
          </w:p>
        </w:tc>
        <w:tc>
          <w:tcPr>
            <w:tcW w:w="1702"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239" w:type="dxa"/>
            <w:vMerge/>
            <w:tcBorders>
              <w:left w:val="single" w:sz="4" w:space="0" w:color="000000"/>
              <w:bottom w:val="nil" w:sz="6" w:space="0" w:color="auto"/>
              <w:right w:val="nil" w:sz="6" w:space="0" w:color="auto"/>
            </w:tcBorders>
          </w:tcPr>
          <w:p>
            <w:pPr/>
          </w:p>
        </w:tc>
      </w:tr>
    </w:tbl>
    <w:p>
      <w:pPr>
        <w:spacing w:after="0"/>
        <w:sectPr>
          <w:pgSz w:w="16840" w:h="11910" w:orient="landscape"/>
          <w:pgMar w:header="867" w:footer="978" w:top="1060" w:bottom="1160" w:left="1320" w:right="1300"/>
        </w:sectPr>
      </w:pPr>
    </w:p>
    <w:p>
      <w:pPr>
        <w:spacing w:line="240" w:lineRule="auto" w:before="4"/>
        <w:rPr>
          <w:rFonts w:ascii="Times New Roman" w:hAnsi="Times New Roman" w:cs="Times New Roman" w:eastAsia="Times New Roman" w:hint="default"/>
          <w:sz w:val="3"/>
          <w:szCs w:val="3"/>
        </w:rPr>
      </w:pPr>
      <w:r>
        <w:rPr/>
        <w:pict>
          <v:shape style="position:absolute;margin-left:436.250214pt;margin-top:57.18pt;width:216.7pt;height:470.05pt;mso-position-horizontal-relative:page;mso-position-vertical-relative:page;z-index:-96325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37"/>
                    <w:ind w:left="0" w:right="0" w:firstLine="0"/>
                    <w:jc w:val="left"/>
                    <w:rPr>
                      <w:rFonts w:ascii="宋体" w:hAnsi="宋体" w:cs="宋体" w:eastAsia="宋体" w:hint="default"/>
                      <w:sz w:val="18"/>
                      <w:szCs w:val="18"/>
                    </w:rPr>
                  </w:pPr>
                  <w:r>
                    <w:rPr>
                      <w:rFonts w:ascii="宋体" w:hAnsi="宋体" w:cs="宋体" w:eastAsia="宋体" w:hint="default"/>
                      <w:sz w:val="18"/>
                      <w:szCs w:val="18"/>
                    </w:rPr>
                    <w:t>发生必要且不可避免的关联交易，</w:t>
                  </w:r>
                </w:p>
                <w:p>
                  <w:pPr>
                    <w:spacing w:line="240" w:lineRule="auto" w:before="0"/>
                    <w:rPr>
                      <w:rFonts w:ascii="Times New Roman" w:hAnsi="Times New Roman" w:cs="Times New Roman" w:eastAsia="Times New Roman" w:hint="default"/>
                      <w:sz w:val="18"/>
                      <w:szCs w:val="18"/>
                    </w:rPr>
                  </w:pPr>
                </w:p>
                <w:p>
                  <w:pPr>
                    <w:spacing w:line="240" w:lineRule="auto" w:before="9"/>
                    <w:rPr>
                      <w:rFonts w:ascii="Times New Roman" w:hAnsi="Times New Roman" w:cs="Times New Roman" w:eastAsia="Times New Roman" w:hint="default"/>
                      <w:sz w:val="15"/>
                      <w:szCs w:val="15"/>
                    </w:rPr>
                  </w:pPr>
                </w:p>
                <w:p>
                  <w:pPr>
                    <w:spacing w:before="0"/>
                    <w:ind w:left="1441" w:right="0" w:firstLine="0"/>
                    <w:jc w:val="left"/>
                    <w:rPr>
                      <w:rFonts w:ascii="宋体" w:hAnsi="宋体" w:cs="宋体" w:eastAsia="宋体" w:hint="default"/>
                      <w:sz w:val="18"/>
                      <w:szCs w:val="18"/>
                    </w:rPr>
                  </w:pPr>
                  <w:r>
                    <w:rPr>
                      <w:rFonts w:ascii="宋体" w:hAnsi="宋体" w:cs="宋体" w:eastAsia="宋体" w:hint="default"/>
                      <w:sz w:val="18"/>
                      <w:szCs w:val="18"/>
                    </w:rPr>
                    <w:t>履行合法程序，</w:t>
                  </w:r>
                </w:p>
              </w:txbxContent>
            </v:textbox>
            <w10:wrap type="none"/>
          </v:shape>
        </w:pict>
      </w:r>
      <w:r>
        <w:rPr/>
        <w:pict>
          <v:group style="position:absolute;margin-left:568.369995pt;margin-top:57.18pt;width:84.55pt;height:470.05pt;mso-position-horizontal-relative:page;mso-position-vertical-relative:page;z-index:-963232" coordorigin="11367,1144" coordsize="1691,9401">
            <v:shape style="position:absolute;left:11367;top:1144;width:1691;height:9401" coordorigin="11367,1144" coordsize="1691,9401" path="m11367,1144l11367,10544,13058,10544,13058,1144,11367,1144xe" filled="true" fillcolor="#ffffff" stroked="false">
              <v:path arrowok="t"/>
              <v:fill type="solid"/>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2836"/>
        <w:gridCol w:w="1126"/>
        <w:gridCol w:w="1126"/>
        <w:gridCol w:w="4836"/>
        <w:gridCol w:w="1702"/>
        <w:gridCol w:w="991"/>
        <w:gridCol w:w="1134"/>
        <w:gridCol w:w="239"/>
      </w:tblGrid>
      <w:tr>
        <w:trPr>
          <w:trHeight w:val="331" w:hRule="exact"/>
        </w:trPr>
        <w:tc>
          <w:tcPr>
            <w:tcW w:w="2836" w:type="dxa"/>
            <w:vMerge w:val="restart"/>
            <w:tcBorders>
              <w:top w:val="single" w:sz="15" w:space="0" w:color="000000"/>
              <w:left w:val="single" w:sz="4" w:space="0" w:color="000000"/>
              <w:right w:val="single" w:sz="4" w:space="0" w:color="000000"/>
            </w:tcBorders>
            <w:shd w:val="clear" w:color="auto" w:fill="D3D3D3"/>
          </w:tcPr>
          <w:p>
            <w:pPr/>
          </w:p>
        </w:tc>
        <w:tc>
          <w:tcPr>
            <w:tcW w:w="1126" w:type="dxa"/>
            <w:vMerge w:val="restart"/>
            <w:tcBorders>
              <w:top w:val="single" w:sz="15" w:space="0" w:color="000000"/>
              <w:left w:val="single" w:sz="4" w:space="0" w:color="000000"/>
              <w:right w:val="single" w:sz="4" w:space="0" w:color="000000"/>
            </w:tcBorders>
          </w:tcPr>
          <w:p>
            <w:pPr/>
          </w:p>
        </w:tc>
        <w:tc>
          <w:tcPr>
            <w:tcW w:w="1126" w:type="dxa"/>
            <w:vMerge w:val="restart"/>
            <w:tcBorders>
              <w:top w:val="single" w:sz="15" w:space="0" w:color="000000"/>
              <w:left w:val="single" w:sz="4" w:space="0" w:color="000000"/>
              <w:right w:val="single" w:sz="4" w:space="0" w:color="000000"/>
            </w:tcBorders>
          </w:tcPr>
          <w:p>
            <w:pPr/>
          </w:p>
        </w:tc>
        <w:tc>
          <w:tcPr>
            <w:tcW w:w="483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讯</w:t>
            </w:r>
            <w:r>
              <w:rPr>
                <w:rFonts w:ascii="宋体" w:hAnsi="宋体" w:cs="宋体" w:eastAsia="宋体" w:hint="default"/>
                <w:spacing w:val="-81"/>
                <w:sz w:val="18"/>
                <w:szCs w:val="18"/>
              </w:rPr>
              <w:t>、</w:t>
            </w:r>
            <w:r>
              <w:rPr>
                <w:rFonts w:ascii="宋体" w:hAnsi="宋体" w:cs="宋体" w:eastAsia="宋体" w:hint="default"/>
                <w:sz w:val="18"/>
                <w:szCs w:val="18"/>
              </w:rPr>
              <w:t>安妮股份及其其他下属公司经营的业务构成竞争或可能构</w:t>
            </w:r>
          </w:p>
        </w:tc>
        <w:tc>
          <w:tcPr>
            <w:tcW w:w="1702" w:type="dxa"/>
            <w:tcBorders>
              <w:top w:val="single" w:sz="15" w:space="0" w:color="000000"/>
              <w:left w:val="single" w:sz="4" w:space="0" w:color="000000"/>
              <w:bottom w:val="nil" w:sz="6" w:space="0" w:color="auto"/>
              <w:right w:val="single" w:sz="4" w:space="0" w:color="000000"/>
            </w:tcBorders>
          </w:tcPr>
          <w:p>
            <w:pPr/>
          </w:p>
        </w:tc>
        <w:tc>
          <w:tcPr>
            <w:tcW w:w="991" w:type="dxa"/>
            <w:vMerge w:val="restart"/>
            <w:tcBorders>
              <w:top w:val="single" w:sz="15" w:space="0" w:color="000000"/>
              <w:left w:val="single" w:sz="4" w:space="0" w:color="000000"/>
              <w:right w:val="single" w:sz="4" w:space="0" w:color="000000"/>
            </w:tcBorders>
          </w:tcPr>
          <w:p>
            <w:pPr/>
          </w:p>
        </w:tc>
        <w:tc>
          <w:tcPr>
            <w:tcW w:w="1134" w:type="dxa"/>
            <w:vMerge w:val="restart"/>
            <w:tcBorders>
              <w:top w:val="single" w:sz="15" w:space="0" w:color="000000"/>
              <w:left w:val="single" w:sz="4" w:space="0" w:color="000000"/>
              <w:right w:val="single" w:sz="4" w:space="0" w:color="000000"/>
            </w:tcBorders>
          </w:tcPr>
          <w:p>
            <w:pPr/>
          </w:p>
        </w:tc>
        <w:tc>
          <w:tcPr>
            <w:tcW w:w="239" w:type="dxa"/>
            <w:vMerge w:val="restart"/>
            <w:tcBorders>
              <w:top w:val="single" w:sz="6" w:space="0" w:color="000000"/>
              <w:left w:val="single" w:sz="4" w:space="0" w:color="000000"/>
              <w:right w:val="nil" w:sz="6" w:space="0" w:color="auto"/>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成竞争的其他企业；</w:t>
            </w:r>
            <w:r>
              <w:rPr>
                <w:rFonts w:ascii="Times New Roman" w:hAnsi="Times New Roman" w:cs="Times New Roman" w:eastAsia="Times New Roman" w:hint="default"/>
                <w:sz w:val="18"/>
                <w:szCs w:val="18"/>
              </w:rPr>
              <w:t>2</w:t>
            </w:r>
            <w:r>
              <w:rPr>
                <w:rFonts w:ascii="宋体" w:hAnsi="宋体" w:cs="宋体" w:eastAsia="宋体" w:hint="default"/>
                <w:sz w:val="18"/>
                <w:szCs w:val="18"/>
              </w:rPr>
              <w:t>、本次交易完成后，在本公司持有安妮</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股份股票期间</w:t>
            </w:r>
            <w:r>
              <w:rPr>
                <w:rFonts w:ascii="宋体" w:hAnsi="宋体" w:cs="宋体" w:eastAsia="宋体" w:hint="default"/>
                <w:spacing w:val="-81"/>
                <w:sz w:val="18"/>
                <w:szCs w:val="18"/>
              </w:rPr>
              <w:t>，</w:t>
            </w:r>
            <w:r>
              <w:rPr>
                <w:rFonts w:ascii="宋体" w:hAnsi="宋体" w:cs="宋体" w:eastAsia="宋体" w:hint="default"/>
                <w:sz w:val="18"/>
                <w:szCs w:val="18"/>
              </w:rPr>
              <w:t>如本公司及本公司控制的企业的现有业务或该</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等企业为进一步拓展业务范围</w:t>
            </w:r>
            <w:r>
              <w:rPr>
                <w:rFonts w:ascii="宋体" w:hAnsi="宋体" w:cs="宋体" w:eastAsia="宋体" w:hint="default"/>
                <w:spacing w:val="-81"/>
                <w:sz w:val="18"/>
                <w:szCs w:val="18"/>
              </w:rPr>
              <w:t>，</w:t>
            </w:r>
            <w:r>
              <w:rPr>
                <w:rFonts w:ascii="宋体" w:hAnsi="宋体" w:cs="宋体" w:eastAsia="宋体" w:hint="default"/>
                <w:sz w:val="18"/>
                <w:szCs w:val="18"/>
              </w:rPr>
              <w:t>与安妮股份及其下属公司经营</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的业务产生竞争</w:t>
            </w:r>
            <w:r>
              <w:rPr>
                <w:rFonts w:ascii="宋体" w:hAnsi="宋体" w:cs="宋体" w:eastAsia="宋体" w:hint="default"/>
                <w:spacing w:val="-81"/>
                <w:sz w:val="18"/>
                <w:szCs w:val="18"/>
              </w:rPr>
              <w:t>，</w:t>
            </w:r>
            <w:r>
              <w:rPr>
                <w:rFonts w:ascii="宋体" w:hAnsi="宋体" w:cs="宋体" w:eastAsia="宋体" w:hint="default"/>
                <w:sz w:val="18"/>
                <w:szCs w:val="18"/>
              </w:rPr>
              <w:t>则本公司及本公司控制的企业将采取包括但</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不限于停止经营产生竞争的业务</w:t>
            </w:r>
            <w:r>
              <w:rPr>
                <w:rFonts w:ascii="宋体" w:hAnsi="宋体" w:cs="宋体" w:eastAsia="宋体" w:hint="default"/>
                <w:spacing w:val="-81"/>
                <w:sz w:val="18"/>
                <w:szCs w:val="18"/>
              </w:rPr>
              <w:t>、</w:t>
            </w:r>
            <w:r>
              <w:rPr>
                <w:rFonts w:ascii="宋体" w:hAnsi="宋体" w:cs="宋体" w:eastAsia="宋体" w:hint="default"/>
                <w:sz w:val="18"/>
                <w:szCs w:val="18"/>
              </w:rPr>
              <w:t>将产生竞争的业务纳入安妮</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股份或者转让给无关联关系第三方等合法方式</w:t>
            </w:r>
            <w:r>
              <w:rPr>
                <w:rFonts w:ascii="宋体" w:hAnsi="宋体" w:cs="宋体" w:eastAsia="宋体" w:hint="default"/>
                <w:spacing w:val="-81"/>
                <w:sz w:val="18"/>
                <w:szCs w:val="18"/>
              </w:rPr>
              <w:t>，</w:t>
            </w:r>
            <w:r>
              <w:rPr>
                <w:rFonts w:ascii="宋体" w:hAnsi="宋体" w:cs="宋体" w:eastAsia="宋体" w:hint="default"/>
                <w:sz w:val="18"/>
                <w:szCs w:val="18"/>
              </w:rPr>
              <w:t>使本公司及本</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公司控制的企业不再从事与安妮股份主营业务相同或类似的</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业务</w:t>
            </w:r>
            <w:r>
              <w:rPr>
                <w:rFonts w:ascii="宋体" w:hAnsi="宋体" w:cs="宋体" w:eastAsia="宋体" w:hint="default"/>
                <w:spacing w:val="-27"/>
                <w:sz w:val="18"/>
                <w:szCs w:val="18"/>
              </w:rPr>
              <w:t>，</w:t>
            </w:r>
            <w:r>
              <w:rPr>
                <w:rFonts w:ascii="宋体" w:hAnsi="宋体" w:cs="宋体" w:eastAsia="宋体" w:hint="default"/>
                <w:sz w:val="18"/>
                <w:szCs w:val="18"/>
              </w:rPr>
              <w:t>以避免同业竞争</w:t>
            </w:r>
            <w:r>
              <w:rPr>
                <w:rFonts w:ascii="宋体" w:hAnsi="宋体" w:cs="宋体" w:eastAsia="宋体" w:hint="default"/>
                <w:spacing w:val="-117"/>
                <w:sz w:val="18"/>
                <w:szCs w:val="18"/>
              </w:rPr>
              <w:t>。</w:t>
            </w:r>
            <w:r>
              <w:rPr>
                <w:rFonts w:ascii="宋体" w:hAnsi="宋体" w:cs="宋体" w:eastAsia="宋体" w:hint="default"/>
                <w:sz w:val="18"/>
                <w:szCs w:val="18"/>
              </w:rPr>
              <w:t>（三</w:t>
            </w:r>
            <w:r>
              <w:rPr>
                <w:rFonts w:ascii="宋体" w:hAnsi="宋体" w:cs="宋体" w:eastAsia="宋体" w:hint="default"/>
                <w:spacing w:val="-117"/>
                <w:sz w:val="18"/>
                <w:szCs w:val="18"/>
              </w:rPr>
              <w:t>）</w:t>
            </w:r>
            <w:r>
              <w:rPr>
                <w:rFonts w:ascii="宋体" w:hAnsi="宋体" w:cs="宋体" w:eastAsia="宋体" w:hint="default"/>
                <w:sz w:val="18"/>
                <w:szCs w:val="18"/>
              </w:rPr>
              <w:t>《关于减少及规范关联交易的承</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诺函</w:t>
            </w:r>
            <w:r>
              <w:rPr>
                <w:rFonts w:ascii="宋体" w:hAnsi="宋体" w:cs="宋体" w:eastAsia="宋体" w:hint="default"/>
                <w:spacing w:val="-90"/>
                <w:sz w:val="18"/>
                <w:szCs w:val="18"/>
              </w:rPr>
              <w:t>》</w:t>
            </w:r>
            <w:r>
              <w:rPr>
                <w:rFonts w:ascii="宋体" w:hAnsi="宋体" w:cs="宋体" w:eastAsia="宋体" w:hint="default"/>
                <w:spacing w:val="-27"/>
                <w:sz w:val="18"/>
                <w:szCs w:val="18"/>
              </w:rPr>
              <w:t>：</w:t>
            </w:r>
            <w:r>
              <w:rPr>
                <w:rFonts w:ascii="Times New Roman" w:hAnsi="Times New Roman" w:cs="Times New Roman" w:eastAsia="Times New Roman" w:hint="default"/>
                <w:sz w:val="18"/>
                <w:szCs w:val="18"/>
              </w:rPr>
              <w:t>1</w:t>
            </w:r>
            <w:r>
              <w:rPr>
                <w:rFonts w:ascii="宋体" w:hAnsi="宋体" w:cs="宋体" w:eastAsia="宋体" w:hint="default"/>
                <w:spacing w:val="-27"/>
                <w:sz w:val="18"/>
                <w:szCs w:val="18"/>
              </w:rPr>
              <w:t>、</w:t>
            </w:r>
            <w:r>
              <w:rPr>
                <w:rFonts w:ascii="宋体" w:hAnsi="宋体" w:cs="宋体" w:eastAsia="宋体" w:hint="default"/>
                <w:sz w:val="18"/>
                <w:szCs w:val="18"/>
              </w:rPr>
              <w:t>在本次交易之前</w:t>
            </w:r>
            <w:r>
              <w:rPr>
                <w:rFonts w:ascii="宋体" w:hAnsi="宋体" w:cs="宋体" w:eastAsia="宋体" w:hint="default"/>
                <w:spacing w:val="-27"/>
                <w:sz w:val="18"/>
                <w:szCs w:val="18"/>
              </w:rPr>
              <w:t>，</w:t>
            </w:r>
            <w:r>
              <w:rPr>
                <w:rFonts w:ascii="宋体" w:hAnsi="宋体" w:cs="宋体" w:eastAsia="宋体" w:hint="default"/>
                <w:sz w:val="18"/>
                <w:szCs w:val="18"/>
              </w:rPr>
              <w:t>任一股权转让方与安妮股份不存</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在关联交易。本次交易亦不构成关联交易。</w:t>
            </w:r>
            <w:r>
              <w:rPr>
                <w:rFonts w:ascii="Times New Roman" w:hAnsi="Times New Roman" w:cs="Times New Roman" w:eastAsia="Times New Roman" w:hint="default"/>
                <w:sz w:val="18"/>
                <w:szCs w:val="18"/>
              </w:rPr>
              <w:t>2</w:t>
            </w:r>
            <w:r>
              <w:rPr>
                <w:rFonts w:ascii="宋体" w:hAnsi="宋体" w:cs="宋体" w:eastAsia="宋体" w:hint="default"/>
                <w:sz w:val="18"/>
                <w:szCs w:val="18"/>
              </w:rPr>
              <w:t>、本次交易完成</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后</w:t>
            </w:r>
            <w:r>
              <w:rPr>
                <w:rFonts w:ascii="宋体" w:hAnsi="宋体" w:cs="宋体" w:eastAsia="宋体" w:hint="default"/>
                <w:spacing w:val="-81"/>
                <w:sz w:val="18"/>
                <w:szCs w:val="18"/>
              </w:rPr>
              <w:t>，</w:t>
            </w:r>
            <w:r>
              <w:rPr>
                <w:rFonts w:ascii="宋体" w:hAnsi="宋体" w:cs="宋体" w:eastAsia="宋体" w:hint="default"/>
                <w:sz w:val="18"/>
                <w:szCs w:val="18"/>
              </w:rPr>
              <w:t>股权转让方及其控制的企业将尽可能减少与安妮股份及其</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下属子公司的关联交易</w:t>
            </w:r>
            <w:r>
              <w:rPr>
                <w:rFonts w:ascii="宋体" w:hAnsi="宋体" w:cs="宋体" w:eastAsia="宋体" w:hint="default"/>
                <w:spacing w:val="-81"/>
                <w:sz w:val="18"/>
                <w:szCs w:val="18"/>
              </w:rPr>
              <w:t>，</w:t>
            </w:r>
            <w:r>
              <w:rPr>
                <w:rFonts w:ascii="宋体" w:hAnsi="宋体" w:cs="宋体" w:eastAsia="宋体" w:hint="default"/>
                <w:sz w:val="18"/>
                <w:szCs w:val="18"/>
              </w:rPr>
              <w:t>不会利用自身作为安妮股份股东之地</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位谋求与安妮股份在业务合作等方面给予优于市场第三方的</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权利</w:t>
            </w:r>
            <w:r>
              <w:rPr>
                <w:rFonts w:ascii="宋体" w:hAnsi="宋体" w:cs="宋体" w:eastAsia="宋体" w:hint="default"/>
                <w:spacing w:val="-81"/>
                <w:sz w:val="18"/>
                <w:szCs w:val="18"/>
              </w:rPr>
              <w:t>；</w:t>
            </w:r>
            <w:r>
              <w:rPr>
                <w:rFonts w:ascii="宋体" w:hAnsi="宋体" w:cs="宋体" w:eastAsia="宋体" w:hint="default"/>
                <w:sz w:val="18"/>
                <w:szCs w:val="18"/>
              </w:rPr>
              <w:t>不会利用自身作为安妮股份股东之地位谋求与安妮股份</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7"/>
                <w:sz w:val="18"/>
                <w:szCs w:val="18"/>
              </w:rPr>
              <w:t>达成交易的优先权利。</w:t>
            </w: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、若</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股权转让方及其控制的企业将与安妮股份及其下属子公司按</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6"/>
                <w:sz w:val="18"/>
                <w:szCs w:val="18"/>
              </w:rPr>
              <w:t>照公平、公允、等价有偿等原则依法签订协议，</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并将按照有关法律法规和《厦门安妮股份有限公司章程》等内</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控制度的规定履行信息披露义务及相关内部决策、报批程序</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33" w:right="0"/>
              <w:jc w:val="left"/>
              <w:rPr>
                <w:rFonts w:ascii="宋体" w:hAnsi="宋体" w:cs="宋体" w:eastAsia="宋体" w:hint="default"/>
                <w:sz w:val="18"/>
                <w:szCs w:val="18"/>
              </w:rPr>
            </w:pPr>
            <w:r>
              <w:rPr>
                <w:rFonts w:ascii="宋体" w:hAnsi="宋体" w:cs="宋体" w:eastAsia="宋体" w:hint="default"/>
                <w:sz w:val="18"/>
                <w:szCs w:val="18"/>
              </w:rPr>
              <w:t>，</w:t>
            </w: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关联交易价格依照与无关联关系的独立第三方进行相同或相</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似交易时的价格确定，保证关联交易价格具有公允性，亦不利</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用该等交易从事任何损害安妮股份及安妮股份其他股东的合</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法权益的行为。</w:t>
            </w:r>
            <w:r>
              <w:rPr>
                <w:rFonts w:ascii="Times New Roman" w:hAnsi="Times New Roman" w:cs="Times New Roman" w:eastAsia="Times New Roman" w:hint="default"/>
                <w:sz w:val="18"/>
                <w:szCs w:val="18"/>
              </w:rPr>
              <w:t>4</w:t>
            </w:r>
            <w:r>
              <w:rPr>
                <w:rFonts w:ascii="宋体" w:hAnsi="宋体" w:cs="宋体" w:eastAsia="宋体" w:hint="default"/>
                <w:sz w:val="18"/>
                <w:szCs w:val="18"/>
              </w:rPr>
              <w:t>、若违反上述声明和保证，股权转让方将对</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分别</w:t>
            </w:r>
            <w:r>
              <w:rPr>
                <w:rFonts w:ascii="宋体" w:hAnsi="宋体" w:cs="宋体" w:eastAsia="宋体" w:hint="default"/>
                <w:spacing w:val="-81"/>
                <w:sz w:val="18"/>
                <w:szCs w:val="18"/>
              </w:rPr>
              <w:t>、</w:t>
            </w:r>
            <w:r>
              <w:rPr>
                <w:rFonts w:ascii="宋体" w:hAnsi="宋体" w:cs="宋体" w:eastAsia="宋体" w:hint="default"/>
                <w:sz w:val="18"/>
                <w:szCs w:val="18"/>
              </w:rPr>
              <w:t>且共同地前述行为而给安妮股份造成的损失向安妮股份</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进行赔偿。股权转让方保证将依照《厦门安妮股份有限公司章</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程》的规定参加股东大会，平等地行使相应权利，承担相应义</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3"/>
                <w:sz w:val="18"/>
                <w:szCs w:val="18"/>
              </w:rPr>
              <w:t>务，不利用股东地位谋取不正当利益，不利用关联交易非法转</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13" w:hRule="exact"/>
        </w:trPr>
        <w:tc>
          <w:tcPr>
            <w:tcW w:w="2836" w:type="dxa"/>
            <w:vMerge/>
            <w:tcBorders>
              <w:left w:val="single" w:sz="4" w:space="0" w:color="000000"/>
              <w:right w:val="single" w:sz="4" w:space="0" w:color="000000"/>
            </w:tcBorders>
            <w:shd w:val="clear" w:color="auto" w:fill="D3D3D3"/>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4"/>
                <w:sz w:val="18"/>
                <w:szCs w:val="18"/>
              </w:rPr>
              <w:t>移安妮股份及其下属公司的资金、利润，保证不损害安妮股份</w:t>
            </w:r>
          </w:p>
        </w:tc>
        <w:tc>
          <w:tcPr>
            <w:tcW w:w="1702" w:type="dxa"/>
            <w:tcBorders>
              <w:top w:val="nil" w:sz="6" w:space="0" w:color="auto"/>
              <w:left w:val="single" w:sz="4" w:space="0" w:color="000000"/>
              <w:bottom w:val="nil" w:sz="6" w:space="0" w:color="auto"/>
              <w:right w:val="single" w:sz="4" w:space="0" w:color="000000"/>
            </w:tcBorders>
          </w:tcPr>
          <w:p>
            <w:pPr/>
          </w:p>
        </w:tc>
        <w:tc>
          <w:tcPr>
            <w:tcW w:w="991"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57" w:hRule="exact"/>
        </w:trPr>
        <w:tc>
          <w:tcPr>
            <w:tcW w:w="2836" w:type="dxa"/>
            <w:vMerge/>
            <w:tcBorders>
              <w:left w:val="single" w:sz="4" w:space="0" w:color="000000"/>
              <w:bottom w:val="single" w:sz="4" w:space="0" w:color="000000"/>
              <w:right w:val="single" w:sz="4" w:space="0" w:color="000000"/>
            </w:tcBorders>
            <w:shd w:val="clear" w:color="auto" w:fill="D3D3D3"/>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48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其他股东的合法权益。</w:t>
            </w:r>
          </w:p>
        </w:tc>
        <w:tc>
          <w:tcPr>
            <w:tcW w:w="1702" w:type="dxa"/>
            <w:tcBorders>
              <w:top w:val="nil" w:sz="6" w:space="0" w:color="auto"/>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239" w:type="dxa"/>
            <w:vMerge/>
            <w:tcBorders>
              <w:left w:val="single" w:sz="4" w:space="0" w:color="000000"/>
              <w:bottom w:val="nil" w:sz="6" w:space="0" w:color="auto"/>
              <w:right w:val="nil" w:sz="6" w:space="0" w:color="auto"/>
            </w:tcBorders>
          </w:tcPr>
          <w:p>
            <w:pPr/>
          </w:p>
        </w:tc>
      </w:tr>
    </w:tbl>
    <w:p>
      <w:pPr>
        <w:spacing w:after="0"/>
        <w:sectPr>
          <w:pgSz w:w="16840" w:h="11910" w:orient="landscape"/>
          <w:pgMar w:header="867" w:footer="978" w:top="1060" w:bottom="1160" w:left="132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2836"/>
        <w:gridCol w:w="1126"/>
        <w:gridCol w:w="1126"/>
        <w:gridCol w:w="4836"/>
        <w:gridCol w:w="1702"/>
        <w:gridCol w:w="991"/>
        <w:gridCol w:w="1134"/>
        <w:gridCol w:w="239"/>
      </w:tblGrid>
      <w:tr>
        <w:trPr>
          <w:trHeight w:val="372" w:hRule="exact"/>
        </w:trPr>
        <w:tc>
          <w:tcPr>
            <w:tcW w:w="2836" w:type="dxa"/>
            <w:tcBorders>
              <w:top w:val="single" w:sz="15" w:space="0" w:color="000000"/>
              <w:left w:val="single" w:sz="4" w:space="0" w:color="000000"/>
              <w:bottom w:val="nil" w:sz="6" w:space="0" w:color="auto"/>
              <w:right w:val="single" w:sz="4" w:space="0" w:color="000000"/>
            </w:tcBorders>
            <w:shd w:val="clear" w:color="auto" w:fill="D3D3D3"/>
          </w:tcPr>
          <w:p>
            <w:pPr/>
          </w:p>
        </w:tc>
        <w:tc>
          <w:tcPr>
            <w:tcW w:w="1126" w:type="dxa"/>
            <w:tcBorders>
              <w:top w:val="single" w:sz="15" w:space="0" w:color="000000"/>
              <w:left w:val="single" w:sz="4" w:space="0" w:color="000000"/>
              <w:bottom w:val="nil" w:sz="6" w:space="0" w:color="auto"/>
              <w:right w:val="single" w:sz="4" w:space="0" w:color="000000"/>
            </w:tcBorders>
          </w:tcPr>
          <w:p>
            <w:pPr/>
          </w:p>
        </w:tc>
        <w:tc>
          <w:tcPr>
            <w:tcW w:w="1126" w:type="dxa"/>
            <w:vMerge w:val="restart"/>
            <w:tcBorders>
              <w:top w:val="single" w:sz="15" w:space="0" w:color="000000"/>
              <w:left w:val="single" w:sz="4" w:space="0" w:color="000000"/>
              <w:right w:val="single" w:sz="4" w:space="0" w:color="000000"/>
            </w:tcBorders>
          </w:tcPr>
          <w:p>
            <w:pPr/>
          </w:p>
        </w:tc>
        <w:tc>
          <w:tcPr>
            <w:tcW w:w="483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不为激励对象依本激励计划获取有关股票期权或限制性股票</w:t>
            </w:r>
          </w:p>
        </w:tc>
        <w:tc>
          <w:tcPr>
            <w:tcW w:w="1702" w:type="dxa"/>
            <w:tcBorders>
              <w:top w:val="single" w:sz="15" w:space="0" w:color="000000"/>
              <w:left w:val="single" w:sz="4" w:space="0" w:color="000000"/>
              <w:bottom w:val="nil" w:sz="6" w:space="0" w:color="auto"/>
              <w:right w:val="single" w:sz="4" w:space="0" w:color="000000"/>
            </w:tcBorders>
          </w:tcPr>
          <w:p>
            <w:pPr/>
          </w:p>
        </w:tc>
        <w:tc>
          <w:tcPr>
            <w:tcW w:w="991" w:type="dxa"/>
            <w:tcBorders>
              <w:top w:val="single" w:sz="15" w:space="0" w:color="000000"/>
              <w:left w:val="single" w:sz="4" w:space="0" w:color="000000"/>
              <w:bottom w:val="nil" w:sz="6" w:space="0" w:color="auto"/>
              <w:right w:val="single" w:sz="4" w:space="0" w:color="000000"/>
            </w:tcBorders>
          </w:tcPr>
          <w:p>
            <w:pPr/>
          </w:p>
        </w:tc>
        <w:tc>
          <w:tcPr>
            <w:tcW w:w="1134" w:type="dxa"/>
            <w:tcBorders>
              <w:top w:val="single" w:sz="15" w:space="0" w:color="000000"/>
              <w:left w:val="single" w:sz="4" w:space="0" w:color="000000"/>
              <w:bottom w:val="nil" w:sz="6" w:space="0" w:color="auto"/>
              <w:right w:val="single" w:sz="4" w:space="0" w:color="000000"/>
            </w:tcBorders>
          </w:tcPr>
          <w:p>
            <w:pPr/>
          </w:p>
        </w:tc>
        <w:tc>
          <w:tcPr>
            <w:tcW w:w="239" w:type="dxa"/>
            <w:vMerge w:val="restart"/>
            <w:tcBorders>
              <w:top w:val="single" w:sz="6" w:space="0" w:color="000000"/>
              <w:left w:val="single" w:sz="4" w:space="0" w:color="000000"/>
              <w:right w:val="nil" w:sz="6" w:space="0" w:color="auto"/>
            </w:tcBorders>
          </w:tcPr>
          <w:p>
            <w:pPr/>
          </w:p>
        </w:tc>
      </w:tr>
      <w:tr>
        <w:trPr>
          <w:trHeight w:val="318"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提供贷款以及其他任何形式的财务资助</w:t>
            </w:r>
            <w:r>
              <w:rPr>
                <w:rFonts w:ascii="宋体" w:hAnsi="宋体" w:cs="宋体" w:eastAsia="宋体" w:hint="default"/>
                <w:spacing w:val="-81"/>
                <w:sz w:val="18"/>
                <w:szCs w:val="18"/>
              </w:rPr>
              <w:t>，</w:t>
            </w:r>
            <w:r>
              <w:rPr>
                <w:rFonts w:ascii="宋体" w:hAnsi="宋体" w:cs="宋体" w:eastAsia="宋体" w:hint="default"/>
                <w:sz w:val="18"/>
                <w:szCs w:val="18"/>
              </w:rPr>
              <w:t>包括为其贷款提供担</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三年</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严格履行中</w:t>
            </w:r>
          </w:p>
        </w:tc>
        <w:tc>
          <w:tcPr>
            <w:tcW w:w="239" w:type="dxa"/>
            <w:vMerge/>
            <w:tcBorders>
              <w:left w:val="single" w:sz="4" w:space="0" w:color="000000"/>
              <w:right w:val="nil" w:sz="6" w:space="0" w:color="auto"/>
            </w:tcBorders>
          </w:tcPr>
          <w:p>
            <w:pPr/>
          </w:p>
        </w:tc>
      </w:tr>
      <w:tr>
        <w:trPr>
          <w:trHeight w:val="351"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48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保。</w:t>
            </w:r>
          </w:p>
        </w:tc>
        <w:tc>
          <w:tcPr>
            <w:tcW w:w="1702"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58"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6" w:type="dxa"/>
            <w:tcBorders>
              <w:top w:val="single" w:sz="4" w:space="0" w:color="000000"/>
              <w:left w:val="single" w:sz="4" w:space="0" w:color="000000"/>
              <w:bottom w:val="nil" w:sz="6" w:space="0" w:color="auto"/>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48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若公司因信息披露文件中有虚假记载</w:t>
            </w:r>
            <w:r>
              <w:rPr>
                <w:rFonts w:ascii="宋体" w:hAnsi="宋体" w:cs="宋体" w:eastAsia="宋体" w:hint="default"/>
                <w:spacing w:val="-81"/>
                <w:sz w:val="18"/>
                <w:szCs w:val="18"/>
              </w:rPr>
              <w:t>、</w:t>
            </w:r>
            <w:r>
              <w:rPr>
                <w:rFonts w:ascii="宋体" w:hAnsi="宋体" w:cs="宋体" w:eastAsia="宋体" w:hint="default"/>
                <w:sz w:val="18"/>
                <w:szCs w:val="18"/>
              </w:rPr>
              <w:t>误导性陈述或者重大遗</w:t>
            </w:r>
          </w:p>
        </w:tc>
        <w:tc>
          <w:tcPr>
            <w:tcW w:w="1702"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239" w:type="dxa"/>
            <w:vMerge/>
            <w:tcBorders>
              <w:left w:val="single" w:sz="4" w:space="0" w:color="000000"/>
              <w:right w:val="nil" w:sz="6" w:space="0" w:color="auto"/>
            </w:tcBorders>
          </w:tcPr>
          <w:p>
            <w:pPr/>
          </w:p>
        </w:tc>
      </w:tr>
      <w:tr>
        <w:trPr>
          <w:trHeight w:val="625"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23" w:right="190"/>
              <w:jc w:val="left"/>
              <w:rPr>
                <w:rFonts w:ascii="宋体" w:hAnsi="宋体" w:cs="宋体" w:eastAsia="宋体" w:hint="default"/>
                <w:sz w:val="18"/>
                <w:szCs w:val="18"/>
              </w:rPr>
            </w:pPr>
            <w:r>
              <w:rPr>
                <w:rFonts w:ascii="宋体" w:hAnsi="宋体" w:cs="宋体" w:eastAsia="宋体" w:hint="default"/>
                <w:sz w:val="18"/>
                <w:szCs w:val="18"/>
              </w:rPr>
              <w:t>股权激励对 象</w:t>
            </w: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19"/>
              <w:jc w:val="left"/>
              <w:rPr>
                <w:rFonts w:ascii="宋体" w:hAnsi="宋体" w:cs="宋体" w:eastAsia="宋体" w:hint="default"/>
                <w:sz w:val="18"/>
                <w:szCs w:val="18"/>
              </w:rPr>
            </w:pPr>
            <w:r>
              <w:rPr>
                <w:rFonts w:ascii="宋体" w:hAnsi="宋体" w:cs="宋体" w:eastAsia="宋体" w:hint="default"/>
                <w:spacing w:val="-3"/>
                <w:sz w:val="18"/>
                <w:szCs w:val="18"/>
              </w:rPr>
              <w:t>漏，导致不符合授予权益或行使权益安排的，激励对象自相关</w:t>
            </w:r>
            <w:r>
              <w:rPr>
                <w:rFonts w:ascii="宋体" w:hAnsi="宋体" w:cs="宋体" w:eastAsia="宋体" w:hint="default"/>
                <w:sz w:val="18"/>
                <w:szCs w:val="18"/>
              </w:rPr>
              <w:t> </w:t>
            </w:r>
            <w:r>
              <w:rPr>
                <w:rFonts w:ascii="宋体" w:hAnsi="宋体" w:cs="宋体" w:eastAsia="宋体" w:hint="default"/>
                <w:spacing w:val="-3"/>
                <w:sz w:val="18"/>
                <w:szCs w:val="18"/>
              </w:rPr>
              <w:t>信息披露文件被确认存在虚假记载、误导性陈述或者重大遗漏</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三年</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严格履行中</w:t>
            </w:r>
          </w:p>
        </w:tc>
        <w:tc>
          <w:tcPr>
            <w:tcW w:w="239" w:type="dxa"/>
            <w:vMerge/>
            <w:tcBorders>
              <w:left w:val="single" w:sz="4" w:space="0" w:color="000000"/>
              <w:right w:val="nil" w:sz="6" w:space="0" w:color="auto"/>
            </w:tcBorders>
          </w:tcPr>
          <w:p>
            <w:pPr/>
          </w:p>
        </w:tc>
      </w:tr>
      <w:tr>
        <w:trPr>
          <w:trHeight w:val="355" w:hRule="exact"/>
        </w:trPr>
        <w:tc>
          <w:tcPr>
            <w:tcW w:w="2836" w:type="dxa"/>
            <w:tcBorders>
              <w:top w:val="nil" w:sz="6" w:space="0" w:color="auto"/>
              <w:left w:val="single" w:sz="4" w:space="0" w:color="000000"/>
              <w:bottom w:val="single" w:sz="4" w:space="0" w:color="000000"/>
              <w:right w:val="single" w:sz="4" w:space="0" w:color="000000"/>
            </w:tcBorders>
            <w:shd w:val="clear" w:color="auto" w:fill="D3D3D3"/>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48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后，将由股权激励计划所获得的全部利益返还公司。</w:t>
            </w:r>
          </w:p>
        </w:tc>
        <w:tc>
          <w:tcPr>
            <w:tcW w:w="1702"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363" w:hRule="exact"/>
        </w:trPr>
        <w:tc>
          <w:tcPr>
            <w:tcW w:w="2836" w:type="dxa"/>
            <w:tcBorders>
              <w:top w:val="single" w:sz="4" w:space="0" w:color="000000"/>
              <w:left w:val="single" w:sz="4" w:space="0" w:color="000000"/>
              <w:bottom w:val="nil" w:sz="6" w:space="0" w:color="auto"/>
              <w:right w:val="single" w:sz="4" w:space="0" w:color="000000"/>
            </w:tcBorders>
            <w:shd w:val="clear" w:color="auto" w:fill="D3D3D3"/>
          </w:tcPr>
          <w:p>
            <w:pPr/>
          </w:p>
        </w:tc>
        <w:tc>
          <w:tcPr>
            <w:tcW w:w="1126" w:type="dxa"/>
            <w:tcBorders>
              <w:top w:val="single" w:sz="4" w:space="0" w:color="000000"/>
              <w:left w:val="single" w:sz="4" w:space="0" w:color="000000"/>
              <w:bottom w:val="nil" w:sz="6" w:space="0" w:color="auto"/>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48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年在公司盈利且现金流满足公司正常经营和长</w:t>
            </w:r>
          </w:p>
        </w:tc>
        <w:tc>
          <w:tcPr>
            <w:tcW w:w="1702"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239" w:type="dxa"/>
            <w:vMerge/>
            <w:tcBorders>
              <w:left w:val="single" w:sz="4" w:space="0" w:color="000000"/>
              <w:right w:val="nil" w:sz="6" w:space="0" w:color="auto"/>
            </w:tcBorders>
          </w:tcPr>
          <w:p>
            <w:pPr/>
          </w:p>
        </w:tc>
      </w:tr>
      <w:tr>
        <w:trPr>
          <w:trHeight w:val="313"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26" w:type="dxa"/>
            <w:vMerge/>
            <w:tcBorders>
              <w:left w:val="single" w:sz="4" w:space="0" w:color="000000"/>
              <w:right w:val="single" w:sz="4" w:space="0" w:color="000000"/>
            </w:tcBorders>
          </w:tcPr>
          <w:p>
            <w:pPr/>
          </w:p>
        </w:tc>
        <w:tc>
          <w:tcPr>
            <w:tcW w:w="4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期发展的前提下</w:t>
            </w:r>
            <w:r>
              <w:rPr>
                <w:rFonts w:ascii="宋体" w:hAnsi="宋体" w:cs="宋体" w:eastAsia="宋体" w:hint="default"/>
                <w:spacing w:val="-81"/>
                <w:sz w:val="18"/>
                <w:szCs w:val="18"/>
              </w:rPr>
              <w:t>，</w:t>
            </w:r>
            <w:r>
              <w:rPr>
                <w:rFonts w:ascii="宋体" w:hAnsi="宋体" w:cs="宋体" w:eastAsia="宋体" w:hint="default"/>
                <w:sz w:val="18"/>
                <w:szCs w:val="18"/>
              </w:rPr>
              <w:t>公司最近三年以现金方式累计分配的利润不</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三年</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严格履行中</w:t>
            </w:r>
          </w:p>
        </w:tc>
        <w:tc>
          <w:tcPr>
            <w:tcW w:w="239" w:type="dxa"/>
            <w:vMerge/>
            <w:tcBorders>
              <w:left w:val="single" w:sz="4" w:space="0" w:color="000000"/>
              <w:right w:val="nil" w:sz="6" w:space="0" w:color="auto"/>
            </w:tcBorders>
          </w:tcPr>
          <w:p>
            <w:pPr/>
          </w:p>
        </w:tc>
      </w:tr>
      <w:tr>
        <w:trPr>
          <w:trHeight w:val="351" w:hRule="exact"/>
        </w:trPr>
        <w:tc>
          <w:tcPr>
            <w:tcW w:w="2836" w:type="dxa"/>
            <w:tcBorders>
              <w:top w:val="nil" w:sz="6" w:space="0" w:color="auto"/>
              <w:left w:val="single" w:sz="4" w:space="0" w:color="000000"/>
              <w:bottom w:val="single" w:sz="4" w:space="0" w:color="000000"/>
              <w:right w:val="single" w:sz="4" w:space="0" w:color="000000"/>
            </w:tcBorders>
            <w:shd w:val="clear" w:color="auto" w:fill="D3D3D3"/>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48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少于最近三年实现的年均可分配利润的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tc>
        <w:tc>
          <w:tcPr>
            <w:tcW w:w="1702"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239" w:type="dxa"/>
            <w:vMerge/>
            <w:tcBorders>
              <w:left w:val="single" w:sz="4" w:space="0" w:color="000000"/>
              <w:right w:val="nil" w:sz="6" w:space="0" w:color="auto"/>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0914"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39" w:type="dxa"/>
            <w:vMerge/>
            <w:tcBorders>
              <w:left w:val="single" w:sz="4" w:space="0" w:color="000000"/>
              <w:bottom w:val="nil" w:sz="6" w:space="0" w:color="auto"/>
              <w:right w:val="nil" w:sz="6" w:space="0" w:color="auto"/>
            </w:tcBorders>
          </w:tcPr>
          <w:p>
            <w:pP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left="119" w:right="0"/>
        <w:jc w:val="left"/>
        <w:rPr>
          <w:b w:val="0"/>
          <w:bCs w:val="0"/>
        </w:rPr>
      </w:pPr>
      <w:r>
        <w:rPr>
          <w:rFonts w:ascii="Times New Roman" w:hAnsi="Times New Roman" w:cs="Times New Roman" w:eastAsia="Times New Roman" w:hint="default"/>
        </w:rPr>
        <w:t>2</w:t>
      </w:r>
      <w:r>
        <w:rPr/>
        <w:t>、公司资产或项目存在盈利预测，且报告期仍处在盈利预测期间，公司就资产或项目达到原盈利预测及其原因做出说明</w:t>
      </w:r>
      <w:r>
        <w:rPr>
          <w:b w:val="0"/>
          <w:bCs w:val="0"/>
        </w:rPr>
      </w:r>
    </w:p>
    <w:p>
      <w:pPr>
        <w:spacing w:line="240" w:lineRule="auto" w:before="8"/>
        <w:rPr>
          <w:rFonts w:ascii="宋体" w:hAnsi="宋体" w:cs="宋体" w:eastAsia="宋体" w:hint="default"/>
          <w:b/>
          <w:bCs/>
          <w:sz w:val="26"/>
          <w:szCs w:val="26"/>
        </w:rPr>
      </w:pPr>
    </w:p>
    <w:p>
      <w:pPr>
        <w:spacing w:before="0"/>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left="119" w:right="0"/>
        <w:jc w:val="left"/>
        <w:rPr>
          <w:b w:val="0"/>
          <w:bCs w:val="0"/>
        </w:rPr>
      </w:pPr>
      <w:r>
        <w:rPr/>
        <w:t>四、控股股东及其关联方对上市公司的非经营性占用资金情况</w:t>
      </w:r>
      <w:r>
        <w:rPr>
          <w:b w:val="0"/>
          <w:bCs w:val="0"/>
        </w:rPr>
      </w:r>
    </w:p>
    <w:p>
      <w:pPr>
        <w:spacing w:line="240" w:lineRule="auto" w:before="7"/>
        <w:rPr>
          <w:rFonts w:ascii="宋体" w:hAnsi="宋体" w:cs="宋体" w:eastAsia="宋体" w:hint="default"/>
          <w:b/>
          <w:bCs/>
          <w:sz w:val="26"/>
          <w:szCs w:val="26"/>
        </w:rPr>
      </w:pPr>
    </w:p>
    <w:p>
      <w:pPr>
        <w:spacing w:line="340" w:lineRule="auto" w:before="0"/>
        <w:ind w:left="119" w:right="832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公司报告期不存在控股股东及其关联方对上市公司的非经营性占用资金。</w:t>
      </w:r>
    </w:p>
    <w:p>
      <w:pPr>
        <w:spacing w:line="240" w:lineRule="auto" w:before="3"/>
        <w:rPr>
          <w:rFonts w:ascii="宋体" w:hAnsi="宋体" w:cs="宋体" w:eastAsia="宋体" w:hint="default"/>
          <w:sz w:val="19"/>
          <w:szCs w:val="19"/>
        </w:rPr>
      </w:pPr>
    </w:p>
    <w:p>
      <w:pPr>
        <w:pStyle w:val="Heading2"/>
        <w:spacing w:line="240" w:lineRule="auto"/>
        <w:ind w:left="119" w:right="0"/>
        <w:jc w:val="left"/>
        <w:rPr>
          <w:b w:val="0"/>
          <w:bCs w:val="0"/>
        </w:rPr>
      </w:pP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5"/>
          <w:szCs w:val="25"/>
        </w:rPr>
      </w:pPr>
    </w:p>
    <w:p>
      <w:pPr>
        <w:spacing w:before="0"/>
        <w:ind w:left="1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6840" w:h="11910" w:orient="landscape"/>
          <w:pgMar w:header="867" w:footer="978" w:top="1060" w:bottom="1160" w:left="1320" w:right="1300"/>
        </w:sectPr>
      </w:pPr>
    </w:p>
    <w:p>
      <w:pPr>
        <w:spacing w:line="240" w:lineRule="auto" w:before="9"/>
        <w:rPr>
          <w:rFonts w:ascii="宋体" w:hAnsi="宋体" w:cs="宋体" w:eastAsia="宋体" w:hint="default"/>
          <w:sz w:val="19"/>
          <w:szCs w:val="19"/>
        </w:rPr>
      </w:pPr>
    </w:p>
    <w:p>
      <w:pPr>
        <w:pStyle w:val="Heading2"/>
        <w:spacing w:line="240" w:lineRule="auto" w:before="26"/>
        <w:ind w:left="214" w:right="1113"/>
        <w:jc w:val="left"/>
        <w:rPr>
          <w:b w:val="0"/>
          <w:bCs w:val="0"/>
        </w:rPr>
      </w:pPr>
      <w:r>
        <w:rPr/>
        <w:t>六、与上年度财务报告相比，会计政策、会计估计和核算方法发生变化的情况说明</w:t>
      </w:r>
      <w:r>
        <w:rPr>
          <w:b w:val="0"/>
          <w:bCs w:val="0"/>
        </w:rPr>
      </w:r>
    </w:p>
    <w:p>
      <w:pPr>
        <w:spacing w:line="240" w:lineRule="auto" w:before="7"/>
        <w:rPr>
          <w:rFonts w:ascii="宋体" w:hAnsi="宋体" w:cs="宋体" w:eastAsia="宋体" w:hint="default"/>
          <w:b/>
          <w:bCs/>
          <w:sz w:val="26"/>
          <w:szCs w:val="26"/>
        </w:rPr>
      </w:pPr>
    </w:p>
    <w:p>
      <w:pPr>
        <w:spacing w:before="0"/>
        <w:ind w:left="214" w:right="11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3"/>
          <w:szCs w:val="13"/>
        </w:rPr>
      </w:pPr>
    </w:p>
    <w:p>
      <w:pPr>
        <w:spacing w:before="0"/>
        <w:ind w:left="634" w:right="1113" w:firstLine="0"/>
        <w:jc w:val="left"/>
        <w:rPr>
          <w:rFonts w:ascii="宋体" w:hAnsi="宋体" w:cs="宋体" w:eastAsia="宋体" w:hint="default"/>
          <w:sz w:val="18"/>
          <w:szCs w:val="18"/>
        </w:rPr>
      </w:pPr>
      <w:r>
        <w:rPr>
          <w:rFonts w:ascii="宋体" w:hAnsi="宋体" w:cs="宋体" w:eastAsia="宋体" w:hint="default"/>
          <w:sz w:val="18"/>
          <w:szCs w:val="18"/>
        </w:rPr>
        <w:t>1.会计政策变更及依据 </w:t>
      </w:r>
    </w:p>
    <w:p>
      <w:pPr>
        <w:spacing w:line="240" w:lineRule="auto" w:before="10"/>
        <w:rPr>
          <w:rFonts w:ascii="宋体" w:hAnsi="宋体" w:cs="宋体" w:eastAsia="宋体" w:hint="default"/>
          <w:sz w:val="17"/>
          <w:szCs w:val="17"/>
        </w:rPr>
      </w:pPr>
    </w:p>
    <w:p>
      <w:pPr>
        <w:spacing w:line="477" w:lineRule="auto" w:before="0"/>
        <w:ind w:left="214" w:right="1131" w:firstLine="420"/>
        <w:jc w:val="both"/>
        <w:rPr>
          <w:rFonts w:ascii="宋体" w:hAnsi="宋体" w:cs="宋体" w:eastAsia="宋体" w:hint="default"/>
          <w:sz w:val="18"/>
          <w:szCs w:val="18"/>
        </w:rPr>
      </w:pPr>
      <w:r>
        <w:rPr>
          <w:rFonts w:ascii="宋体" w:hAnsi="宋体" w:cs="宋体" w:eastAsia="宋体" w:hint="default"/>
          <w:spacing w:val="-1"/>
          <w:sz w:val="18"/>
          <w:szCs w:val="18"/>
        </w:rPr>
        <w:t>（1）财政部于2017年发布了修订后的《企业会计准则第22号——金融工具确认和计量》、《企业会计准则第23号——</w:t>
      </w:r>
      <w:r>
        <w:rPr>
          <w:rFonts w:ascii="宋体" w:hAnsi="宋体" w:cs="宋体" w:eastAsia="宋体" w:hint="default"/>
          <w:sz w:val="18"/>
          <w:szCs w:val="18"/>
        </w:rPr>
        <w:t> </w:t>
      </w:r>
      <w:r>
        <w:rPr>
          <w:rFonts w:ascii="宋体" w:hAnsi="宋体" w:cs="宋体" w:eastAsia="宋体" w:hint="default"/>
          <w:spacing w:val="-2"/>
          <w:sz w:val="18"/>
          <w:szCs w:val="18"/>
        </w:rPr>
        <w:t>金融资产转移》、《企业会计准则第24号——套期会计》、《企业会计准则第37号——金融工具列报》（上述四项准则以下</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统称“新金融工具准则”）。 </w:t>
      </w:r>
    </w:p>
    <w:p>
      <w:pPr>
        <w:spacing w:line="477" w:lineRule="auto" w:before="54"/>
        <w:ind w:left="214" w:right="1127" w:firstLine="420"/>
        <w:jc w:val="both"/>
        <w:rPr>
          <w:rFonts w:ascii="宋体" w:hAnsi="宋体" w:cs="宋体" w:eastAsia="宋体" w:hint="default"/>
          <w:sz w:val="18"/>
          <w:szCs w:val="18"/>
        </w:rPr>
      </w:pPr>
      <w:r>
        <w:rPr>
          <w:rFonts w:ascii="宋体" w:hAnsi="宋体" w:cs="宋体" w:eastAsia="宋体" w:hint="default"/>
          <w:sz w:val="18"/>
          <w:szCs w:val="18"/>
        </w:rPr>
        <w:t>新金融工具准则将金融资产划分为三个类别：（1）以摊余成本计量的金融资产；（2）以公允价值计量且其变动计入</w:t>
      </w:r>
      <w:r>
        <w:rPr>
          <w:rFonts w:ascii="宋体" w:hAnsi="宋体" w:cs="宋体" w:eastAsia="宋体" w:hint="default"/>
          <w:spacing w:val="1"/>
          <w:sz w:val="18"/>
          <w:szCs w:val="18"/>
        </w:rPr>
        <w:t> </w:t>
      </w:r>
      <w:r>
        <w:rPr>
          <w:rFonts w:ascii="宋体" w:hAnsi="宋体" w:cs="宋体" w:eastAsia="宋体" w:hint="default"/>
          <w:sz w:val="18"/>
          <w:szCs w:val="18"/>
        </w:rPr>
        <w:t>其他综合收益的金融资产；（3）以公允价值计量且其变动计入当期损益的金融资产。在新金融工具准则下，金融资产的分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类是基于本公司管理金融资产的业务模式及该资产的合同现金流量特征而确定。新金融工具准则取消了原金融工具准则中规</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定的持有至到期投资、贷款和应收款项、可供出售金融资产三个类别。新金融工具准则以“预期信用损失”模型替代了原金</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融工具准则中的“已发生损失”模型。 </w:t>
      </w:r>
    </w:p>
    <w:p>
      <w:pPr>
        <w:spacing w:line="477" w:lineRule="auto" w:before="54"/>
        <w:ind w:left="214" w:right="1128" w:firstLine="420"/>
        <w:jc w:val="both"/>
        <w:rPr>
          <w:rFonts w:ascii="宋体" w:hAnsi="宋体" w:cs="宋体" w:eastAsia="宋体" w:hint="default"/>
          <w:sz w:val="18"/>
          <w:szCs w:val="18"/>
        </w:rPr>
      </w:pPr>
      <w:r>
        <w:rPr>
          <w:rFonts w:ascii="宋体" w:hAnsi="宋体" w:cs="宋体" w:eastAsia="宋体" w:hint="default"/>
          <w:spacing w:val="-1"/>
          <w:sz w:val="18"/>
          <w:szCs w:val="18"/>
        </w:rPr>
        <w:t>（2）财政部于2019年4月发布了《关于修订印发2019年度一般企业财务报表格式的通知》（财会[2019]6号）（以下简</w:t>
      </w:r>
      <w:r>
        <w:rPr>
          <w:rFonts w:ascii="宋体" w:hAnsi="宋体" w:cs="宋体" w:eastAsia="宋体" w:hint="default"/>
          <w:sz w:val="18"/>
          <w:szCs w:val="18"/>
        </w:rPr>
        <w:t> 称“财务报表格式”），执行企业会计准则的企业应按照企业会计准则和该通知的要求编制财务报表。 </w:t>
      </w:r>
    </w:p>
    <w:p>
      <w:pPr>
        <w:spacing w:line="477" w:lineRule="auto" w:before="54"/>
        <w:ind w:left="634" w:right="1113" w:firstLine="0"/>
        <w:jc w:val="left"/>
        <w:rPr>
          <w:rFonts w:ascii="宋体" w:hAnsi="宋体" w:cs="宋体" w:eastAsia="宋体" w:hint="default"/>
          <w:sz w:val="18"/>
          <w:szCs w:val="18"/>
        </w:rPr>
      </w:pPr>
      <w:r>
        <w:rPr>
          <w:rFonts w:ascii="宋体" w:hAnsi="宋体" w:cs="宋体" w:eastAsia="宋体" w:hint="default"/>
          <w:sz w:val="18"/>
          <w:szCs w:val="18"/>
        </w:rPr>
        <w:t>本公司于2019年1月1日起执行上述修订后的准则和财务报表格式，对会计政策相关内容进行调整。 2.会计政策变更的影响 </w:t>
      </w:r>
    </w:p>
    <w:p>
      <w:pPr>
        <w:spacing w:before="54"/>
        <w:ind w:left="634" w:right="1113" w:firstLine="0"/>
        <w:jc w:val="left"/>
        <w:rPr>
          <w:rFonts w:ascii="宋体" w:hAnsi="宋体" w:cs="宋体" w:eastAsia="宋体" w:hint="default"/>
          <w:sz w:val="18"/>
          <w:szCs w:val="18"/>
        </w:rPr>
      </w:pPr>
      <w:r>
        <w:rPr>
          <w:rFonts w:ascii="宋体" w:hAnsi="宋体" w:cs="宋体" w:eastAsia="宋体" w:hint="default"/>
          <w:sz w:val="18"/>
          <w:szCs w:val="18"/>
        </w:rPr>
        <w:t>（1）执行新金融工具准则的影响 </w:t>
      </w:r>
    </w:p>
    <w:p>
      <w:pPr>
        <w:spacing w:line="240" w:lineRule="auto" w:before="13"/>
        <w:rPr>
          <w:rFonts w:ascii="宋体" w:hAnsi="宋体" w:cs="宋体" w:eastAsia="宋体" w:hint="default"/>
          <w:sz w:val="10"/>
          <w:szCs w:val="10"/>
        </w:rPr>
      </w:pPr>
    </w:p>
    <w:tbl>
      <w:tblPr>
        <w:tblW w:w="0" w:type="auto"/>
        <w:jc w:val="left"/>
        <w:tblInd w:w="209" w:type="dxa"/>
        <w:tblLayout w:type="fixed"/>
        <w:tblCellMar>
          <w:top w:w="0" w:type="dxa"/>
          <w:left w:w="0" w:type="dxa"/>
          <w:bottom w:w="0" w:type="dxa"/>
          <w:right w:w="0" w:type="dxa"/>
        </w:tblCellMar>
        <w:tblLook w:val="01E0"/>
      </w:tblPr>
      <w:tblGrid>
        <w:gridCol w:w="3086"/>
        <w:gridCol w:w="1878"/>
        <w:gridCol w:w="2124"/>
        <w:gridCol w:w="2551"/>
      </w:tblGrid>
      <w:tr>
        <w:trPr>
          <w:trHeight w:val="342" w:hRule="exact"/>
        </w:trPr>
        <w:tc>
          <w:tcPr>
            <w:tcW w:w="308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1"/>
              <w:ind w:left="997" w:right="0"/>
              <w:jc w:val="left"/>
              <w:rPr>
                <w:rFonts w:ascii="宋体" w:hAnsi="宋体" w:cs="宋体" w:eastAsia="宋体" w:hint="default"/>
                <w:sz w:val="18"/>
                <w:szCs w:val="18"/>
              </w:rPr>
            </w:pPr>
            <w:r>
              <w:rPr>
                <w:rFonts w:ascii="宋体" w:hAnsi="宋体" w:cs="宋体" w:eastAsia="宋体" w:hint="default"/>
                <w:sz w:val="18"/>
                <w:szCs w:val="18"/>
              </w:rPr>
              <w:t>合并报表项目 </w:t>
            </w:r>
          </w:p>
        </w:tc>
        <w:tc>
          <w:tcPr>
            <w:tcW w:w="1878"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1"/>
              <w:ind w:left="303" w:right="0"/>
              <w:jc w:val="left"/>
              <w:rPr>
                <w:rFonts w:ascii="宋体" w:hAnsi="宋体" w:cs="宋体" w:eastAsia="宋体" w:hint="default"/>
                <w:sz w:val="18"/>
                <w:szCs w:val="18"/>
              </w:rPr>
            </w:pPr>
            <w:r>
              <w:rPr>
                <w:rFonts w:ascii="宋体" w:hAnsi="宋体" w:cs="宋体" w:eastAsia="宋体" w:hint="default"/>
                <w:sz w:val="18"/>
                <w:szCs w:val="18"/>
              </w:rPr>
              <w:t>2018年12月31日 </w:t>
            </w:r>
          </w:p>
        </w:tc>
        <w:tc>
          <w:tcPr>
            <w:tcW w:w="212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1"/>
              <w:ind w:left="515" w:right="0"/>
              <w:jc w:val="left"/>
              <w:rPr>
                <w:rFonts w:ascii="宋体" w:hAnsi="宋体" w:cs="宋体" w:eastAsia="宋体" w:hint="default"/>
                <w:sz w:val="18"/>
                <w:szCs w:val="18"/>
              </w:rPr>
            </w:pPr>
            <w:r>
              <w:rPr>
                <w:rFonts w:ascii="宋体" w:hAnsi="宋体" w:cs="宋体" w:eastAsia="宋体" w:hint="default"/>
                <w:sz w:val="18"/>
                <w:szCs w:val="18"/>
              </w:rPr>
              <w:t>2019年1月1日 </w:t>
            </w:r>
          </w:p>
        </w:tc>
        <w:tc>
          <w:tcPr>
            <w:tcW w:w="2551"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1"/>
              <w:ind w:left="87" w:right="0"/>
              <w:jc w:val="center"/>
              <w:rPr>
                <w:rFonts w:ascii="宋体" w:hAnsi="宋体" w:cs="宋体" w:eastAsia="宋体" w:hint="default"/>
                <w:sz w:val="18"/>
                <w:szCs w:val="18"/>
              </w:rPr>
            </w:pPr>
            <w:r>
              <w:rPr>
                <w:rFonts w:ascii="宋体" w:hAnsi="宋体" w:cs="宋体" w:eastAsia="宋体" w:hint="default"/>
                <w:sz w:val="18"/>
                <w:szCs w:val="18"/>
              </w:rPr>
              <w:t>调整数 </w:t>
            </w:r>
          </w:p>
        </w:tc>
      </w:tr>
      <w:tr>
        <w:trPr>
          <w:trHeight w:val="342"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 流动资产：  </w:t>
            </w:r>
          </w:p>
        </w:tc>
        <w:tc>
          <w:tcPr>
            <w:tcW w:w="1878"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2551"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交易性金融资产 </w:t>
            </w:r>
          </w:p>
        </w:tc>
        <w:tc>
          <w:tcPr>
            <w:tcW w:w="1878"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760,845,392.81</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760,845,392.81</w:t>
            </w:r>
          </w:p>
        </w:tc>
      </w:tr>
      <w:tr>
        <w:trPr>
          <w:trHeight w:val="654"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11"/>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 的金融资产 </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440,704,055.56</w:t>
            </w:r>
          </w:p>
        </w:tc>
        <w:tc>
          <w:tcPr>
            <w:tcW w:w="2124" w:type="dxa"/>
            <w:tcBorders>
              <w:top w:val="single" w:sz="4" w:space="0" w:color="000000"/>
              <w:left w:val="single" w:sz="4" w:space="0" w:color="000000"/>
              <w:bottom w:val="single" w:sz="4" w:space="0" w:color="000000"/>
              <w:right w:val="single" w:sz="4" w:space="0" w:color="000000"/>
            </w:tcBorders>
          </w:tcPr>
          <w:p>
            <w:pP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-440,704,055.56</w:t>
            </w:r>
          </w:p>
        </w:tc>
      </w:tr>
      <w:tr>
        <w:trPr>
          <w:trHeight w:val="342"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其他流动资产 </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224,878,422.52</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24,878,422.52</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-200,000,000.00</w:t>
            </w:r>
          </w:p>
        </w:tc>
      </w:tr>
      <w:tr>
        <w:trPr>
          <w:trHeight w:val="342"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可供出售金融资产 </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211,611,337.25</w:t>
            </w:r>
          </w:p>
        </w:tc>
        <w:tc>
          <w:tcPr>
            <w:tcW w:w="2124" w:type="dxa"/>
            <w:tcBorders>
              <w:top w:val="single" w:sz="4" w:space="0" w:color="000000"/>
              <w:left w:val="single" w:sz="4" w:space="0" w:color="000000"/>
              <w:bottom w:val="single" w:sz="4" w:space="0" w:color="000000"/>
              <w:right w:val="single" w:sz="4" w:space="0" w:color="000000"/>
            </w:tcBorders>
          </w:tcPr>
          <w:p>
            <w:pP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-211,611,337.25</w:t>
            </w:r>
          </w:p>
        </w:tc>
      </w:tr>
      <w:tr>
        <w:trPr>
          <w:trHeight w:val="342"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其他权益工具投资 </w:t>
            </w:r>
          </w:p>
        </w:tc>
        <w:tc>
          <w:tcPr>
            <w:tcW w:w="1878"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90,120,000.00</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90,120,000.00</w:t>
            </w:r>
          </w:p>
        </w:tc>
      </w:tr>
      <w:tr>
        <w:trPr>
          <w:trHeight w:val="342"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其他非流动金融资产 </w:t>
            </w:r>
          </w:p>
        </w:tc>
        <w:tc>
          <w:tcPr>
            <w:tcW w:w="1878"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1,350,000.00</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1,350,000.00</w:t>
            </w:r>
          </w:p>
        </w:tc>
      </w:tr>
      <w:tr>
        <w:trPr>
          <w:trHeight w:val="342"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其他综合收益  </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   120,141,337.25</w:t>
            </w:r>
          </w:p>
        </w:tc>
        <w:tc>
          <w:tcPr>
            <w:tcW w:w="2124" w:type="dxa"/>
            <w:tcBorders>
              <w:top w:val="single" w:sz="4" w:space="0" w:color="000000"/>
              <w:left w:val="single" w:sz="4" w:space="0" w:color="000000"/>
              <w:bottom w:val="single" w:sz="4" w:space="0" w:color="000000"/>
              <w:right w:val="single" w:sz="4" w:space="0" w:color="000000"/>
            </w:tcBorders>
          </w:tcPr>
          <w:p>
            <w:pP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 -120,141,337.25</w:t>
            </w:r>
          </w:p>
        </w:tc>
      </w:tr>
      <w:tr>
        <w:trPr>
          <w:trHeight w:val="343" w:hRule="exact"/>
        </w:trPr>
        <w:tc>
          <w:tcPr>
            <w:tcW w:w="3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未分配利润  </w:t>
            </w:r>
          </w:p>
        </w:tc>
        <w:tc>
          <w:tcPr>
            <w:tcW w:w="1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-298,489,381.22</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-178,348,043.97</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120,141,337.25</w:t>
            </w:r>
          </w:p>
        </w:tc>
      </w:tr>
    </w:tbl>
    <w:p>
      <w:pPr>
        <w:spacing w:before="10"/>
        <w:ind w:left="601" w:right="0" w:firstLine="0"/>
        <w:jc w:val="left"/>
        <w:rPr>
          <w:rFonts w:ascii="宋体" w:hAnsi="宋体" w:cs="宋体" w:eastAsia="宋体" w:hint="default"/>
          <w:sz w:val="18"/>
          <w:szCs w:val="18"/>
        </w:rPr>
      </w:pPr>
      <w:r>
        <w:rPr>
          <w:rFonts w:ascii="宋体"/>
          <w:sz w:val="18"/>
        </w:rPr>
        <w:t> </w:t>
      </w:r>
    </w:p>
    <w:p>
      <w:pPr>
        <w:spacing w:before="76"/>
        <w:ind w:left="601" w:right="1113" w:firstLine="0"/>
        <w:jc w:val="left"/>
        <w:rPr>
          <w:rFonts w:ascii="宋体" w:hAnsi="宋体" w:cs="宋体" w:eastAsia="宋体" w:hint="default"/>
          <w:sz w:val="18"/>
          <w:szCs w:val="18"/>
        </w:rPr>
      </w:pPr>
      <w:r>
        <w:rPr>
          <w:rFonts w:ascii="宋体" w:hAnsi="宋体" w:cs="宋体" w:eastAsia="宋体" w:hint="default"/>
          <w:sz w:val="18"/>
          <w:szCs w:val="18"/>
        </w:rPr>
        <w:t>母公司资产负债表 </w:t>
      </w:r>
    </w:p>
    <w:p>
      <w:pPr>
        <w:spacing w:line="240" w:lineRule="auto" w:before="0"/>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3485"/>
        <w:gridCol w:w="2123"/>
        <w:gridCol w:w="2124"/>
        <w:gridCol w:w="2123"/>
      </w:tblGrid>
      <w:tr>
        <w:trPr>
          <w:trHeight w:val="402"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07" w:right="0"/>
              <w:jc w:val="left"/>
              <w:rPr>
                <w:rFonts w:ascii="宋体" w:hAnsi="宋体" w:cs="宋体" w:eastAsia="宋体" w:hint="default"/>
                <w:sz w:val="18"/>
                <w:szCs w:val="18"/>
              </w:rPr>
            </w:pPr>
            <w:r>
              <w:rPr>
                <w:rFonts w:ascii="宋体" w:hAnsi="宋体" w:cs="宋体" w:eastAsia="宋体" w:hint="default"/>
                <w:sz w:val="18"/>
                <w:szCs w:val="18"/>
              </w:rPr>
              <w:t>母公司报表项目</w:t>
            </w:r>
          </w:p>
        </w:tc>
        <w:tc>
          <w:tcPr>
            <w:tcW w:w="21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14"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 </w:t>
            </w:r>
          </w:p>
        </w:tc>
        <w:tc>
          <w:tcPr>
            <w:tcW w:w="21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04" w:right="0"/>
              <w:jc w:val="left"/>
              <w:rPr>
                <w:rFonts w:ascii="宋体" w:hAnsi="宋体" w:cs="宋体" w:eastAsia="宋体" w:hint="default"/>
                <w:sz w:val="18"/>
                <w:szCs w:val="18"/>
              </w:rPr>
            </w:pPr>
            <w:r>
              <w:rPr>
                <w:rFonts w:ascii="宋体" w:hAnsi="宋体" w:cs="宋体" w:eastAsia="宋体" w:hint="default"/>
                <w:spacing w:val="14"/>
                <w:sz w:val="18"/>
                <w:szCs w:val="18"/>
              </w:rPr>
              <w:t>2019年1</w:t>
            </w:r>
            <w:r>
              <w:rPr>
                <w:rFonts w:ascii="宋体" w:hAnsi="宋体" w:cs="宋体" w:eastAsia="宋体" w:hint="default"/>
                <w:spacing w:val="-44"/>
                <w:sz w:val="18"/>
                <w:szCs w:val="18"/>
              </w:rPr>
              <w:t> </w:t>
            </w:r>
            <w:r>
              <w:rPr>
                <w:rFonts w:ascii="宋体" w:hAnsi="宋体" w:cs="宋体" w:eastAsia="宋体" w:hint="default"/>
                <w:spacing w:val="22"/>
                <w:sz w:val="18"/>
                <w:szCs w:val="18"/>
              </w:rPr>
              <w:t>月1</w:t>
            </w:r>
            <w:r>
              <w:rPr>
                <w:rFonts w:ascii="宋体" w:hAnsi="宋体" w:cs="宋体" w:eastAsia="宋体" w:hint="default"/>
                <w:spacing w:val="-44"/>
                <w:sz w:val="18"/>
                <w:szCs w:val="18"/>
              </w:rPr>
              <w:t> </w:t>
            </w:r>
            <w:r>
              <w:rPr>
                <w:rFonts w:ascii="宋体" w:hAnsi="宋体" w:cs="宋体" w:eastAsia="宋体" w:hint="default"/>
                <w:sz w:val="18"/>
                <w:szCs w:val="18"/>
              </w:rPr>
              <w:t>日 </w:t>
            </w:r>
          </w:p>
        </w:tc>
        <w:tc>
          <w:tcPr>
            <w:tcW w:w="21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784" w:right="0"/>
              <w:jc w:val="left"/>
              <w:rPr>
                <w:rFonts w:ascii="宋体" w:hAnsi="宋体" w:cs="宋体" w:eastAsia="宋体" w:hint="default"/>
                <w:sz w:val="18"/>
                <w:szCs w:val="18"/>
              </w:rPr>
            </w:pPr>
            <w:r>
              <w:rPr>
                <w:rFonts w:ascii="宋体" w:hAnsi="宋体" w:cs="宋体" w:eastAsia="宋体" w:hint="default"/>
                <w:sz w:val="18"/>
                <w:szCs w:val="18"/>
              </w:rPr>
              <w:t>调整数 </w:t>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123"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212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123"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3" w:right="0"/>
              <w:jc w:val="left"/>
              <w:rPr>
                <w:rFonts w:ascii="Arial" w:hAnsi="Arial" w:cs="Arial" w:eastAsia="Arial" w:hint="default"/>
                <w:sz w:val="18"/>
                <w:szCs w:val="18"/>
              </w:rPr>
            </w:pPr>
            <w:r>
              <w:rPr>
                <w:rFonts w:ascii="Arial"/>
                <w:w w:val="85"/>
                <w:sz w:val="18"/>
              </w:rPr>
              <w:t>670,707,726.14</w:t>
            </w:r>
            <w:r>
              <w:rPr>
                <w:rFonts w:ascii="Arial"/>
                <w:sz w:val="18"/>
              </w:rPr>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670,707,726.14</w:t>
            </w:r>
            <w:r>
              <w:rPr>
                <w:rFonts w:ascii="Arial"/>
                <w:sz w:val="18"/>
              </w:rPr>
            </w:r>
          </w:p>
        </w:tc>
      </w:tr>
      <w:tr>
        <w:trPr>
          <w:trHeight w:val="557"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31"/>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 金融资产</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83" w:right="0"/>
              <w:jc w:val="left"/>
              <w:rPr>
                <w:rFonts w:ascii="Arial" w:hAnsi="Arial" w:cs="Arial" w:eastAsia="Arial" w:hint="default"/>
                <w:sz w:val="18"/>
                <w:szCs w:val="18"/>
              </w:rPr>
            </w:pPr>
            <w:r>
              <w:rPr>
                <w:rFonts w:ascii="Arial"/>
                <w:w w:val="85"/>
                <w:sz w:val="18"/>
              </w:rPr>
              <w:t>350,566,388.89</w:t>
            </w:r>
            <w:r>
              <w:rPr>
                <w:rFonts w:ascii="Arial"/>
                <w:sz w:val="18"/>
              </w:rPr>
            </w:r>
          </w:p>
        </w:tc>
        <w:tc>
          <w:tcPr>
            <w:tcW w:w="2124" w:type="dxa"/>
            <w:tcBorders>
              <w:top w:val="single" w:sz="4" w:space="0" w:color="000000"/>
              <w:left w:val="single" w:sz="4" w:space="0" w:color="000000"/>
              <w:bottom w:val="single" w:sz="4" w:space="0" w:color="000000"/>
              <w:right w:val="single" w:sz="4" w:space="0" w:color="000000"/>
            </w:tcBorders>
          </w:tcPr>
          <w:p>
            <w:pP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3"/>
              <w:jc w:val="right"/>
              <w:rPr>
                <w:rFonts w:ascii="Arial" w:hAnsi="Arial" w:cs="Arial" w:eastAsia="Arial" w:hint="default"/>
                <w:sz w:val="18"/>
                <w:szCs w:val="18"/>
              </w:rPr>
            </w:pPr>
            <w:r>
              <w:rPr>
                <w:rFonts w:ascii="Arial"/>
                <w:spacing w:val="-1"/>
                <w:w w:val="80"/>
                <w:sz w:val="18"/>
              </w:rPr>
              <w:t>-350,566,388.89</w:t>
            </w:r>
            <w:r>
              <w:rPr>
                <w:rFonts w:ascii="Arial"/>
                <w:sz w:val="18"/>
              </w:rPr>
            </w:r>
          </w:p>
        </w:tc>
      </w:tr>
    </w:tbl>
    <w:p>
      <w:pPr>
        <w:spacing w:after="0" w:line="240" w:lineRule="auto"/>
        <w:jc w:val="right"/>
        <w:rPr>
          <w:rFonts w:ascii="Arial" w:hAnsi="Arial" w:cs="Arial" w:eastAsia="Arial" w:hint="default"/>
          <w:sz w:val="18"/>
          <w:szCs w:val="18"/>
        </w:rPr>
        <w:sectPr>
          <w:headerReference w:type="default" r:id="rId29"/>
          <w:footerReference w:type="default" r:id="rId30"/>
          <w:pgSz w:w="11910" w:h="16840"/>
          <w:pgMar w:header="877" w:footer="982" w:top="1100" w:bottom="1180" w:left="920" w:right="0"/>
          <w:pgNumType w:start="46"/>
        </w:sectPr>
      </w:pPr>
    </w:p>
    <w:p>
      <w:pPr>
        <w:spacing w:line="240" w:lineRule="auto" w:before="6"/>
        <w:rPr>
          <w:rFonts w:ascii="宋体" w:hAnsi="宋体" w:cs="宋体" w:eastAsia="宋体" w:hint="default"/>
          <w:sz w:val="24"/>
          <w:szCs w:val="24"/>
        </w:rPr>
      </w:pPr>
    </w:p>
    <w:tbl>
      <w:tblPr>
        <w:tblW w:w="0" w:type="auto"/>
        <w:jc w:val="left"/>
        <w:tblInd w:w="101" w:type="dxa"/>
        <w:tblLayout w:type="fixed"/>
        <w:tblCellMar>
          <w:top w:w="0" w:type="dxa"/>
          <w:left w:w="0" w:type="dxa"/>
          <w:bottom w:w="0" w:type="dxa"/>
          <w:right w:w="0" w:type="dxa"/>
        </w:tblCellMar>
        <w:tblLook w:val="01E0"/>
      </w:tblPr>
      <w:tblGrid>
        <w:gridCol w:w="3485"/>
        <w:gridCol w:w="2123"/>
        <w:gridCol w:w="2124"/>
        <w:gridCol w:w="2123"/>
      </w:tblGrid>
      <w:tr>
        <w:trPr>
          <w:trHeight w:val="402"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07" w:right="0"/>
              <w:jc w:val="left"/>
              <w:rPr>
                <w:rFonts w:ascii="宋体" w:hAnsi="宋体" w:cs="宋体" w:eastAsia="宋体" w:hint="default"/>
                <w:sz w:val="18"/>
                <w:szCs w:val="18"/>
              </w:rPr>
            </w:pPr>
            <w:r>
              <w:rPr>
                <w:rFonts w:ascii="宋体" w:hAnsi="宋体" w:cs="宋体" w:eastAsia="宋体" w:hint="default"/>
                <w:sz w:val="18"/>
                <w:szCs w:val="18"/>
              </w:rPr>
              <w:t>母公司报表项目</w:t>
            </w:r>
          </w:p>
        </w:tc>
        <w:tc>
          <w:tcPr>
            <w:tcW w:w="21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14"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 </w:t>
            </w:r>
          </w:p>
        </w:tc>
        <w:tc>
          <w:tcPr>
            <w:tcW w:w="21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04" w:right="0"/>
              <w:jc w:val="left"/>
              <w:rPr>
                <w:rFonts w:ascii="宋体" w:hAnsi="宋体" w:cs="宋体" w:eastAsia="宋体" w:hint="default"/>
                <w:sz w:val="18"/>
                <w:szCs w:val="18"/>
              </w:rPr>
            </w:pPr>
            <w:r>
              <w:rPr>
                <w:rFonts w:ascii="宋体" w:hAnsi="宋体" w:cs="宋体" w:eastAsia="宋体" w:hint="default"/>
                <w:spacing w:val="14"/>
                <w:sz w:val="18"/>
                <w:szCs w:val="18"/>
              </w:rPr>
              <w:t>2019年1</w:t>
            </w:r>
            <w:r>
              <w:rPr>
                <w:rFonts w:ascii="宋体" w:hAnsi="宋体" w:cs="宋体" w:eastAsia="宋体" w:hint="default"/>
                <w:spacing w:val="-44"/>
                <w:sz w:val="18"/>
                <w:szCs w:val="18"/>
              </w:rPr>
              <w:t> </w:t>
            </w:r>
            <w:r>
              <w:rPr>
                <w:rFonts w:ascii="宋体" w:hAnsi="宋体" w:cs="宋体" w:eastAsia="宋体" w:hint="default"/>
                <w:spacing w:val="22"/>
                <w:sz w:val="18"/>
                <w:szCs w:val="18"/>
              </w:rPr>
              <w:t>月1</w:t>
            </w:r>
            <w:r>
              <w:rPr>
                <w:rFonts w:ascii="宋体" w:hAnsi="宋体" w:cs="宋体" w:eastAsia="宋体" w:hint="default"/>
                <w:spacing w:val="-44"/>
                <w:sz w:val="18"/>
                <w:szCs w:val="18"/>
              </w:rPr>
              <w:t> </w:t>
            </w:r>
            <w:r>
              <w:rPr>
                <w:rFonts w:ascii="宋体" w:hAnsi="宋体" w:cs="宋体" w:eastAsia="宋体" w:hint="default"/>
                <w:sz w:val="18"/>
                <w:szCs w:val="18"/>
              </w:rPr>
              <w:t>日 </w:t>
            </w:r>
          </w:p>
        </w:tc>
        <w:tc>
          <w:tcPr>
            <w:tcW w:w="21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784" w:right="0"/>
              <w:jc w:val="left"/>
              <w:rPr>
                <w:rFonts w:ascii="宋体" w:hAnsi="宋体" w:cs="宋体" w:eastAsia="宋体" w:hint="default"/>
                <w:sz w:val="18"/>
                <w:szCs w:val="18"/>
              </w:rPr>
            </w:pPr>
            <w:r>
              <w:rPr>
                <w:rFonts w:ascii="宋体" w:hAnsi="宋体" w:cs="宋体" w:eastAsia="宋体" w:hint="default"/>
                <w:sz w:val="18"/>
                <w:szCs w:val="18"/>
              </w:rPr>
              <w:t>调整数 </w:t>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200,859,237.30</w:t>
            </w:r>
            <w:r>
              <w:rPr>
                <w:rFonts w:ascii="Arial"/>
                <w:sz w:val="18"/>
              </w:rPr>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859,237.30</w:t>
            </w:r>
            <w:r>
              <w:rPr>
                <w:rFonts w:ascii="Arial"/>
                <w:spacing w:val="-1"/>
                <w:sz w:val="18"/>
              </w:rPr>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-200,000,000.00</w:t>
            </w:r>
            <w:r>
              <w:rPr>
                <w:rFonts w:ascii="Arial"/>
                <w:sz w:val="18"/>
              </w:rPr>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206,831,337.25</w:t>
            </w:r>
            <w:r>
              <w:rPr>
                <w:rFonts w:ascii="Arial"/>
                <w:sz w:val="18"/>
              </w:rPr>
            </w:r>
          </w:p>
        </w:tc>
        <w:tc>
          <w:tcPr>
            <w:tcW w:w="2124" w:type="dxa"/>
            <w:tcBorders>
              <w:top w:val="single" w:sz="4" w:space="0" w:color="000000"/>
              <w:left w:val="single" w:sz="4" w:space="0" w:color="000000"/>
              <w:bottom w:val="single" w:sz="4" w:space="0" w:color="000000"/>
              <w:right w:val="single" w:sz="4" w:space="0" w:color="000000"/>
            </w:tcBorders>
          </w:tcPr>
          <w:p>
            <w:pP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-206,831,337.25</w:t>
            </w:r>
            <w:r>
              <w:rPr>
                <w:rFonts w:ascii="Arial"/>
                <w:sz w:val="18"/>
              </w:rPr>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123"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85,340,000.00</w:t>
            </w:r>
            <w:r>
              <w:rPr>
                <w:rFonts w:ascii="Arial"/>
                <w:spacing w:val="-1"/>
                <w:sz w:val="18"/>
              </w:rPr>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85,340,000.00</w:t>
            </w:r>
            <w:r>
              <w:rPr>
                <w:rFonts w:ascii="Arial"/>
                <w:spacing w:val="-1"/>
                <w:sz w:val="18"/>
              </w:rPr>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123"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1,350,000.00</w:t>
            </w:r>
            <w:r>
              <w:rPr>
                <w:rFonts w:ascii="Arial"/>
                <w:sz w:val="18"/>
              </w:rPr>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Arial" w:hAnsi="Arial" w:cs="Arial" w:eastAsia="Arial" w:hint="default"/>
                <w:sz w:val="18"/>
                <w:szCs w:val="18"/>
              </w:rPr>
            </w:pPr>
            <w:r>
              <w:rPr>
                <w:rFonts w:ascii="Arial"/>
                <w:spacing w:val="-1"/>
                <w:w w:val="80"/>
                <w:sz w:val="18"/>
              </w:rPr>
              <w:t>1,350,000.00</w:t>
            </w:r>
            <w:r>
              <w:rPr>
                <w:rFonts w:ascii="Arial"/>
                <w:sz w:val="18"/>
              </w:rPr>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120,141,337.25</w:t>
            </w:r>
            <w:r>
              <w:rPr>
                <w:rFonts w:ascii="Arial"/>
                <w:sz w:val="18"/>
              </w:rPr>
            </w:r>
          </w:p>
        </w:tc>
        <w:tc>
          <w:tcPr>
            <w:tcW w:w="2124" w:type="dxa"/>
            <w:tcBorders>
              <w:top w:val="single" w:sz="4" w:space="0" w:color="000000"/>
              <w:left w:val="single" w:sz="4" w:space="0" w:color="000000"/>
              <w:bottom w:val="single" w:sz="4" w:space="0" w:color="000000"/>
              <w:right w:val="single" w:sz="4" w:space="0" w:color="000000"/>
            </w:tcBorders>
          </w:tcPr>
          <w:p>
            <w:pP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-120,141,337.25</w:t>
            </w:r>
            <w:r>
              <w:rPr>
                <w:rFonts w:ascii="Arial"/>
                <w:sz w:val="18"/>
              </w:rPr>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-285,036,653.68</w:t>
            </w:r>
            <w:r>
              <w:rPr>
                <w:rFonts w:ascii="Arial"/>
                <w:sz w:val="18"/>
              </w:rPr>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-164,895,316.43</w:t>
            </w:r>
            <w:r>
              <w:rPr>
                <w:rFonts w:ascii="Arial"/>
                <w:sz w:val="18"/>
              </w:rPr>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120,141,337.25</w:t>
            </w:r>
            <w:r>
              <w:rPr>
                <w:rFonts w:ascii="Arial"/>
                <w:sz w:val="18"/>
              </w:rPr>
            </w:r>
          </w:p>
        </w:tc>
      </w:tr>
    </w:tbl>
    <w:p>
      <w:pPr>
        <w:spacing w:line="477" w:lineRule="auto" w:before="88"/>
        <w:ind w:left="214" w:right="1113" w:firstLine="360"/>
        <w:jc w:val="left"/>
        <w:rPr>
          <w:rFonts w:ascii="宋体" w:hAnsi="宋体" w:cs="宋体" w:eastAsia="宋体" w:hint="default"/>
          <w:sz w:val="18"/>
          <w:szCs w:val="18"/>
        </w:rPr>
      </w:pPr>
      <w:r>
        <w:rPr>
          <w:rFonts w:ascii="宋体" w:hAnsi="宋体" w:cs="宋体" w:eastAsia="宋体" w:hint="default"/>
          <w:spacing w:val="-2"/>
          <w:sz w:val="18"/>
          <w:szCs w:val="18"/>
        </w:rPr>
        <w:t>本公司根据新金融工具准则的规定，对金融工具的分类和计量（含减值）进行追溯调整，将金融工具原账面价值和在新</w:t>
      </w:r>
      <w:r>
        <w:rPr>
          <w:rFonts w:ascii="宋体" w:hAnsi="宋体" w:cs="宋体" w:eastAsia="宋体" w:hint="default"/>
          <w:sz w:val="18"/>
          <w:szCs w:val="18"/>
        </w:rPr>
        <w:t> 金融工具准则施行日（即2019年1月1日）的新账面价值之间的差额计入2019年年初留存收益或其他综合收益。 </w:t>
      </w:r>
    </w:p>
    <w:p>
      <w:pPr>
        <w:spacing w:line="477" w:lineRule="auto" w:before="54"/>
        <w:ind w:left="574" w:right="1113" w:firstLine="63"/>
        <w:jc w:val="left"/>
        <w:rPr>
          <w:rFonts w:ascii="宋体" w:hAnsi="宋体" w:cs="宋体" w:eastAsia="宋体" w:hint="default"/>
          <w:sz w:val="18"/>
          <w:szCs w:val="18"/>
        </w:rPr>
      </w:pPr>
      <w:r>
        <w:rPr>
          <w:rFonts w:ascii="宋体" w:hAnsi="宋体" w:cs="宋体" w:eastAsia="宋体" w:hint="default"/>
          <w:sz w:val="18"/>
          <w:szCs w:val="18"/>
        </w:rPr>
        <w:t>（2）执行修订后财务报表格式的影响 根据财务报表格式的要求，除执行上述新金融工具准则产生的列报变化以外，本公司将</w:t>
      </w:r>
      <w:r>
        <w:rPr>
          <w:rFonts w:ascii="宋体" w:hAnsi="宋体" w:cs="宋体" w:eastAsia="宋体" w:hint="default"/>
          <w:spacing w:val="7"/>
          <w:sz w:val="18"/>
          <w:szCs w:val="18"/>
        </w:rPr>
        <w:t> </w:t>
      </w:r>
      <w:r>
        <w:rPr>
          <w:rFonts w:ascii="宋体" w:hAnsi="宋体" w:cs="宋体" w:eastAsia="宋体" w:hint="default"/>
          <w:sz w:val="18"/>
          <w:szCs w:val="18"/>
        </w:rPr>
        <w:t>“应收票据及应收账款”拆分</w:t>
      </w:r>
    </w:p>
    <w:p>
      <w:pPr>
        <w:spacing w:line="477" w:lineRule="auto" w:before="54"/>
        <w:ind w:left="214" w:right="1113" w:firstLine="0"/>
        <w:jc w:val="left"/>
        <w:rPr>
          <w:rFonts w:ascii="宋体" w:hAnsi="宋体" w:cs="宋体" w:eastAsia="宋体" w:hint="default"/>
          <w:sz w:val="18"/>
          <w:szCs w:val="18"/>
        </w:rPr>
      </w:pPr>
      <w:r>
        <w:rPr>
          <w:rFonts w:ascii="宋体" w:hAnsi="宋体" w:cs="宋体" w:eastAsia="宋体" w:hint="default"/>
          <w:sz w:val="18"/>
          <w:szCs w:val="18"/>
        </w:rPr>
        <w:t>列示为 “应收票据”和“应收账款”两个项目，将 “应付票据及应付账款”</w:t>
      </w:r>
      <w:r>
        <w:rPr>
          <w:rFonts w:ascii="宋体" w:hAnsi="宋体" w:cs="宋体" w:eastAsia="宋体" w:hint="default"/>
          <w:spacing w:val="7"/>
          <w:sz w:val="18"/>
          <w:szCs w:val="18"/>
        </w:rPr>
        <w:t> </w:t>
      </w:r>
      <w:r>
        <w:rPr>
          <w:rFonts w:ascii="宋体" w:hAnsi="宋体" w:cs="宋体" w:eastAsia="宋体" w:hint="default"/>
          <w:sz w:val="18"/>
          <w:szCs w:val="18"/>
        </w:rPr>
        <w:t>拆分列示为“应付票据”和“应付账款”两</w:t>
      </w:r>
      <w:r>
        <w:rPr>
          <w:rFonts w:ascii="宋体" w:hAnsi="宋体" w:cs="宋体" w:eastAsia="宋体" w:hint="default"/>
          <w:sz w:val="18"/>
          <w:szCs w:val="18"/>
        </w:rPr>
        <w:t> 个项目。本公司相应追溯调整了比较期间报表，该会计政策变更对合并及公司净利润和股东权益无影响。 </w:t>
      </w:r>
    </w:p>
    <w:p>
      <w:pPr>
        <w:spacing w:before="54"/>
        <w:ind w:left="574" w:right="1113" w:firstLine="0"/>
        <w:jc w:val="left"/>
        <w:rPr>
          <w:rFonts w:ascii="宋体" w:hAnsi="宋体" w:cs="宋体" w:eastAsia="宋体" w:hint="default"/>
          <w:sz w:val="18"/>
          <w:szCs w:val="18"/>
        </w:rPr>
      </w:pPr>
      <w:r>
        <w:rPr>
          <w:rFonts w:ascii="宋体" w:hAnsi="宋体" w:cs="宋体" w:eastAsia="宋体" w:hint="default"/>
          <w:sz w:val="18"/>
          <w:szCs w:val="18"/>
        </w:rPr>
        <w:t>上述会计政策变更已经公司第四届董事会第29次会议审议审批通过。 </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214" w:right="1113"/>
        <w:jc w:val="left"/>
        <w:rPr>
          <w:b w:val="0"/>
          <w:bCs w:val="0"/>
        </w:rPr>
      </w:pPr>
      <w:r>
        <w:rPr/>
        <w:t>七、报告期内发生重大会计差错更正需追溯重述的情况说明</w:t>
      </w:r>
      <w:r>
        <w:rPr>
          <w:b w:val="0"/>
          <w:bCs w:val="0"/>
        </w:rPr>
      </w:r>
    </w:p>
    <w:p>
      <w:pPr>
        <w:spacing w:line="240" w:lineRule="auto" w:before="7"/>
        <w:rPr>
          <w:rFonts w:ascii="宋体" w:hAnsi="宋体" w:cs="宋体" w:eastAsia="宋体" w:hint="default"/>
          <w:b/>
          <w:bCs/>
          <w:sz w:val="26"/>
          <w:szCs w:val="26"/>
        </w:rPr>
      </w:pPr>
    </w:p>
    <w:p>
      <w:pPr>
        <w:spacing w:line="340" w:lineRule="auto" w:before="0"/>
        <w:ind w:left="214" w:right="66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公司报告期无重大会计差错更正需追溯重述的情况。</w:t>
      </w:r>
    </w:p>
    <w:p>
      <w:pPr>
        <w:spacing w:line="240" w:lineRule="auto" w:before="3"/>
        <w:rPr>
          <w:rFonts w:ascii="宋体" w:hAnsi="宋体" w:cs="宋体" w:eastAsia="宋体" w:hint="default"/>
          <w:sz w:val="19"/>
          <w:szCs w:val="19"/>
        </w:rPr>
      </w:pPr>
    </w:p>
    <w:p>
      <w:pPr>
        <w:pStyle w:val="Heading2"/>
        <w:spacing w:line="240" w:lineRule="auto"/>
        <w:ind w:left="214" w:right="1113"/>
        <w:jc w:val="left"/>
        <w:rPr>
          <w:b w:val="0"/>
          <w:bCs w:val="0"/>
        </w:rPr>
      </w:pPr>
      <w:r>
        <w:rPr/>
        <w:t>八、与上年度财务报告相比，合并报表范围发生变化的情况说明</w:t>
      </w:r>
      <w:r>
        <w:rPr>
          <w:b w:val="0"/>
          <w:bCs w:val="0"/>
        </w:rPr>
      </w:r>
    </w:p>
    <w:p>
      <w:pPr>
        <w:spacing w:line="240" w:lineRule="auto" w:before="9"/>
        <w:rPr>
          <w:rFonts w:ascii="宋体" w:hAnsi="宋体" w:cs="宋体" w:eastAsia="宋体" w:hint="default"/>
          <w:b/>
          <w:bCs/>
          <w:sz w:val="26"/>
          <w:szCs w:val="26"/>
        </w:rPr>
      </w:pPr>
    </w:p>
    <w:p>
      <w:pPr>
        <w:spacing w:before="0"/>
        <w:ind w:left="214" w:right="11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3"/>
          <w:szCs w:val="13"/>
        </w:rPr>
      </w:pPr>
    </w:p>
    <w:p>
      <w:pPr>
        <w:spacing w:before="0"/>
        <w:ind w:left="214" w:right="11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日，公司投资设立厦门安妮文化产业开发有限公司；</w:t>
      </w:r>
    </w:p>
    <w:p>
      <w:pPr>
        <w:spacing w:line="240" w:lineRule="auto" w:before="9"/>
        <w:rPr>
          <w:rFonts w:ascii="宋体" w:hAnsi="宋体" w:cs="宋体" w:eastAsia="宋体" w:hint="default"/>
          <w:sz w:val="16"/>
          <w:szCs w:val="16"/>
        </w:rPr>
      </w:pPr>
    </w:p>
    <w:p>
      <w:pPr>
        <w:spacing w:before="0"/>
        <w:ind w:left="214" w:right="11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日，公司投资设立厦门安普农食品有限公司；</w:t>
      </w:r>
    </w:p>
    <w:p>
      <w:pPr>
        <w:spacing w:line="240" w:lineRule="auto" w:before="9"/>
        <w:rPr>
          <w:rFonts w:ascii="宋体" w:hAnsi="宋体" w:cs="宋体" w:eastAsia="宋体" w:hint="default"/>
          <w:sz w:val="16"/>
          <w:szCs w:val="16"/>
        </w:rPr>
      </w:pPr>
    </w:p>
    <w:p>
      <w:pPr>
        <w:spacing w:before="0"/>
        <w:ind w:left="214" w:right="11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26</w:t>
      </w:r>
      <w:r>
        <w:rPr>
          <w:rFonts w:ascii="宋体" w:hAnsi="宋体" w:cs="宋体" w:eastAsia="宋体" w:hint="default"/>
          <w:sz w:val="18"/>
          <w:szCs w:val="18"/>
        </w:rPr>
        <w:t>日，公司全资子公司北京淘智慧电子商务有限公司投资设立北京稿稿文化传播有限公司；</w:t>
      </w:r>
    </w:p>
    <w:p>
      <w:pPr>
        <w:spacing w:line="240" w:lineRule="auto" w:before="9"/>
        <w:rPr>
          <w:rFonts w:ascii="宋体" w:hAnsi="宋体" w:cs="宋体" w:eastAsia="宋体" w:hint="default"/>
          <w:sz w:val="16"/>
          <w:szCs w:val="16"/>
        </w:rPr>
      </w:pPr>
    </w:p>
    <w:p>
      <w:pPr>
        <w:spacing w:line="451" w:lineRule="auto" w:before="0"/>
        <w:ind w:left="214" w:right="1114" w:firstLine="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2019</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12</w:t>
      </w:r>
      <w:r>
        <w:rPr>
          <w:rFonts w:ascii="宋体" w:hAnsi="宋体" w:cs="宋体" w:eastAsia="宋体" w:hint="default"/>
          <w:spacing w:val="-3"/>
          <w:sz w:val="18"/>
          <w:szCs w:val="18"/>
        </w:rPr>
        <w:t>月，厦门安妮知识产权服务有限公司投资设立安妮版权创新发展科技（深圳）有限公司和安妮创意设计服务（深</w:t>
      </w:r>
      <w:r>
        <w:rPr>
          <w:rFonts w:ascii="宋体" w:hAnsi="宋体" w:cs="宋体" w:eastAsia="宋体" w:hint="default"/>
          <w:sz w:val="18"/>
          <w:szCs w:val="18"/>
        </w:rPr>
        <w:t> 圳）有限公司。</w:t>
      </w:r>
    </w:p>
    <w:p>
      <w:pPr>
        <w:spacing w:line="240" w:lineRule="auto" w:before="0"/>
        <w:rPr>
          <w:rFonts w:ascii="宋体" w:hAnsi="宋体" w:cs="宋体" w:eastAsia="宋体" w:hint="default"/>
          <w:sz w:val="19"/>
          <w:szCs w:val="19"/>
        </w:rPr>
      </w:pPr>
    </w:p>
    <w:p>
      <w:pPr>
        <w:pStyle w:val="Heading2"/>
        <w:spacing w:line="240" w:lineRule="auto"/>
        <w:ind w:left="214" w:right="1113"/>
        <w:jc w:val="left"/>
        <w:rPr>
          <w:b w:val="0"/>
          <w:bCs w:val="0"/>
        </w:rPr>
      </w:pPr>
      <w:r>
        <w:rPr/>
        <w:t>九、聘任、解聘会计师事务所情况</w:t>
      </w:r>
      <w:r>
        <w:rPr>
          <w:b w:val="0"/>
          <w:bCs w:val="0"/>
        </w:rPr>
      </w:r>
    </w:p>
    <w:p>
      <w:pPr>
        <w:spacing w:line="240" w:lineRule="auto" w:before="7"/>
        <w:rPr>
          <w:rFonts w:ascii="宋体" w:hAnsi="宋体" w:cs="宋体" w:eastAsia="宋体" w:hint="default"/>
          <w:b/>
          <w:bCs/>
          <w:sz w:val="26"/>
          <w:szCs w:val="26"/>
        </w:rPr>
      </w:pPr>
    </w:p>
    <w:p>
      <w:pPr>
        <w:spacing w:before="0"/>
        <w:ind w:left="214" w:right="1113" w:firstLine="0"/>
        <w:jc w:val="left"/>
        <w:rPr>
          <w:rFonts w:ascii="宋体" w:hAnsi="宋体" w:cs="宋体" w:eastAsia="宋体" w:hint="default"/>
          <w:sz w:val="18"/>
          <w:szCs w:val="18"/>
        </w:rPr>
      </w:pPr>
      <w:r>
        <w:rPr>
          <w:rFonts w:ascii="宋体" w:hAnsi="宋体" w:cs="宋体" w:eastAsia="宋体" w:hint="default"/>
          <w:sz w:val="18"/>
          <w:szCs w:val="18"/>
        </w:rPr>
        <w:t>现聘任的会计师事务所</w:t>
      </w:r>
    </w:p>
    <w:p>
      <w:pPr>
        <w:spacing w:line="240" w:lineRule="auto" w:before="13"/>
        <w:rPr>
          <w:rFonts w:ascii="宋体" w:hAnsi="宋体" w:cs="宋体" w:eastAsia="宋体" w:hint="default"/>
          <w:sz w:val="7"/>
          <w:szCs w:val="7"/>
        </w:rPr>
      </w:pPr>
    </w:p>
    <w:tbl>
      <w:tblPr>
        <w:tblW w:w="0" w:type="auto"/>
        <w:jc w:val="left"/>
        <w:tblInd w:w="209" w:type="dxa"/>
        <w:tblLayout w:type="fixed"/>
        <w:tblCellMar>
          <w:top w:w="0" w:type="dxa"/>
          <w:left w:w="0" w:type="dxa"/>
          <w:bottom w:w="0" w:type="dxa"/>
          <w:right w:w="0" w:type="dxa"/>
        </w:tblCellMar>
        <w:tblLook w:val="01E0"/>
      </w:tblPr>
      <w:tblGrid>
        <w:gridCol w:w="4791"/>
        <w:gridCol w:w="4777"/>
      </w:tblGrid>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大信会计师事务所（特殊普通合伙）</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90</w:t>
            </w:r>
          </w:p>
        </w:tc>
      </w:tr>
      <w:tr>
        <w:trPr>
          <w:trHeight w:val="403"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2</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92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4791"/>
        <w:gridCol w:w="4777"/>
      </w:tblGrid>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陈菁佩、连伟</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当期是否改聘会计师事务所</w:t>
      </w:r>
    </w:p>
    <w:p>
      <w:pPr>
        <w:spacing w:line="338" w:lineRule="auto" w:before="117"/>
        <w:ind w:left="154" w:right="625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聘请内部控制审计会计师事务所、财务顾问或保荐人情况</w:t>
      </w:r>
    </w:p>
    <w:p>
      <w:pPr>
        <w:spacing w:before="4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十、年度报告披露后面临暂停上市和终止上市情况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十一、破产重整相关事项</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6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公司报告期未发生破产重整相关事项。</w:t>
      </w: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r>
        <w:rPr/>
        <w:t>十二、重大诉讼、仲裁事项</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60"/>
        <w:gridCol w:w="1072"/>
        <w:gridCol w:w="1248"/>
        <w:gridCol w:w="938"/>
        <w:gridCol w:w="1374"/>
        <w:gridCol w:w="1248"/>
        <w:gridCol w:w="1064"/>
        <w:gridCol w:w="1063"/>
      </w:tblGrid>
      <w:tr>
        <w:trPr>
          <w:trHeight w:val="714"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683" w:right="84" w:hanging="60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 况</w:t>
            </w:r>
          </w:p>
        </w:tc>
        <w:tc>
          <w:tcPr>
            <w:tcW w:w="10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350" w:right="23" w:hanging="328"/>
              <w:jc w:val="left"/>
              <w:rPr>
                <w:rFonts w:ascii="宋体" w:hAnsi="宋体" w:cs="宋体" w:eastAsia="宋体" w:hint="default"/>
                <w:sz w:val="18"/>
                <w:szCs w:val="18"/>
              </w:rPr>
            </w:pPr>
            <w:r>
              <w:rPr>
                <w:rFonts w:ascii="宋体" w:hAnsi="宋体" w:cs="宋体" w:eastAsia="宋体" w:hint="default"/>
                <w:spacing w:val="-11"/>
                <w:sz w:val="18"/>
                <w:szCs w:val="18"/>
              </w:rPr>
              <w:t>涉案金额（万</w:t>
            </w:r>
            <w:r>
              <w:rPr>
                <w:rFonts w:ascii="宋体" w:hAnsi="宋体" w:cs="宋体" w:eastAsia="宋体" w:hint="default"/>
                <w:sz w:val="18"/>
                <w:szCs w:val="18"/>
              </w:rPr>
              <w:t> 元）</w:t>
            </w:r>
          </w:p>
        </w:tc>
        <w:tc>
          <w:tcPr>
            <w:tcW w:w="12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437" w:right="78" w:hanging="360"/>
              <w:jc w:val="left"/>
              <w:rPr>
                <w:rFonts w:ascii="宋体" w:hAnsi="宋体" w:cs="宋体" w:eastAsia="宋体" w:hint="default"/>
                <w:sz w:val="18"/>
                <w:szCs w:val="18"/>
              </w:rPr>
            </w:pPr>
            <w:r>
              <w:rPr>
                <w:rFonts w:ascii="宋体" w:hAnsi="宋体" w:cs="宋体" w:eastAsia="宋体" w:hint="default"/>
                <w:sz w:val="18"/>
                <w:szCs w:val="18"/>
              </w:rPr>
              <w:t>是否形成预计 负债</w:t>
            </w:r>
          </w:p>
        </w:tc>
        <w:tc>
          <w:tcPr>
            <w:tcW w:w="9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84" w:right="42"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13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31" w:right="80" w:hanging="15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 结果及影响</w:t>
            </w:r>
          </w:p>
        </w:tc>
        <w:tc>
          <w:tcPr>
            <w:tcW w:w="12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168" w:right="108"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c>
          <w:tcPr>
            <w:tcW w:w="10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357" w:hRule="exact"/>
        </w:trPr>
        <w:tc>
          <w:tcPr>
            <w:tcW w:w="1560" w:type="dxa"/>
            <w:tcBorders>
              <w:top w:val="single" w:sz="4" w:space="0" w:color="000000"/>
              <w:left w:val="single" w:sz="4" w:space="0" w:color="000000"/>
              <w:bottom w:val="nil" w:sz="6" w:space="0" w:color="auto"/>
              <w:right w:val="single" w:sz="4" w:space="0" w:color="000000"/>
            </w:tcBorders>
          </w:tcPr>
          <w:p>
            <w:pPr/>
          </w:p>
        </w:tc>
        <w:tc>
          <w:tcPr>
            <w:tcW w:w="1072" w:type="dxa"/>
            <w:tcBorders>
              <w:top w:val="single" w:sz="4" w:space="0" w:color="000000"/>
              <w:left w:val="single" w:sz="4" w:space="0" w:color="000000"/>
              <w:bottom w:val="nil" w:sz="6" w:space="0" w:color="auto"/>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938" w:type="dxa"/>
            <w:tcBorders>
              <w:top w:val="single" w:sz="4" w:space="0" w:color="000000"/>
              <w:left w:val="single" w:sz="4" w:space="0" w:color="000000"/>
              <w:bottom w:val="nil" w:sz="6" w:space="0" w:color="auto"/>
              <w:right w:val="single" w:sz="4" w:space="0" w:color="000000"/>
            </w:tcBorders>
          </w:tcPr>
          <w:p>
            <w:pPr/>
          </w:p>
        </w:tc>
        <w:tc>
          <w:tcPr>
            <w:tcW w:w="13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公司胜诉后通过</w:t>
            </w:r>
          </w:p>
        </w:tc>
        <w:tc>
          <w:tcPr>
            <w:tcW w:w="1248" w:type="dxa"/>
            <w:tcBorders>
              <w:top w:val="single" w:sz="4" w:space="0" w:color="000000"/>
              <w:left w:val="single" w:sz="4" w:space="0" w:color="000000"/>
              <w:bottom w:val="nil" w:sz="6" w:space="0" w:color="auto"/>
              <w:right w:val="single" w:sz="4" w:space="0" w:color="000000"/>
            </w:tcBorders>
          </w:tcPr>
          <w:p>
            <w:pPr/>
          </w:p>
        </w:tc>
        <w:tc>
          <w:tcPr>
            <w:tcW w:w="10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2496"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2" w:right="85"/>
              <w:jc w:val="both"/>
              <w:rPr>
                <w:rFonts w:ascii="宋体" w:hAnsi="宋体" w:cs="宋体" w:eastAsia="宋体" w:hint="default"/>
                <w:sz w:val="18"/>
                <w:szCs w:val="18"/>
              </w:rPr>
            </w:pPr>
            <w:r>
              <w:rPr>
                <w:rFonts w:ascii="宋体" w:hAnsi="宋体" w:cs="宋体" w:eastAsia="宋体" w:hint="default"/>
                <w:sz w:val="18"/>
                <w:szCs w:val="18"/>
              </w:rPr>
              <w:t>安妮企业诉现成文 化、深圳艾迪芙合 同纠纷</w:t>
            </w:r>
          </w:p>
        </w:tc>
        <w:tc>
          <w:tcPr>
            <w:tcW w:w="107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915.12</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316" w:lineRule="auto"/>
              <w:ind w:left="22" w:right="185"/>
              <w:jc w:val="left"/>
              <w:rPr>
                <w:rFonts w:ascii="宋体" w:hAnsi="宋体" w:cs="宋体" w:eastAsia="宋体" w:hint="default"/>
                <w:sz w:val="18"/>
                <w:szCs w:val="18"/>
              </w:rPr>
            </w:pPr>
            <w:r>
              <w:rPr>
                <w:rFonts w:ascii="宋体" w:hAnsi="宋体" w:cs="宋体" w:eastAsia="宋体" w:hint="default"/>
                <w:sz w:val="18"/>
                <w:szCs w:val="18"/>
              </w:rPr>
              <w:t>强制执行 中</w:t>
            </w:r>
          </w:p>
        </w:tc>
        <w:tc>
          <w:tcPr>
            <w:tcW w:w="1374"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79"/>
              <w:jc w:val="left"/>
              <w:rPr>
                <w:rFonts w:ascii="宋体" w:hAnsi="宋体" w:cs="宋体" w:eastAsia="宋体" w:hint="default"/>
                <w:sz w:val="18"/>
                <w:szCs w:val="18"/>
              </w:rPr>
            </w:pPr>
            <w:r>
              <w:rPr>
                <w:rFonts w:ascii="宋体" w:hAnsi="宋体" w:cs="宋体" w:eastAsia="宋体" w:hint="default"/>
                <w:sz w:val="18"/>
                <w:szCs w:val="18"/>
              </w:rPr>
              <w:t>司法途径，已累 计收回款项</w:t>
            </w:r>
          </w:p>
          <w:p>
            <w:pPr>
              <w:pStyle w:val="TableParagraph"/>
              <w:spacing w:line="312" w:lineRule="auto" w:before="19"/>
              <w:ind w:left="22" w:right="79"/>
              <w:jc w:val="left"/>
              <w:rPr>
                <w:rFonts w:ascii="宋体" w:hAnsi="宋体" w:cs="宋体" w:eastAsia="宋体" w:hint="default"/>
                <w:sz w:val="18"/>
                <w:szCs w:val="18"/>
              </w:rPr>
            </w:pPr>
            <w:r>
              <w:rPr>
                <w:rFonts w:ascii="Times New Roman" w:hAnsi="Times New Roman" w:cs="Times New Roman" w:eastAsia="Times New Roman" w:hint="default"/>
                <w:sz w:val="18"/>
                <w:szCs w:val="18"/>
              </w:rPr>
              <w:t>832.08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万元。截 止本报告出具之 日，案件尚余 </w:t>
            </w:r>
            <w:r>
              <w:rPr>
                <w:rFonts w:ascii="Times New Roman" w:hAnsi="Times New Roman" w:cs="Times New Roman" w:eastAsia="Times New Roman" w:hint="default"/>
                <w:sz w:val="18"/>
                <w:szCs w:val="18"/>
              </w:rPr>
              <w:t>83.05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万元款项 未收回。目前案 件仍在强制执行</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316" w:lineRule="auto"/>
              <w:ind w:left="22" w:right="133"/>
              <w:jc w:val="left"/>
              <w:rPr>
                <w:rFonts w:ascii="宋体" w:hAnsi="宋体" w:cs="宋体" w:eastAsia="宋体" w:hint="default"/>
                <w:sz w:val="18"/>
                <w:szCs w:val="18"/>
              </w:rPr>
            </w:pPr>
            <w:r>
              <w:rPr>
                <w:rFonts w:ascii="宋体" w:hAnsi="宋体" w:cs="宋体" w:eastAsia="宋体" w:hint="default"/>
                <w:sz w:val="18"/>
                <w:szCs w:val="18"/>
              </w:rPr>
              <w:t>强制执行判决 书</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16" w:lineRule="auto" w:before="75"/>
              <w:ind w:left="22" w:right="38"/>
              <w:jc w:val="left"/>
              <w:rPr>
                <w:rFonts w:ascii="宋体" w:hAnsi="宋体" w:cs="宋体" w:eastAsia="宋体" w:hint="default"/>
                <w:sz w:val="18"/>
                <w:szCs w:val="18"/>
              </w:rPr>
            </w:pPr>
            <w:r>
              <w:rPr>
                <w:rFonts w:ascii="宋体" w:hAnsi="宋体" w:cs="宋体" w:eastAsia="宋体" w:hint="default"/>
                <w:sz w:val="18"/>
                <w:szCs w:val="18"/>
              </w:rPr>
              <w:t>《厦门安妮 股份有限公 司诉讼进展 </w:t>
            </w:r>
            <w:r>
              <w:rPr>
                <w:rFonts w:ascii="宋体" w:hAnsi="宋体" w:cs="宋体" w:eastAsia="宋体" w:hint="default"/>
                <w:spacing w:val="-15"/>
                <w:sz w:val="18"/>
                <w:szCs w:val="18"/>
              </w:rPr>
              <w:t>公告》（公告</w:t>
            </w:r>
            <w:r>
              <w:rPr>
                <w:rFonts w:ascii="宋体" w:hAnsi="宋体" w:cs="宋体" w:eastAsia="宋体" w:hint="default"/>
                <w:sz w:val="18"/>
                <w:szCs w:val="18"/>
              </w:rPr>
              <w:t> 编号：</w:t>
            </w:r>
          </w:p>
          <w:p>
            <w:pPr>
              <w:pStyle w:val="TableParagraph"/>
              <w:spacing w:line="240" w:lineRule="auto" w:before="2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2015-044</w:t>
            </w:r>
            <w:r>
              <w:rPr>
                <w:rFonts w:ascii="宋体" w:hAnsi="宋体" w:cs="宋体" w:eastAsia="宋体" w:hint="default"/>
                <w:sz w:val="18"/>
                <w:szCs w:val="18"/>
              </w:rPr>
              <w:t>）</w:t>
            </w:r>
          </w:p>
        </w:tc>
      </w:tr>
      <w:tr>
        <w:trPr>
          <w:trHeight w:val="357" w:hRule="exact"/>
        </w:trPr>
        <w:tc>
          <w:tcPr>
            <w:tcW w:w="1560" w:type="dxa"/>
            <w:tcBorders>
              <w:top w:val="nil" w:sz="6" w:space="0" w:color="auto"/>
              <w:left w:val="single" w:sz="4" w:space="0" w:color="000000"/>
              <w:bottom w:val="single" w:sz="4" w:space="0" w:color="000000"/>
              <w:right w:val="single" w:sz="4" w:space="0" w:color="000000"/>
            </w:tcBorders>
          </w:tcPr>
          <w:p>
            <w:pPr/>
          </w:p>
        </w:tc>
        <w:tc>
          <w:tcPr>
            <w:tcW w:w="1072" w:type="dxa"/>
            <w:tcBorders>
              <w:top w:val="nil" w:sz="6" w:space="0" w:color="auto"/>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938" w:type="dxa"/>
            <w:tcBorders>
              <w:top w:val="nil" w:sz="6" w:space="0" w:color="auto"/>
              <w:left w:val="single" w:sz="4" w:space="0" w:color="000000"/>
              <w:bottom w:val="single" w:sz="4" w:space="0" w:color="000000"/>
              <w:right w:val="single" w:sz="4" w:space="0" w:color="000000"/>
            </w:tcBorders>
          </w:tcPr>
          <w:p>
            <w:pPr/>
          </w:p>
        </w:tc>
        <w:tc>
          <w:tcPr>
            <w:tcW w:w="13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过程中。</w:t>
            </w:r>
          </w:p>
        </w:tc>
        <w:tc>
          <w:tcPr>
            <w:tcW w:w="1248" w:type="dxa"/>
            <w:tcBorders>
              <w:top w:val="nil" w:sz="6" w:space="0" w:color="auto"/>
              <w:left w:val="single" w:sz="4" w:space="0" w:color="000000"/>
              <w:bottom w:val="single" w:sz="4" w:space="0" w:color="000000"/>
              <w:right w:val="single" w:sz="4" w:space="0" w:color="000000"/>
            </w:tcBorders>
          </w:tcPr>
          <w:p>
            <w:pPr/>
          </w:p>
        </w:tc>
        <w:tc>
          <w:tcPr>
            <w:tcW w:w="10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196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85"/>
              <w:jc w:val="both"/>
              <w:rPr>
                <w:rFonts w:ascii="宋体" w:hAnsi="宋体" w:cs="宋体" w:eastAsia="宋体" w:hint="default"/>
                <w:sz w:val="18"/>
                <w:szCs w:val="18"/>
              </w:rPr>
            </w:pPr>
            <w:r>
              <w:rPr>
                <w:rFonts w:ascii="宋体" w:hAnsi="宋体" w:cs="宋体" w:eastAsia="宋体" w:hint="default"/>
                <w:sz w:val="18"/>
                <w:szCs w:val="18"/>
              </w:rPr>
              <w:t>厦门安妮股份有限 公司北京分公司与 北京旌旗源弘科贸 有限公司、李晶合 同纠纷</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144.44</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22" w:right="185"/>
              <w:jc w:val="left"/>
              <w:rPr>
                <w:rFonts w:ascii="宋体" w:hAnsi="宋体" w:cs="宋体" w:eastAsia="宋体" w:hint="default"/>
                <w:sz w:val="18"/>
                <w:szCs w:val="18"/>
              </w:rPr>
            </w:pPr>
            <w:r>
              <w:rPr>
                <w:rFonts w:ascii="宋体" w:hAnsi="宋体" w:cs="宋体" w:eastAsia="宋体" w:hint="default"/>
                <w:sz w:val="18"/>
                <w:szCs w:val="18"/>
              </w:rPr>
              <w:t>强制执行 中</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5"/>
              <w:jc w:val="both"/>
              <w:rPr>
                <w:rFonts w:ascii="Times New Roman" w:hAnsi="Times New Roman" w:cs="Times New Roman" w:eastAsia="Times New Roman" w:hint="default"/>
                <w:sz w:val="18"/>
                <w:szCs w:val="18"/>
              </w:rPr>
            </w:pPr>
            <w:r>
              <w:rPr>
                <w:rFonts w:ascii="宋体" w:hAnsi="宋体" w:cs="宋体" w:eastAsia="宋体" w:hint="default"/>
                <w:sz w:val="18"/>
                <w:szCs w:val="18"/>
              </w:rPr>
              <w:t>公司胜诉。目前 案件在强制执行 过程中。截止本 报告出具之日， 已收回</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56,229.24</w:t>
            </w:r>
          </w:p>
          <w:p>
            <w:pPr>
              <w:pStyle w:val="TableParagraph"/>
              <w:spacing w:line="240" w:lineRule="auto"/>
              <w:ind w:left="22" w:right="0"/>
              <w:jc w:val="both"/>
              <w:rPr>
                <w:rFonts w:ascii="宋体" w:hAnsi="宋体" w:cs="宋体" w:eastAsia="宋体" w:hint="default"/>
                <w:sz w:val="18"/>
                <w:szCs w:val="18"/>
              </w:rPr>
            </w:pPr>
            <w:r>
              <w:rPr>
                <w:rFonts w:ascii="宋体" w:hAnsi="宋体" w:cs="宋体" w:eastAsia="宋体" w:hint="default"/>
                <w:sz w:val="18"/>
                <w:szCs w:val="18"/>
              </w:rPr>
              <w:t>元。</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22" w:right="133"/>
              <w:jc w:val="left"/>
              <w:rPr>
                <w:rFonts w:ascii="宋体" w:hAnsi="宋体" w:cs="宋体" w:eastAsia="宋体" w:hint="default"/>
                <w:sz w:val="18"/>
                <w:szCs w:val="18"/>
              </w:rPr>
            </w:pPr>
            <w:r>
              <w:rPr>
                <w:rFonts w:ascii="宋体" w:hAnsi="宋体" w:cs="宋体" w:eastAsia="宋体" w:hint="default"/>
                <w:sz w:val="18"/>
                <w:szCs w:val="18"/>
              </w:rPr>
              <w:t>强制执行判决 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67" w:hRule="exact"/>
        </w:trPr>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北京至美数码防伪</w:t>
            </w:r>
          </w:p>
        </w:tc>
        <w:tc>
          <w:tcPr>
            <w:tcW w:w="1072" w:type="dxa"/>
            <w:tcBorders>
              <w:top w:val="single" w:sz="4" w:space="0" w:color="000000"/>
              <w:left w:val="single" w:sz="4" w:space="0" w:color="000000"/>
              <w:bottom w:val="nil" w:sz="6" w:space="0" w:color="auto"/>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938" w:type="dxa"/>
            <w:tcBorders>
              <w:top w:val="single" w:sz="4" w:space="0" w:color="000000"/>
              <w:left w:val="single" w:sz="4" w:space="0" w:color="000000"/>
              <w:bottom w:val="nil" w:sz="6" w:space="0" w:color="auto"/>
              <w:right w:val="single" w:sz="4" w:space="0" w:color="000000"/>
            </w:tcBorders>
          </w:tcPr>
          <w:p>
            <w:pPr/>
          </w:p>
        </w:tc>
        <w:tc>
          <w:tcPr>
            <w:tcW w:w="13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公司胜诉。目前</w:t>
            </w:r>
          </w:p>
        </w:tc>
        <w:tc>
          <w:tcPr>
            <w:tcW w:w="1248" w:type="dxa"/>
            <w:tcBorders>
              <w:top w:val="single" w:sz="4" w:space="0" w:color="000000"/>
              <w:left w:val="single" w:sz="4" w:space="0" w:color="000000"/>
              <w:bottom w:val="nil" w:sz="6" w:space="0" w:color="auto"/>
              <w:right w:val="single" w:sz="4" w:space="0" w:color="000000"/>
            </w:tcBorders>
          </w:tcPr>
          <w:p>
            <w:pPr/>
          </w:p>
        </w:tc>
        <w:tc>
          <w:tcPr>
            <w:tcW w:w="1064"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316" w:lineRule="auto"/>
              <w:ind w:left="22" w:right="85"/>
              <w:jc w:val="both"/>
              <w:rPr>
                <w:rFonts w:ascii="宋体" w:hAnsi="宋体" w:cs="宋体" w:eastAsia="宋体" w:hint="default"/>
                <w:sz w:val="18"/>
                <w:szCs w:val="18"/>
              </w:rPr>
            </w:pPr>
            <w:r>
              <w:rPr>
                <w:rFonts w:ascii="宋体" w:hAnsi="宋体" w:cs="宋体" w:eastAsia="宋体" w:hint="default"/>
                <w:sz w:val="18"/>
                <w:szCs w:val="18"/>
              </w:rPr>
              <w:t>印务有限公司与北 京旌旗源弘科贸有 限公司、李晶合同</w:t>
            </w:r>
          </w:p>
        </w:tc>
        <w:tc>
          <w:tcPr>
            <w:tcW w:w="107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47.84</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nil" w:sz="6" w:space="0" w:color="auto"/>
              <w:left w:val="single" w:sz="4" w:space="0" w:color="000000"/>
              <w:bottom w:val="nil" w:sz="6" w:space="0" w:color="auto"/>
              <w:right w:val="single" w:sz="4" w:space="0" w:color="000000"/>
            </w:tcBorders>
          </w:tcPr>
          <w:p>
            <w:pPr>
              <w:pStyle w:val="TableParagraph"/>
              <w:spacing w:line="316" w:lineRule="auto" w:before="157"/>
              <w:ind w:left="22" w:right="185"/>
              <w:jc w:val="left"/>
              <w:rPr>
                <w:rFonts w:ascii="宋体" w:hAnsi="宋体" w:cs="宋体" w:eastAsia="宋体" w:hint="default"/>
                <w:sz w:val="18"/>
                <w:szCs w:val="18"/>
              </w:rPr>
            </w:pPr>
            <w:r>
              <w:rPr>
                <w:rFonts w:ascii="宋体" w:hAnsi="宋体" w:cs="宋体" w:eastAsia="宋体" w:hint="default"/>
                <w:sz w:val="18"/>
                <w:szCs w:val="18"/>
              </w:rPr>
              <w:t>强制执行 中</w:t>
            </w:r>
          </w:p>
        </w:tc>
        <w:tc>
          <w:tcPr>
            <w:tcW w:w="1374" w:type="dxa"/>
            <w:tcBorders>
              <w:top w:val="nil" w:sz="6" w:space="0" w:color="auto"/>
              <w:left w:val="single" w:sz="4" w:space="0" w:color="000000"/>
              <w:bottom w:val="nil" w:sz="6" w:space="0" w:color="auto"/>
              <w:right w:val="single" w:sz="4" w:space="0" w:color="000000"/>
            </w:tcBorders>
          </w:tcPr>
          <w:p>
            <w:pPr>
              <w:pStyle w:val="TableParagraph"/>
              <w:spacing w:line="316" w:lineRule="auto" w:before="20"/>
              <w:ind w:left="22" w:right="79"/>
              <w:jc w:val="both"/>
              <w:rPr>
                <w:rFonts w:ascii="宋体" w:hAnsi="宋体" w:cs="宋体" w:eastAsia="宋体" w:hint="default"/>
                <w:sz w:val="18"/>
                <w:szCs w:val="18"/>
              </w:rPr>
            </w:pPr>
            <w:r>
              <w:rPr>
                <w:rFonts w:ascii="宋体" w:hAnsi="宋体" w:cs="宋体" w:eastAsia="宋体" w:hint="default"/>
                <w:sz w:val="18"/>
                <w:szCs w:val="18"/>
              </w:rPr>
              <w:t>案件在强制执行 过程中。截止本 报告出具之日，</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316" w:lineRule="auto" w:before="157"/>
              <w:ind w:left="22" w:right="133"/>
              <w:jc w:val="left"/>
              <w:rPr>
                <w:rFonts w:ascii="宋体" w:hAnsi="宋体" w:cs="宋体" w:eastAsia="宋体" w:hint="default"/>
                <w:sz w:val="18"/>
                <w:szCs w:val="18"/>
              </w:rPr>
            </w:pPr>
            <w:r>
              <w:rPr>
                <w:rFonts w:ascii="宋体" w:hAnsi="宋体" w:cs="宋体" w:eastAsia="宋体" w:hint="default"/>
                <w:sz w:val="18"/>
                <w:szCs w:val="18"/>
              </w:rPr>
              <w:t>强制执行判决 书</w:t>
            </w:r>
          </w:p>
        </w:tc>
        <w:tc>
          <w:tcPr>
            <w:tcW w:w="1064"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47" w:hRule="exact"/>
        </w:trPr>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纠纷</w:t>
            </w:r>
          </w:p>
        </w:tc>
        <w:tc>
          <w:tcPr>
            <w:tcW w:w="1072" w:type="dxa"/>
            <w:tcBorders>
              <w:top w:val="nil" w:sz="6" w:space="0" w:color="auto"/>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938" w:type="dxa"/>
            <w:tcBorders>
              <w:top w:val="nil" w:sz="6" w:space="0" w:color="auto"/>
              <w:left w:val="single" w:sz="4" w:space="0" w:color="000000"/>
              <w:bottom w:val="single" w:sz="4" w:space="0" w:color="000000"/>
              <w:right w:val="single" w:sz="4" w:space="0" w:color="000000"/>
            </w:tcBorders>
          </w:tcPr>
          <w:p>
            <w:pPr/>
          </w:p>
        </w:tc>
        <w:tc>
          <w:tcPr>
            <w:tcW w:w="13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已收回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61,450</w:t>
            </w:r>
          </w:p>
        </w:tc>
        <w:tc>
          <w:tcPr>
            <w:tcW w:w="1248" w:type="dxa"/>
            <w:tcBorders>
              <w:top w:val="nil" w:sz="6" w:space="0" w:color="auto"/>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560"/>
        <w:gridCol w:w="1072"/>
        <w:gridCol w:w="1248"/>
        <w:gridCol w:w="938"/>
        <w:gridCol w:w="1374"/>
        <w:gridCol w:w="1248"/>
        <w:gridCol w:w="1064"/>
        <w:gridCol w:w="1063"/>
      </w:tblGrid>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
        </w:tc>
        <w:tc>
          <w:tcPr>
            <w:tcW w:w="107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248"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both"/>
              <w:rPr>
                <w:rFonts w:ascii="宋体" w:hAnsi="宋体" w:cs="宋体" w:eastAsia="宋体" w:hint="default"/>
                <w:sz w:val="18"/>
                <w:szCs w:val="18"/>
              </w:rPr>
            </w:pPr>
            <w:r>
              <w:rPr>
                <w:rFonts w:ascii="宋体" w:hAnsi="宋体" w:cs="宋体" w:eastAsia="宋体" w:hint="default"/>
                <w:sz w:val="18"/>
                <w:szCs w:val="18"/>
              </w:rPr>
              <w:t>安妮（香港）有限 公司与刘正君买卖 合同纠纷</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43" w:right="0"/>
              <w:jc w:val="left"/>
              <w:rPr>
                <w:rFonts w:ascii="Times New Roman" w:hAnsi="Times New Roman" w:cs="Times New Roman" w:eastAsia="Times New Roman" w:hint="default"/>
                <w:sz w:val="18"/>
                <w:szCs w:val="18"/>
              </w:rPr>
            </w:pPr>
            <w:r>
              <w:rPr>
                <w:rFonts w:ascii="Times New Roman"/>
                <w:sz w:val="18"/>
              </w:rPr>
              <w:t>162.29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85"/>
              <w:jc w:val="left"/>
              <w:rPr>
                <w:rFonts w:ascii="宋体" w:hAnsi="宋体" w:cs="宋体" w:eastAsia="宋体" w:hint="default"/>
                <w:sz w:val="18"/>
                <w:szCs w:val="18"/>
              </w:rPr>
            </w:pPr>
            <w:r>
              <w:rPr>
                <w:rFonts w:ascii="宋体" w:hAnsi="宋体" w:cs="宋体" w:eastAsia="宋体" w:hint="default"/>
                <w:sz w:val="18"/>
                <w:szCs w:val="18"/>
              </w:rPr>
              <w:t>强制执行 中</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9"/>
              <w:jc w:val="both"/>
              <w:rPr>
                <w:rFonts w:ascii="宋体" w:hAnsi="宋体" w:cs="宋体" w:eastAsia="宋体" w:hint="default"/>
                <w:sz w:val="18"/>
                <w:szCs w:val="18"/>
              </w:rPr>
            </w:pPr>
            <w:r>
              <w:rPr>
                <w:rFonts w:ascii="宋体" w:hAnsi="宋体" w:cs="宋体" w:eastAsia="宋体" w:hint="default"/>
                <w:sz w:val="18"/>
                <w:szCs w:val="18"/>
              </w:rPr>
              <w:t>公司胜诉。目前 案件在强制执行 过程中。</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33"/>
              <w:jc w:val="left"/>
              <w:rPr>
                <w:rFonts w:ascii="宋体" w:hAnsi="宋体" w:cs="宋体" w:eastAsia="宋体" w:hint="default"/>
                <w:sz w:val="18"/>
                <w:szCs w:val="18"/>
              </w:rPr>
            </w:pPr>
            <w:r>
              <w:rPr>
                <w:rFonts w:ascii="宋体" w:hAnsi="宋体" w:cs="宋体" w:eastAsia="宋体" w:hint="default"/>
                <w:sz w:val="18"/>
                <w:szCs w:val="18"/>
              </w:rPr>
              <w:t>强制执行判决 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8"/>
          <w:szCs w:val="18"/>
        </w:rPr>
      </w:pPr>
    </w:p>
    <w:p>
      <w:pPr>
        <w:pStyle w:val="Heading2"/>
        <w:spacing w:line="240" w:lineRule="auto" w:before="26"/>
        <w:ind w:right="0"/>
        <w:jc w:val="both"/>
        <w:rPr>
          <w:b w:val="0"/>
          <w:bCs w:val="0"/>
        </w:rPr>
      </w:pPr>
      <w:r>
        <w:rPr/>
        <w:t>十三、处罚及整改情况</w:t>
      </w:r>
      <w:r>
        <w:rPr>
          <w:b w:val="0"/>
          <w:bCs w:val="0"/>
        </w:rPr>
      </w:r>
    </w:p>
    <w:p>
      <w:pPr>
        <w:spacing w:line="240" w:lineRule="auto" w:before="7"/>
        <w:rPr>
          <w:rFonts w:ascii="宋体" w:hAnsi="宋体" w:cs="宋体" w:eastAsia="宋体" w:hint="default"/>
          <w:b/>
          <w:bCs/>
          <w:sz w:val="26"/>
          <w:szCs w:val="26"/>
        </w:rPr>
      </w:pPr>
    </w:p>
    <w:p>
      <w:pPr>
        <w:spacing w:line="338" w:lineRule="auto" w:before="0"/>
        <w:ind w:left="154" w:right="787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公司报告期不存在处罚及整改情况。</w:t>
      </w:r>
    </w:p>
    <w:p>
      <w:pPr>
        <w:spacing w:line="240" w:lineRule="auto" w:before="6"/>
        <w:rPr>
          <w:rFonts w:ascii="宋体" w:hAnsi="宋体" w:cs="宋体" w:eastAsia="宋体" w:hint="default"/>
          <w:sz w:val="19"/>
          <w:szCs w:val="19"/>
        </w:rPr>
      </w:pPr>
    </w:p>
    <w:p>
      <w:pPr>
        <w:pStyle w:val="Heading2"/>
        <w:spacing w:line="240" w:lineRule="auto"/>
        <w:ind w:right="0"/>
        <w:jc w:val="both"/>
        <w:rPr>
          <w:b w:val="0"/>
          <w:bCs w:val="0"/>
        </w:rPr>
      </w:pPr>
      <w:r>
        <w:rPr/>
        <w:t>十四、公司及其控股股东、实际控制人的诚信状况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both"/>
        <w:rPr>
          <w:b w:val="0"/>
          <w:bCs w:val="0"/>
        </w:rPr>
      </w:pPr>
      <w:r>
        <w:rPr/>
        <w:t>十五、公司股权激励计划、员工持股计划或其他员工激励措施的实施情况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3"/>
          <w:szCs w:val="13"/>
        </w:rPr>
      </w:pPr>
    </w:p>
    <w:p>
      <w:pPr>
        <w:spacing w:line="477" w:lineRule="auto" w:before="0"/>
        <w:ind w:left="154" w:right="1131" w:firstLine="360"/>
        <w:jc w:val="both"/>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6"/>
          <w:sz w:val="18"/>
          <w:szCs w:val="18"/>
        </w:rPr>
        <w:t> </w:t>
      </w:r>
      <w:r>
        <w:rPr>
          <w:rFonts w:ascii="宋体" w:hAnsi="宋体" w:cs="宋体" w:eastAsia="宋体" w:hint="default"/>
          <w:sz w:val="18"/>
          <w:szCs w:val="18"/>
        </w:rPr>
        <w:t>日召开</w:t>
      </w:r>
      <w:r>
        <w:rPr>
          <w:rFonts w:ascii="宋体" w:hAnsi="宋体" w:cs="宋体" w:eastAsia="宋体" w:hint="default"/>
          <w:spacing w:val="-45"/>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年第一次临时股东大会，审议通过了《厦门安妮股份有限公司&lt;2017</w:t>
      </w:r>
      <w:r>
        <w:rPr>
          <w:rFonts w:ascii="宋体" w:hAnsi="宋体" w:cs="宋体" w:eastAsia="宋体" w:hint="default"/>
          <w:spacing w:val="-46"/>
          <w:sz w:val="18"/>
          <w:szCs w:val="18"/>
        </w:rPr>
        <w:t> </w:t>
      </w:r>
      <w:r>
        <w:rPr>
          <w:rFonts w:ascii="宋体" w:hAnsi="宋体" w:cs="宋体" w:eastAsia="宋体" w:hint="default"/>
          <w:sz w:val="18"/>
          <w:szCs w:val="18"/>
        </w:rPr>
        <w:t>年股票期权与</w:t>
      </w:r>
      <w:r>
        <w:rPr>
          <w:rFonts w:ascii="宋体" w:hAnsi="宋体" w:cs="宋体" w:eastAsia="宋体" w:hint="default"/>
          <w:sz w:val="18"/>
          <w:szCs w:val="18"/>
        </w:rPr>
        <w:t> 限制性股票激励计划》，拟向激励对象授予权益总计</w:t>
      </w:r>
      <w:r>
        <w:rPr>
          <w:rFonts w:ascii="宋体" w:hAnsi="宋体" w:cs="宋体" w:eastAsia="宋体" w:hint="default"/>
          <w:spacing w:val="-46"/>
          <w:sz w:val="18"/>
          <w:szCs w:val="18"/>
        </w:rPr>
        <w:t> </w:t>
      </w:r>
      <w:r>
        <w:rPr>
          <w:rFonts w:ascii="宋体" w:hAnsi="宋体" w:cs="宋体" w:eastAsia="宋体" w:hint="default"/>
          <w:sz w:val="18"/>
          <w:szCs w:val="18"/>
        </w:rPr>
        <w:t>600</w:t>
      </w:r>
      <w:r>
        <w:rPr>
          <w:rFonts w:ascii="宋体" w:hAnsi="宋体" w:cs="宋体" w:eastAsia="宋体" w:hint="default"/>
          <w:spacing w:val="-46"/>
          <w:sz w:val="18"/>
          <w:szCs w:val="18"/>
        </w:rPr>
        <w:t> </w:t>
      </w:r>
      <w:r>
        <w:rPr>
          <w:rFonts w:ascii="宋体" w:hAnsi="宋体" w:cs="宋体" w:eastAsia="宋体" w:hint="default"/>
          <w:sz w:val="18"/>
          <w:szCs w:val="18"/>
        </w:rPr>
        <w:t>万份，涉及的标的股票种类为人民币</w:t>
      </w:r>
      <w:r>
        <w:rPr>
          <w:rFonts w:ascii="宋体" w:hAnsi="宋体" w:cs="宋体" w:eastAsia="宋体" w:hint="default"/>
          <w:spacing w:val="-46"/>
          <w:sz w:val="18"/>
          <w:szCs w:val="18"/>
        </w:rPr>
        <w:t> </w:t>
      </w:r>
      <w:r>
        <w:rPr>
          <w:rFonts w:ascii="宋体" w:hAnsi="宋体" w:cs="宋体" w:eastAsia="宋体" w:hint="default"/>
          <w:sz w:val="18"/>
          <w:szCs w:val="18"/>
        </w:rPr>
        <w:t>A 股普通股，约占本激励计</w:t>
      </w:r>
      <w:r>
        <w:rPr>
          <w:rFonts w:ascii="宋体" w:hAnsi="宋体" w:cs="宋体" w:eastAsia="宋体" w:hint="default"/>
          <w:sz w:val="18"/>
          <w:szCs w:val="18"/>
        </w:rPr>
        <w:t> 划签署时公司股本总额</w:t>
      </w:r>
      <w:r>
        <w:rPr>
          <w:rFonts w:ascii="宋体" w:hAnsi="宋体" w:cs="宋体" w:eastAsia="宋体" w:hint="default"/>
          <w:spacing w:val="-53"/>
          <w:sz w:val="18"/>
          <w:szCs w:val="18"/>
        </w:rPr>
        <w:t> </w:t>
      </w:r>
      <w:r>
        <w:rPr>
          <w:rFonts w:ascii="宋体" w:hAnsi="宋体" w:cs="宋体" w:eastAsia="宋体" w:hint="default"/>
          <w:sz w:val="18"/>
          <w:szCs w:val="18"/>
        </w:rPr>
        <w:t>41373.65</w:t>
      </w:r>
      <w:r>
        <w:rPr>
          <w:rFonts w:ascii="宋体" w:hAnsi="宋体" w:cs="宋体" w:eastAsia="宋体" w:hint="default"/>
          <w:spacing w:val="-53"/>
          <w:sz w:val="18"/>
          <w:szCs w:val="18"/>
        </w:rPr>
        <w:t> </w:t>
      </w:r>
      <w:r>
        <w:rPr>
          <w:rFonts w:ascii="宋体" w:hAnsi="宋体" w:cs="宋体" w:eastAsia="宋体" w:hint="default"/>
          <w:sz w:val="18"/>
          <w:szCs w:val="18"/>
        </w:rPr>
        <w:t>万股的</w:t>
      </w:r>
      <w:r>
        <w:rPr>
          <w:rFonts w:ascii="宋体" w:hAnsi="宋体" w:cs="宋体" w:eastAsia="宋体" w:hint="default"/>
          <w:spacing w:val="-53"/>
          <w:sz w:val="18"/>
          <w:szCs w:val="18"/>
        </w:rPr>
        <w:t> </w:t>
      </w:r>
      <w:r>
        <w:rPr>
          <w:rFonts w:ascii="宋体" w:hAnsi="宋体" w:cs="宋体" w:eastAsia="宋体" w:hint="default"/>
          <w:sz w:val="18"/>
          <w:szCs w:val="18"/>
        </w:rPr>
        <w:t>1.45%。具体如下：1、股票期权激励计划：公司拟向激励对象授予</w:t>
      </w:r>
      <w:r>
        <w:rPr>
          <w:rFonts w:ascii="宋体" w:hAnsi="宋体" w:cs="宋体" w:eastAsia="宋体" w:hint="default"/>
          <w:spacing w:val="-53"/>
          <w:sz w:val="18"/>
          <w:szCs w:val="18"/>
        </w:rPr>
        <w:t> </w:t>
      </w:r>
      <w:r>
        <w:rPr>
          <w:rFonts w:ascii="宋体" w:hAnsi="宋体" w:cs="宋体" w:eastAsia="宋体" w:hint="default"/>
          <w:sz w:val="18"/>
          <w:szCs w:val="18"/>
        </w:rPr>
        <w:t>375</w:t>
      </w:r>
      <w:r>
        <w:rPr>
          <w:rFonts w:ascii="宋体" w:hAnsi="宋体" w:cs="宋体" w:eastAsia="宋体" w:hint="default"/>
          <w:spacing w:val="-53"/>
          <w:sz w:val="18"/>
          <w:szCs w:val="18"/>
        </w:rPr>
        <w:t> </w:t>
      </w:r>
      <w:r>
        <w:rPr>
          <w:rFonts w:ascii="宋体" w:hAnsi="宋体" w:cs="宋体" w:eastAsia="宋体" w:hint="default"/>
          <w:sz w:val="18"/>
          <w:szCs w:val="18"/>
        </w:rPr>
        <w:t>万份股票期</w:t>
      </w:r>
      <w:r>
        <w:rPr>
          <w:rFonts w:ascii="宋体" w:hAnsi="宋体" w:cs="宋体" w:eastAsia="宋体" w:hint="default"/>
          <w:sz w:val="18"/>
          <w:szCs w:val="18"/>
        </w:rPr>
        <w:t> 权，涉及的标的股票种类为人民币</w:t>
      </w:r>
      <w:r>
        <w:rPr>
          <w:rFonts w:ascii="宋体" w:hAnsi="宋体" w:cs="宋体" w:eastAsia="宋体" w:hint="default"/>
          <w:spacing w:val="-46"/>
          <w:sz w:val="18"/>
          <w:szCs w:val="18"/>
        </w:rPr>
        <w:t> </w:t>
      </w:r>
      <w:r>
        <w:rPr>
          <w:rFonts w:ascii="宋体" w:hAnsi="宋体" w:cs="宋体" w:eastAsia="宋体" w:hint="default"/>
          <w:sz w:val="18"/>
          <w:szCs w:val="18"/>
        </w:rPr>
        <w:t>A 股普通股，约占本激励计划签署时公司股本总额</w:t>
      </w:r>
      <w:r>
        <w:rPr>
          <w:rFonts w:ascii="宋体" w:hAnsi="宋体" w:cs="宋体" w:eastAsia="宋体" w:hint="default"/>
          <w:spacing w:val="-46"/>
          <w:sz w:val="18"/>
          <w:szCs w:val="18"/>
        </w:rPr>
        <w:t> </w:t>
      </w:r>
      <w:r>
        <w:rPr>
          <w:rFonts w:ascii="宋体" w:hAnsi="宋体" w:cs="宋体" w:eastAsia="宋体" w:hint="default"/>
          <w:sz w:val="18"/>
          <w:szCs w:val="18"/>
        </w:rPr>
        <w:t>41373.65</w:t>
      </w:r>
      <w:r>
        <w:rPr>
          <w:rFonts w:ascii="宋体" w:hAnsi="宋体" w:cs="宋体" w:eastAsia="宋体" w:hint="default"/>
          <w:spacing w:val="-46"/>
          <w:sz w:val="18"/>
          <w:szCs w:val="18"/>
        </w:rPr>
        <w:t> </w:t>
      </w:r>
      <w:r>
        <w:rPr>
          <w:rFonts w:ascii="宋体" w:hAnsi="宋体" w:cs="宋体" w:eastAsia="宋体" w:hint="default"/>
          <w:sz w:val="18"/>
          <w:szCs w:val="18"/>
        </w:rPr>
        <w:t>万股的</w:t>
      </w:r>
      <w:r>
        <w:rPr>
          <w:rFonts w:ascii="宋体" w:hAnsi="宋体" w:cs="宋体" w:eastAsia="宋体" w:hint="default"/>
          <w:spacing w:val="-46"/>
          <w:sz w:val="18"/>
          <w:szCs w:val="18"/>
        </w:rPr>
        <w:t> </w:t>
      </w:r>
      <w:r>
        <w:rPr>
          <w:rFonts w:ascii="宋体" w:hAnsi="宋体" w:cs="宋体" w:eastAsia="宋体" w:hint="default"/>
          <w:sz w:val="18"/>
          <w:szCs w:val="18"/>
        </w:rPr>
        <w:t>0.91%。在满足行权</w:t>
      </w:r>
      <w:r>
        <w:rPr>
          <w:rFonts w:ascii="宋体" w:hAnsi="宋体" w:cs="宋体" w:eastAsia="宋体" w:hint="default"/>
          <w:sz w:val="18"/>
          <w:szCs w:val="18"/>
        </w:rPr>
        <w:t> 条件的情况下，激励对象获授的每一份股票期权拥有在有效期内以行权价格购买</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股公司股票的权利。2、限制性股票激励</w:t>
      </w:r>
    </w:p>
    <w:p>
      <w:pPr>
        <w:spacing w:before="54"/>
        <w:ind w:left="154" w:right="0" w:firstLine="0"/>
        <w:jc w:val="both"/>
        <w:rPr>
          <w:rFonts w:ascii="宋体" w:hAnsi="宋体" w:cs="宋体" w:eastAsia="宋体" w:hint="default"/>
          <w:sz w:val="18"/>
          <w:szCs w:val="18"/>
        </w:rPr>
      </w:pPr>
      <w:r>
        <w:rPr>
          <w:rFonts w:ascii="宋体" w:hAnsi="宋体" w:cs="宋体" w:eastAsia="宋体" w:hint="default"/>
          <w:sz w:val="18"/>
          <w:szCs w:val="18"/>
        </w:rPr>
        <w:t>计划：公司拟向激励对象授予</w:t>
      </w:r>
      <w:r>
        <w:rPr>
          <w:rFonts w:ascii="宋体" w:hAnsi="宋体" w:cs="宋体" w:eastAsia="宋体" w:hint="default"/>
          <w:spacing w:val="-46"/>
          <w:sz w:val="18"/>
          <w:szCs w:val="18"/>
        </w:rPr>
        <w:t> </w:t>
      </w:r>
      <w:r>
        <w:rPr>
          <w:rFonts w:ascii="宋体" w:hAnsi="宋体" w:cs="宋体" w:eastAsia="宋体" w:hint="default"/>
          <w:sz w:val="18"/>
          <w:szCs w:val="18"/>
        </w:rPr>
        <w:t>225</w:t>
      </w:r>
      <w:r>
        <w:rPr>
          <w:rFonts w:ascii="宋体" w:hAnsi="宋体" w:cs="宋体" w:eastAsia="宋体" w:hint="default"/>
          <w:spacing w:val="-46"/>
          <w:sz w:val="18"/>
          <w:szCs w:val="18"/>
        </w:rPr>
        <w:t> </w:t>
      </w:r>
      <w:r>
        <w:rPr>
          <w:rFonts w:ascii="宋体" w:hAnsi="宋体" w:cs="宋体" w:eastAsia="宋体" w:hint="default"/>
          <w:sz w:val="18"/>
          <w:szCs w:val="18"/>
        </w:rPr>
        <w:t>万股公司限制性股票，占本激励计划签署时公司股本总额</w:t>
      </w:r>
      <w:r>
        <w:rPr>
          <w:rFonts w:ascii="宋体" w:hAnsi="宋体" w:cs="宋体" w:eastAsia="宋体" w:hint="default"/>
          <w:spacing w:val="-46"/>
          <w:sz w:val="18"/>
          <w:szCs w:val="18"/>
        </w:rPr>
        <w:t> </w:t>
      </w:r>
      <w:r>
        <w:rPr>
          <w:rFonts w:ascii="宋体" w:hAnsi="宋体" w:cs="宋体" w:eastAsia="宋体" w:hint="default"/>
          <w:sz w:val="18"/>
          <w:szCs w:val="18"/>
        </w:rPr>
        <w:t>41373.65</w:t>
      </w:r>
      <w:r>
        <w:rPr>
          <w:rFonts w:ascii="宋体" w:hAnsi="宋体" w:cs="宋体" w:eastAsia="宋体" w:hint="default"/>
          <w:spacing w:val="-46"/>
          <w:sz w:val="18"/>
          <w:szCs w:val="18"/>
        </w:rPr>
        <w:t> </w:t>
      </w:r>
      <w:r>
        <w:rPr>
          <w:rFonts w:ascii="宋体" w:hAnsi="宋体" w:cs="宋体" w:eastAsia="宋体" w:hint="default"/>
          <w:sz w:val="18"/>
          <w:szCs w:val="18"/>
        </w:rPr>
        <w:t>万股的</w:t>
      </w:r>
      <w:r>
        <w:rPr>
          <w:rFonts w:ascii="宋体" w:hAnsi="宋体" w:cs="宋体" w:eastAsia="宋体" w:hint="default"/>
          <w:spacing w:val="-46"/>
          <w:sz w:val="18"/>
          <w:szCs w:val="18"/>
        </w:rPr>
        <w:t> </w:t>
      </w:r>
      <w:r>
        <w:rPr>
          <w:rFonts w:ascii="宋体" w:hAnsi="宋体" w:cs="宋体" w:eastAsia="宋体" w:hint="default"/>
          <w:sz w:val="18"/>
          <w:szCs w:val="18"/>
        </w:rPr>
        <w:t>0.54%。具体</w:t>
      </w:r>
    </w:p>
    <w:p>
      <w:pPr>
        <w:spacing w:line="240" w:lineRule="auto" w:before="10"/>
        <w:rPr>
          <w:rFonts w:ascii="宋体" w:hAnsi="宋体" w:cs="宋体" w:eastAsia="宋体" w:hint="default"/>
          <w:sz w:val="17"/>
          <w:szCs w:val="17"/>
        </w:rPr>
      </w:pPr>
    </w:p>
    <w:p>
      <w:pPr>
        <w:spacing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详见公司</w:t>
      </w:r>
      <w:r>
        <w:rPr>
          <w:rFonts w:ascii="宋体" w:hAnsi="宋体" w:cs="宋体" w:eastAsia="宋体" w:hint="default"/>
          <w:spacing w:val="-47"/>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6</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7"/>
          <w:sz w:val="18"/>
          <w:szCs w:val="18"/>
        </w:rPr>
        <w:t> </w:t>
      </w:r>
      <w:r>
        <w:rPr>
          <w:rFonts w:ascii="宋体" w:hAnsi="宋体" w:cs="宋体" w:eastAsia="宋体" w:hint="default"/>
          <w:sz w:val="18"/>
          <w:szCs w:val="18"/>
        </w:rPr>
        <w:t>日披露的《厦门安妮股份有限公司</w:t>
      </w:r>
      <w:r>
        <w:rPr>
          <w:rFonts w:ascii="宋体" w:hAnsi="宋体" w:cs="宋体" w:eastAsia="宋体" w:hint="default"/>
          <w:spacing w:val="-47"/>
          <w:sz w:val="18"/>
          <w:szCs w:val="18"/>
        </w:rPr>
        <w:t> </w:t>
      </w:r>
      <w:r>
        <w:rPr>
          <w:rFonts w:ascii="宋体" w:hAnsi="宋体" w:cs="宋体" w:eastAsia="宋体" w:hint="default"/>
          <w:sz w:val="18"/>
          <w:szCs w:val="18"/>
        </w:rPr>
        <w:t>2017</w:t>
      </w:r>
      <w:r>
        <w:rPr>
          <w:rFonts w:ascii="宋体" w:hAnsi="宋体" w:cs="宋体" w:eastAsia="宋体" w:hint="default"/>
          <w:spacing w:val="-47"/>
          <w:sz w:val="18"/>
          <w:szCs w:val="18"/>
        </w:rPr>
        <w:t> </w:t>
      </w:r>
      <w:r>
        <w:rPr>
          <w:rFonts w:ascii="宋体" w:hAnsi="宋体" w:cs="宋体" w:eastAsia="宋体" w:hint="default"/>
          <w:spacing w:val="-3"/>
          <w:sz w:val="18"/>
          <w:szCs w:val="18"/>
        </w:rPr>
        <w:t>年股票期权与限制性股票激励计划（草案）》、《厦门安妮</w:t>
      </w:r>
    </w:p>
    <w:p>
      <w:pPr>
        <w:spacing w:line="240" w:lineRule="auto" w:before="10"/>
        <w:rPr>
          <w:rFonts w:ascii="宋体" w:hAnsi="宋体" w:cs="宋体" w:eastAsia="宋体" w:hint="default"/>
          <w:sz w:val="17"/>
          <w:szCs w:val="17"/>
        </w:rPr>
      </w:pPr>
    </w:p>
    <w:p>
      <w:pPr>
        <w:spacing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股有限公司第四届董事会第八次会议决议公告》（公告编号：2017-027）及</w:t>
      </w:r>
      <w:r>
        <w:rPr>
          <w:rFonts w:ascii="宋体" w:hAnsi="宋体" w:cs="宋体" w:eastAsia="宋体" w:hint="default"/>
          <w:spacing w:val="-60"/>
          <w:sz w:val="18"/>
          <w:szCs w:val="18"/>
        </w:rPr>
        <w:t> </w:t>
      </w:r>
      <w:r>
        <w:rPr>
          <w:rFonts w:ascii="宋体" w:hAnsi="宋体" w:cs="宋体" w:eastAsia="宋体" w:hint="default"/>
          <w:sz w:val="18"/>
          <w:szCs w:val="18"/>
        </w:rPr>
        <w:t>2017</w:t>
      </w:r>
      <w:r>
        <w:rPr>
          <w:rFonts w:ascii="宋体" w:hAnsi="宋体" w:cs="宋体" w:eastAsia="宋体" w:hint="default"/>
          <w:spacing w:val="-60"/>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宋体" w:hAnsi="宋体" w:cs="宋体" w:eastAsia="宋体" w:hint="default"/>
          <w:sz w:val="18"/>
          <w:szCs w:val="18"/>
        </w:rPr>
        <w:t>6</w:t>
      </w:r>
      <w:r>
        <w:rPr>
          <w:rFonts w:ascii="宋体" w:hAnsi="宋体" w:cs="宋体" w:eastAsia="宋体" w:hint="default"/>
          <w:spacing w:val="-60"/>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宋体" w:hAnsi="宋体" w:cs="宋体" w:eastAsia="宋体" w:hint="default"/>
          <w:sz w:val="18"/>
          <w:szCs w:val="18"/>
        </w:rPr>
        <w:t>26</w:t>
      </w:r>
      <w:r>
        <w:rPr>
          <w:rFonts w:ascii="宋体" w:hAnsi="宋体" w:cs="宋体" w:eastAsia="宋体" w:hint="default"/>
          <w:spacing w:val="-60"/>
          <w:sz w:val="18"/>
          <w:szCs w:val="18"/>
        </w:rPr>
        <w:t> </w:t>
      </w:r>
      <w:r>
        <w:rPr>
          <w:rFonts w:ascii="宋体" w:hAnsi="宋体" w:cs="宋体" w:eastAsia="宋体" w:hint="default"/>
          <w:sz w:val="18"/>
          <w:szCs w:val="18"/>
        </w:rPr>
        <w:t>日披露的《厦门安妮股份有限公</w:t>
      </w:r>
    </w:p>
    <w:p>
      <w:pPr>
        <w:spacing w:line="240" w:lineRule="auto" w:before="10"/>
        <w:rPr>
          <w:rFonts w:ascii="宋体" w:hAnsi="宋体" w:cs="宋体" w:eastAsia="宋体" w:hint="default"/>
          <w:sz w:val="17"/>
          <w:szCs w:val="17"/>
        </w:rPr>
      </w:pPr>
    </w:p>
    <w:p>
      <w:pPr>
        <w:spacing w:line="477" w:lineRule="auto" w:before="0"/>
        <w:ind w:left="502" w:right="1132" w:hanging="348"/>
        <w:jc w:val="left"/>
        <w:rPr>
          <w:rFonts w:ascii="宋体" w:hAnsi="宋体" w:cs="宋体" w:eastAsia="宋体" w:hint="default"/>
          <w:sz w:val="18"/>
          <w:szCs w:val="18"/>
        </w:rPr>
      </w:pPr>
      <w:r>
        <w:rPr>
          <w:rFonts w:ascii="宋体" w:hAnsi="宋体" w:cs="宋体" w:eastAsia="宋体" w:hint="default"/>
          <w:sz w:val="18"/>
          <w:szCs w:val="18"/>
        </w:rPr>
        <w:t>司</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年度第一次临时股东大会决议公告》（公告编号：2017-034）。</w:t>
      </w:r>
      <w:r>
        <w:rPr>
          <w:rFonts w:ascii="宋体" w:hAnsi="宋体" w:cs="宋体" w:eastAsia="宋体" w:hint="default"/>
          <w:sz w:val="18"/>
          <w:szCs w:val="18"/>
        </w:rPr>
        <w:t> 2017年8月14日，公司分别召开了第四届董事会第九次会议和第四届监事会第八次会议审议通过了《厦门安妮股份有限</w:t>
      </w:r>
    </w:p>
    <w:p>
      <w:pPr>
        <w:spacing w:line="477" w:lineRule="auto" w:before="54"/>
        <w:ind w:left="154" w:right="1131" w:firstLine="0"/>
        <w:jc w:val="both"/>
        <w:rPr>
          <w:rFonts w:ascii="宋体" w:hAnsi="宋体" w:cs="宋体" w:eastAsia="宋体" w:hint="default"/>
          <w:sz w:val="18"/>
          <w:szCs w:val="18"/>
        </w:rPr>
      </w:pPr>
      <w:r>
        <w:rPr>
          <w:rFonts w:ascii="宋体" w:hAnsi="宋体" w:cs="宋体" w:eastAsia="宋体" w:hint="default"/>
          <w:sz w:val="18"/>
          <w:szCs w:val="18"/>
        </w:rPr>
        <w:t>公司关于&lt;2017年股票期权与限制性股票激励计划&gt;向激励对象授予股票期权的议案》。确定2017年8月14日为授予日，向符 </w:t>
      </w:r>
      <w:r>
        <w:rPr>
          <w:rFonts w:ascii="宋体" w:hAnsi="宋体" w:cs="宋体" w:eastAsia="宋体" w:hint="default"/>
          <w:spacing w:val="-2"/>
          <w:sz w:val="18"/>
          <w:szCs w:val="18"/>
        </w:rPr>
        <w:t>合条件的个人授予股票期权375万股。具体详见公司2017年8月14日披露的《厦门安妮股份有限公司关于2017年股票期权与限</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制性股票激励计划向激励对象授予股票期权的公告》（公告编号：2017-046） </w:t>
      </w:r>
    </w:p>
    <w:p>
      <w:pPr>
        <w:spacing w:line="477" w:lineRule="auto" w:before="54"/>
        <w:ind w:left="154" w:right="1129" w:firstLine="348"/>
        <w:jc w:val="both"/>
        <w:rPr>
          <w:rFonts w:ascii="宋体" w:hAnsi="宋体" w:cs="宋体" w:eastAsia="宋体" w:hint="default"/>
          <w:sz w:val="18"/>
          <w:szCs w:val="18"/>
        </w:rPr>
      </w:pPr>
      <w:r>
        <w:rPr>
          <w:rFonts w:ascii="宋体" w:hAnsi="宋体" w:cs="宋体" w:eastAsia="宋体" w:hint="default"/>
          <w:sz w:val="18"/>
          <w:szCs w:val="18"/>
        </w:rPr>
        <w:t>2017年9月5日，公司分别召开了第四届董事会第十一次会议和第四届监事会第十次会议审议通过了《关于调整&lt;2017年 </w:t>
      </w:r>
      <w:r>
        <w:rPr>
          <w:rFonts w:ascii="宋体" w:hAnsi="宋体" w:cs="宋体" w:eastAsia="宋体" w:hint="default"/>
          <w:spacing w:val="-2"/>
          <w:sz w:val="18"/>
          <w:szCs w:val="18"/>
        </w:rPr>
        <w:t>股票期权与限制性股票激励计划&gt;限制性股票激励对象及授予股票数量的议案》、《关于&lt;2017年股票期权与限制性股票激励</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pacing w:val="-2"/>
          <w:sz w:val="18"/>
          <w:szCs w:val="18"/>
        </w:rPr>
        <w:t>计划&gt;向激励对象授予限制性股票的议案》。确定2017年9月5日为授予日，向符合条件的12个人授予限制性股票224万股。具</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pacing w:val="-2"/>
          <w:sz w:val="18"/>
          <w:szCs w:val="18"/>
        </w:rPr>
        <w:t>体详见公司2017年9月5日披露的《厦门安妮股份有限公司关于2017年股票期权与限制性股票激励计划向激励对象授予限制性</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z w:val="18"/>
          <w:szCs w:val="18"/>
        </w:rPr>
        <w:t>股票的公告》（公告编号：2017-056） </w:t>
      </w:r>
    </w:p>
    <w:p>
      <w:pPr>
        <w:spacing w:after="0" w:line="477" w:lineRule="auto"/>
        <w:jc w:val="both"/>
        <w:rPr>
          <w:rFonts w:ascii="宋体" w:hAnsi="宋体" w:cs="宋体" w:eastAsia="宋体" w:hint="default"/>
          <w:sz w:val="18"/>
          <w:szCs w:val="18"/>
        </w:rPr>
        <w:sectPr>
          <w:pgSz w:w="11910" w:h="16840"/>
          <w:pgMar w:header="877" w:footer="982" w:top="1100" w:bottom="1180" w:left="980" w:right="0"/>
        </w:sectPr>
      </w:pPr>
    </w:p>
    <w:p>
      <w:pPr>
        <w:spacing w:line="240" w:lineRule="auto" w:before="11"/>
        <w:rPr>
          <w:rFonts w:ascii="宋体" w:hAnsi="宋体" w:cs="宋体" w:eastAsia="宋体" w:hint="default"/>
          <w:sz w:val="27"/>
          <w:szCs w:val="27"/>
        </w:rPr>
      </w:pPr>
    </w:p>
    <w:p>
      <w:pPr>
        <w:spacing w:line="477" w:lineRule="auto" w:before="44"/>
        <w:ind w:left="154" w:right="1129" w:firstLine="348"/>
        <w:jc w:val="left"/>
        <w:rPr>
          <w:rFonts w:ascii="宋体" w:hAnsi="宋体" w:cs="宋体" w:eastAsia="宋体" w:hint="default"/>
          <w:sz w:val="18"/>
          <w:szCs w:val="18"/>
        </w:rPr>
      </w:pPr>
      <w:r>
        <w:rPr>
          <w:rFonts w:ascii="宋体" w:hAnsi="宋体" w:cs="宋体" w:eastAsia="宋体" w:hint="default"/>
          <w:spacing w:val="-2"/>
          <w:sz w:val="18"/>
          <w:szCs w:val="18"/>
        </w:rPr>
        <w:t>2018年7月26日，公司分别召开第四届董事会第二十二次会议和第四届监事会第十八次会议审议通过了《关于调整&lt;2017</w:t>
      </w:r>
      <w:r>
        <w:rPr>
          <w:rFonts w:ascii="宋体" w:hAnsi="宋体" w:cs="宋体" w:eastAsia="宋体" w:hint="default"/>
          <w:sz w:val="18"/>
          <w:szCs w:val="18"/>
        </w:rPr>
        <w:t> 年股票期权与限制性股票激励计划&gt;股票期权数量和行权价格、限制性股票数量及回购价格的议案》、《关于回购注销部分 </w:t>
      </w:r>
      <w:r>
        <w:rPr>
          <w:rFonts w:ascii="宋体" w:hAnsi="宋体" w:cs="宋体" w:eastAsia="宋体" w:hint="default"/>
          <w:spacing w:val="-2"/>
          <w:sz w:val="18"/>
          <w:szCs w:val="18"/>
        </w:rPr>
        <w:t>限制性股票及部分股票期权的议案》，本次调整后，股票期权授予数量由375万份调整为562.5万份，股票期权的行权价格由</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pacing w:val="-2"/>
          <w:sz w:val="18"/>
          <w:szCs w:val="18"/>
        </w:rPr>
        <w:t>12.37元/股调整为8.25元/股；限制性股票授予数量由224万股调整为336万股，限制性股票回购价格调整为5.13元/股。由于</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公司原激励对象叶泉青等9人因离职、不在公司担任职务等原因已不符合激励条件，公司董事会同意回购注销其已获授但尚 </w:t>
      </w:r>
      <w:r>
        <w:rPr>
          <w:rFonts w:ascii="宋体" w:hAnsi="宋体" w:cs="宋体" w:eastAsia="宋体" w:hint="default"/>
          <w:spacing w:val="-2"/>
          <w:sz w:val="18"/>
          <w:szCs w:val="18"/>
        </w:rPr>
        <w:t>未解锁的全部限制性股票645,000股，注销的股票期权2,850,000份。鉴于公司2017年度业绩未达到解锁及行权条件，董事会</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2"/>
          <w:sz w:val="18"/>
          <w:szCs w:val="18"/>
        </w:rPr>
        <w:t>同意对激励对象回购注销其部分已获授但尚未解锁的限制性股票362,000股，注销部分已获授但尚未行权的股票期权370,000</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2"/>
          <w:sz w:val="18"/>
          <w:szCs w:val="18"/>
        </w:rPr>
        <w:t>份。共计回购注销限制性股票1,188,000股，并注销股票期权3,405,000份。</w:t>
      </w:r>
      <w:r>
        <w:rPr>
          <w:rFonts w:ascii="宋体" w:hAnsi="宋体" w:cs="宋体" w:eastAsia="宋体" w:hint="default"/>
          <w:spacing w:val="21"/>
          <w:sz w:val="18"/>
          <w:szCs w:val="18"/>
        </w:rPr>
        <w:t> </w:t>
      </w:r>
      <w:r>
        <w:rPr>
          <w:rFonts w:ascii="宋体" w:hAnsi="宋体" w:cs="宋体" w:eastAsia="宋体" w:hint="default"/>
          <w:spacing w:val="-1"/>
          <w:sz w:val="18"/>
          <w:szCs w:val="18"/>
        </w:rPr>
        <w:t>具体详见公司2018年7月26日披露的《厦门安妮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股份有限公司关于调整2017年股权激励计划股票期权数量及行权价格、限制性股票数量及回购价格的公告》（公告编号： 2018-062 ）及《关于回购注销部分限制性股票及部分股票期权的公告》（公告编号：2018-063） </w:t>
      </w:r>
    </w:p>
    <w:p>
      <w:pPr>
        <w:spacing w:before="54"/>
        <w:ind w:left="502" w:right="0" w:firstLine="0"/>
        <w:jc w:val="left"/>
        <w:rPr>
          <w:rFonts w:ascii="宋体" w:hAnsi="宋体" w:cs="宋体" w:eastAsia="宋体" w:hint="default"/>
          <w:sz w:val="18"/>
          <w:szCs w:val="18"/>
        </w:rPr>
      </w:pPr>
      <w:r>
        <w:rPr>
          <w:rFonts w:ascii="宋体" w:hAnsi="宋体" w:cs="宋体" w:eastAsia="宋体" w:hint="default"/>
          <w:sz w:val="18"/>
          <w:szCs w:val="18"/>
        </w:rPr>
        <w:t>2018年8月13日</w:t>
      </w:r>
      <w:r>
        <w:rPr>
          <w:rFonts w:ascii="宋体" w:hAnsi="宋体" w:cs="宋体" w:eastAsia="宋体" w:hint="default"/>
          <w:spacing w:val="-83"/>
          <w:sz w:val="18"/>
          <w:szCs w:val="18"/>
        </w:rPr>
        <w:t>，</w:t>
      </w:r>
      <w:r>
        <w:rPr>
          <w:rFonts w:ascii="宋体" w:hAnsi="宋体" w:cs="宋体" w:eastAsia="宋体" w:hint="default"/>
          <w:sz w:val="18"/>
          <w:szCs w:val="18"/>
        </w:rPr>
        <w:t>公司2018年度第二次临时股东大会审议通过</w:t>
      </w:r>
      <w:r>
        <w:rPr>
          <w:rFonts w:ascii="宋体" w:hAnsi="宋体" w:cs="宋体" w:eastAsia="宋体" w:hint="default"/>
          <w:spacing w:val="-83"/>
          <w:sz w:val="18"/>
          <w:szCs w:val="18"/>
        </w:rPr>
        <w:t>了</w:t>
      </w:r>
      <w:r>
        <w:rPr>
          <w:rFonts w:ascii="宋体" w:hAnsi="宋体" w:cs="宋体" w:eastAsia="宋体" w:hint="default"/>
          <w:sz w:val="18"/>
          <w:szCs w:val="18"/>
        </w:rPr>
        <w:t>《关于回购注销部分限制性股票及部分股票期权的议案</w:t>
      </w:r>
      <w:r>
        <w:rPr>
          <w:rFonts w:ascii="宋体" w:hAnsi="宋体" w:cs="宋体" w:eastAsia="宋体" w:hint="default"/>
          <w:spacing w:val="-83"/>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 </w:t>
      </w:r>
    </w:p>
    <w:p>
      <w:pPr>
        <w:spacing w:line="240" w:lineRule="auto" w:before="10"/>
        <w:rPr>
          <w:rFonts w:ascii="宋体" w:hAnsi="宋体" w:cs="宋体" w:eastAsia="宋体" w:hint="default"/>
          <w:sz w:val="17"/>
          <w:szCs w:val="17"/>
        </w:rPr>
      </w:pPr>
    </w:p>
    <w:p>
      <w:pPr>
        <w:spacing w:line="477" w:lineRule="auto" w:before="0"/>
        <w:ind w:left="154" w:right="1131" w:firstLine="348"/>
        <w:jc w:val="both"/>
        <w:rPr>
          <w:rFonts w:ascii="宋体" w:hAnsi="宋体" w:cs="宋体" w:eastAsia="宋体" w:hint="default"/>
          <w:sz w:val="18"/>
          <w:szCs w:val="18"/>
        </w:rPr>
      </w:pPr>
      <w:r>
        <w:rPr>
          <w:rFonts w:ascii="宋体" w:hAnsi="宋体" w:cs="宋体" w:eastAsia="宋体" w:hint="default"/>
          <w:spacing w:val="-2"/>
          <w:sz w:val="18"/>
          <w:szCs w:val="18"/>
        </w:rPr>
        <w:t>2019年1月4日，公司完成回购注销限制性股票1,188,000股，注销股票期权3,405,000份。回购注销完成后，激励计划的</w:t>
      </w:r>
      <w:r>
        <w:rPr>
          <w:rFonts w:ascii="宋体" w:hAnsi="宋体" w:cs="宋体" w:eastAsia="宋体" w:hint="default"/>
          <w:sz w:val="18"/>
          <w:szCs w:val="18"/>
        </w:rPr>
        <w:t> 激励对象总人数将调整为10名，已授予未解锁的限制性股票数量调整为2,172,000股，已授予未行权的股票期权数量调整为 2,220,000份。 </w:t>
      </w:r>
    </w:p>
    <w:p>
      <w:pPr>
        <w:spacing w:line="477" w:lineRule="auto" w:before="54"/>
        <w:ind w:left="154" w:right="1131" w:firstLine="348"/>
        <w:jc w:val="both"/>
        <w:rPr>
          <w:rFonts w:ascii="宋体" w:hAnsi="宋体" w:cs="宋体" w:eastAsia="宋体" w:hint="default"/>
          <w:sz w:val="18"/>
          <w:szCs w:val="18"/>
        </w:rPr>
      </w:pPr>
      <w:r>
        <w:rPr>
          <w:rFonts w:ascii="宋体" w:hAnsi="宋体" w:cs="宋体" w:eastAsia="宋体" w:hint="default"/>
          <w:sz w:val="18"/>
          <w:szCs w:val="18"/>
        </w:rPr>
        <w:t>2019年5月20日，公司分别召开第四届董事会第三十次会议和第四届监事会第二十四次会议审议通过了《关于回购注销 </w:t>
      </w:r>
      <w:r>
        <w:rPr>
          <w:rFonts w:ascii="宋体" w:hAnsi="宋体" w:cs="宋体" w:eastAsia="宋体" w:hint="default"/>
          <w:spacing w:val="-3"/>
          <w:sz w:val="18"/>
          <w:szCs w:val="18"/>
        </w:rPr>
        <w:t>部分限制性股票及部分股票期权的议案》，董事会同意对激励对象回购注销其部分已获授但尚未解锁的限制性股票1,158,000</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股，注销部分已获授但尚未行权的股票期权1,242,000份。具体详见公司2019年5月21日《关于回购注销部分限制性股票及部</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分股票期权的公告》（公告编号：2019-036） </w:t>
      </w:r>
    </w:p>
    <w:p>
      <w:pPr>
        <w:spacing w:before="54"/>
        <w:ind w:left="502" w:right="0" w:firstLine="0"/>
        <w:jc w:val="left"/>
        <w:rPr>
          <w:rFonts w:ascii="宋体" w:hAnsi="宋体" w:cs="宋体" w:eastAsia="宋体" w:hint="default"/>
          <w:sz w:val="18"/>
          <w:szCs w:val="18"/>
        </w:rPr>
      </w:pPr>
      <w:r>
        <w:rPr>
          <w:rFonts w:ascii="宋体" w:hAnsi="宋体" w:cs="宋体" w:eastAsia="宋体" w:hint="default"/>
          <w:sz w:val="18"/>
          <w:szCs w:val="18"/>
        </w:rPr>
        <w:t>2019年6月5日</w:t>
      </w:r>
      <w:r>
        <w:rPr>
          <w:rFonts w:ascii="宋体" w:hAnsi="宋体" w:cs="宋体" w:eastAsia="宋体" w:hint="default"/>
          <w:spacing w:val="-53"/>
          <w:sz w:val="18"/>
          <w:szCs w:val="18"/>
        </w:rPr>
        <w:t>，</w:t>
      </w:r>
      <w:r>
        <w:rPr>
          <w:rFonts w:ascii="宋体" w:hAnsi="宋体" w:cs="宋体" w:eastAsia="宋体" w:hint="default"/>
          <w:sz w:val="18"/>
          <w:szCs w:val="18"/>
        </w:rPr>
        <w:t>公司2019年度第二次临时股东大会审议通过</w:t>
      </w:r>
      <w:r>
        <w:rPr>
          <w:rFonts w:ascii="宋体" w:hAnsi="宋体" w:cs="宋体" w:eastAsia="宋体" w:hint="default"/>
          <w:spacing w:val="-53"/>
          <w:sz w:val="18"/>
          <w:szCs w:val="18"/>
        </w:rPr>
        <w:t>了</w:t>
      </w:r>
      <w:r>
        <w:rPr>
          <w:rFonts w:ascii="宋体" w:hAnsi="宋体" w:cs="宋体" w:eastAsia="宋体" w:hint="default"/>
          <w:sz w:val="18"/>
          <w:szCs w:val="18"/>
        </w:rPr>
        <w:t>《关于回购注销部分限制性股票及部分股票期权的议案</w:t>
      </w:r>
      <w:r>
        <w:rPr>
          <w:rFonts w:ascii="宋体" w:hAnsi="宋体" w:cs="宋体" w:eastAsia="宋体" w:hint="default"/>
          <w:spacing w:val="-53"/>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 </w:t>
      </w:r>
    </w:p>
    <w:p>
      <w:pPr>
        <w:spacing w:line="240" w:lineRule="auto" w:before="10"/>
        <w:rPr>
          <w:rFonts w:ascii="宋体" w:hAnsi="宋体" w:cs="宋体" w:eastAsia="宋体" w:hint="default"/>
          <w:sz w:val="17"/>
          <w:szCs w:val="17"/>
        </w:rPr>
      </w:pPr>
    </w:p>
    <w:p>
      <w:pPr>
        <w:spacing w:line="477" w:lineRule="auto" w:before="0"/>
        <w:ind w:left="154" w:right="1138" w:firstLine="348"/>
        <w:jc w:val="both"/>
        <w:rPr>
          <w:rFonts w:ascii="宋体" w:hAnsi="宋体" w:cs="宋体" w:eastAsia="宋体" w:hint="default"/>
          <w:sz w:val="18"/>
          <w:szCs w:val="18"/>
        </w:rPr>
      </w:pPr>
      <w:r>
        <w:rPr>
          <w:rFonts w:ascii="宋体" w:hAnsi="宋体" w:cs="宋体" w:eastAsia="宋体" w:hint="default"/>
          <w:sz w:val="18"/>
          <w:szCs w:val="18"/>
        </w:rPr>
        <w:t>2020年1月22日，公司完成回购注销限制性股票1,158,000股，注销股票期权1,242,000份。回购注销完成后，激励计划 的激励对象总人数将调整为10名，已授予未解锁的限制性股票数量调整为1,014,000股，已授予未行权的股票期权数量调整 为978,000份。 </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r>
        <w:rPr/>
        <w:t>十六、重大关联交易</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800"/>
        <w:gridCol w:w="677"/>
        <w:gridCol w:w="677"/>
        <w:gridCol w:w="706"/>
        <w:gridCol w:w="679"/>
        <w:gridCol w:w="674"/>
        <w:gridCol w:w="674"/>
        <w:gridCol w:w="673"/>
        <w:gridCol w:w="674"/>
        <w:gridCol w:w="674"/>
        <w:gridCol w:w="673"/>
        <w:gridCol w:w="674"/>
        <w:gridCol w:w="670"/>
        <w:gridCol w:w="642"/>
      </w:tblGrid>
      <w:tr>
        <w:trPr>
          <w:trHeight w:val="1337" w:hRule="exact"/>
        </w:trPr>
        <w:tc>
          <w:tcPr>
            <w:tcW w:w="8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4" w:right="35" w:hanging="270"/>
              <w:jc w:val="left"/>
              <w:rPr>
                <w:rFonts w:ascii="宋体" w:hAnsi="宋体" w:cs="宋体" w:eastAsia="宋体" w:hint="default"/>
                <w:sz w:val="18"/>
                <w:szCs w:val="18"/>
              </w:rPr>
            </w:pPr>
            <w:r>
              <w:rPr>
                <w:rFonts w:ascii="宋体" w:hAnsi="宋体" w:cs="宋体" w:eastAsia="宋体" w:hint="default"/>
                <w:sz w:val="18"/>
                <w:szCs w:val="18"/>
              </w:rPr>
              <w:t>关联交易 方</w:t>
            </w:r>
          </w:p>
        </w:tc>
        <w:tc>
          <w:tcPr>
            <w:tcW w:w="6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43" w:right="61" w:hanging="180"/>
              <w:jc w:val="left"/>
              <w:rPr>
                <w:rFonts w:ascii="宋体" w:hAnsi="宋体" w:cs="宋体" w:eastAsia="宋体" w:hint="default"/>
                <w:sz w:val="18"/>
                <w:szCs w:val="18"/>
              </w:rPr>
            </w:pPr>
            <w:r>
              <w:rPr>
                <w:rFonts w:ascii="宋体" w:hAnsi="宋体" w:cs="宋体" w:eastAsia="宋体" w:hint="default"/>
                <w:sz w:val="18"/>
                <w:szCs w:val="18"/>
              </w:rPr>
              <w:t>关联关 系</w:t>
            </w:r>
          </w:p>
        </w:tc>
        <w:tc>
          <w:tcPr>
            <w:tcW w:w="6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3" w:right="61"/>
              <w:jc w:val="left"/>
              <w:rPr>
                <w:rFonts w:ascii="宋体" w:hAnsi="宋体" w:cs="宋体" w:eastAsia="宋体" w:hint="default"/>
                <w:sz w:val="18"/>
                <w:szCs w:val="18"/>
              </w:rPr>
            </w:pPr>
            <w:r>
              <w:rPr>
                <w:rFonts w:ascii="宋体" w:hAnsi="宋体" w:cs="宋体" w:eastAsia="宋体" w:hint="default"/>
                <w:sz w:val="18"/>
                <w:szCs w:val="18"/>
              </w:rPr>
              <w:t>关联交 易类型</w:t>
            </w:r>
          </w:p>
        </w:tc>
        <w:tc>
          <w:tcPr>
            <w:tcW w:w="7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76" w:right="77"/>
              <w:jc w:val="left"/>
              <w:rPr>
                <w:rFonts w:ascii="宋体" w:hAnsi="宋体" w:cs="宋体" w:eastAsia="宋体" w:hint="default"/>
                <w:sz w:val="18"/>
                <w:szCs w:val="18"/>
              </w:rPr>
            </w:pPr>
            <w:r>
              <w:rPr>
                <w:rFonts w:ascii="宋体" w:hAnsi="宋体" w:cs="宋体" w:eastAsia="宋体" w:hint="default"/>
                <w:sz w:val="18"/>
                <w:szCs w:val="18"/>
              </w:rPr>
              <w:t>关联交 易内容</w:t>
            </w:r>
          </w:p>
        </w:tc>
        <w:tc>
          <w:tcPr>
            <w:tcW w:w="6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4" w:right="62"/>
              <w:jc w:val="both"/>
              <w:rPr>
                <w:rFonts w:ascii="宋体" w:hAnsi="宋体" w:cs="宋体" w:eastAsia="宋体" w:hint="default"/>
                <w:sz w:val="18"/>
                <w:szCs w:val="18"/>
              </w:rPr>
            </w:pPr>
            <w:r>
              <w:rPr>
                <w:rFonts w:ascii="宋体" w:hAnsi="宋体" w:cs="宋体" w:eastAsia="宋体" w:hint="default"/>
                <w:sz w:val="18"/>
                <w:szCs w:val="18"/>
              </w:rPr>
              <w:t>关联交 易定价 原则</w:t>
            </w:r>
          </w:p>
        </w:tc>
        <w:tc>
          <w:tcPr>
            <w:tcW w:w="6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1" w:right="61"/>
              <w:jc w:val="left"/>
              <w:rPr>
                <w:rFonts w:ascii="宋体" w:hAnsi="宋体" w:cs="宋体" w:eastAsia="宋体" w:hint="default"/>
                <w:sz w:val="18"/>
                <w:szCs w:val="18"/>
              </w:rPr>
            </w:pPr>
            <w:r>
              <w:rPr>
                <w:rFonts w:ascii="宋体" w:hAnsi="宋体" w:cs="宋体" w:eastAsia="宋体" w:hint="default"/>
                <w:sz w:val="18"/>
                <w:szCs w:val="18"/>
              </w:rPr>
              <w:t>关联交 易价格</w:t>
            </w:r>
          </w:p>
        </w:tc>
        <w:tc>
          <w:tcPr>
            <w:tcW w:w="6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61" w:right="61"/>
              <w:jc w:val="left"/>
              <w:rPr>
                <w:rFonts w:ascii="宋体" w:hAnsi="宋体" w:cs="宋体" w:eastAsia="宋体" w:hint="default"/>
                <w:sz w:val="18"/>
                <w:szCs w:val="18"/>
              </w:rPr>
            </w:pPr>
            <w:r>
              <w:rPr>
                <w:rFonts w:ascii="宋体" w:hAnsi="宋体" w:cs="宋体" w:eastAsia="宋体" w:hint="default"/>
                <w:sz w:val="18"/>
                <w:szCs w:val="18"/>
              </w:rPr>
              <w:t>关联交 易金额</w:t>
            </w:r>
          </w:p>
          <w:p>
            <w:pPr>
              <w:pStyle w:val="TableParagraph"/>
              <w:spacing w:line="319" w:lineRule="auto" w:before="19"/>
              <w:ind w:left="151" w:right="151"/>
              <w:jc w:val="left"/>
              <w:rPr>
                <w:rFonts w:ascii="宋体" w:hAnsi="宋体" w:cs="宋体" w:eastAsia="宋体" w:hint="default"/>
                <w:sz w:val="18"/>
                <w:szCs w:val="18"/>
              </w:rPr>
            </w:pPr>
            <w:r>
              <w:rPr>
                <w:rFonts w:ascii="宋体" w:hAnsi="宋体" w:cs="宋体" w:eastAsia="宋体" w:hint="default"/>
                <w:sz w:val="18"/>
                <w:szCs w:val="18"/>
              </w:rPr>
              <w:t>（万 元）</w:t>
            </w:r>
          </w:p>
        </w:tc>
        <w:tc>
          <w:tcPr>
            <w:tcW w:w="6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61" w:right="60"/>
              <w:jc w:val="center"/>
              <w:rPr>
                <w:rFonts w:ascii="宋体" w:hAnsi="宋体" w:cs="宋体" w:eastAsia="宋体" w:hint="default"/>
                <w:sz w:val="18"/>
                <w:szCs w:val="18"/>
              </w:rPr>
            </w:pPr>
            <w:r>
              <w:rPr>
                <w:rFonts w:ascii="宋体" w:hAnsi="宋体" w:cs="宋体" w:eastAsia="宋体" w:hint="default"/>
                <w:sz w:val="18"/>
                <w:szCs w:val="18"/>
              </w:rPr>
              <w:t>占同类 交易金 额的比 例</w:t>
            </w:r>
          </w:p>
        </w:tc>
        <w:tc>
          <w:tcPr>
            <w:tcW w:w="6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61" w:right="61"/>
              <w:jc w:val="both"/>
              <w:rPr>
                <w:rFonts w:ascii="宋体" w:hAnsi="宋体" w:cs="宋体" w:eastAsia="宋体" w:hint="default"/>
                <w:sz w:val="18"/>
                <w:szCs w:val="18"/>
              </w:rPr>
            </w:pPr>
            <w:r>
              <w:rPr>
                <w:rFonts w:ascii="宋体" w:hAnsi="宋体" w:cs="宋体" w:eastAsia="宋体" w:hint="default"/>
                <w:sz w:val="18"/>
                <w:szCs w:val="18"/>
              </w:rPr>
              <w:t>获批的 交易额 度（万 元）</w:t>
            </w:r>
          </w:p>
        </w:tc>
        <w:tc>
          <w:tcPr>
            <w:tcW w:w="6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1" w:right="61"/>
              <w:jc w:val="both"/>
              <w:rPr>
                <w:rFonts w:ascii="宋体" w:hAnsi="宋体" w:cs="宋体" w:eastAsia="宋体" w:hint="default"/>
                <w:sz w:val="18"/>
                <w:szCs w:val="18"/>
              </w:rPr>
            </w:pPr>
            <w:r>
              <w:rPr>
                <w:rFonts w:ascii="宋体" w:hAnsi="宋体" w:cs="宋体" w:eastAsia="宋体" w:hint="default"/>
                <w:sz w:val="18"/>
                <w:szCs w:val="18"/>
              </w:rPr>
              <w:t>是否超 过获批 额度</w:t>
            </w:r>
          </w:p>
        </w:tc>
        <w:tc>
          <w:tcPr>
            <w:tcW w:w="6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1" w:right="60"/>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6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61" w:right="61"/>
              <w:jc w:val="center"/>
              <w:rPr>
                <w:rFonts w:ascii="宋体" w:hAnsi="宋体" w:cs="宋体" w:eastAsia="宋体" w:hint="default"/>
                <w:sz w:val="18"/>
                <w:szCs w:val="18"/>
              </w:rPr>
            </w:pPr>
            <w:r>
              <w:rPr>
                <w:rFonts w:ascii="宋体" w:hAnsi="宋体" w:cs="宋体" w:eastAsia="宋体" w:hint="default"/>
                <w:sz w:val="18"/>
                <w:szCs w:val="18"/>
              </w:rPr>
              <w:t>可获得 的同类 交易市 价</w:t>
            </w:r>
          </w:p>
        </w:tc>
        <w:tc>
          <w:tcPr>
            <w:tcW w:w="6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39" w:right="59"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64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5" w:right="44" w:hanging="180"/>
              <w:jc w:val="left"/>
              <w:rPr>
                <w:rFonts w:ascii="宋体" w:hAnsi="宋体" w:cs="宋体" w:eastAsia="宋体" w:hint="default"/>
                <w:sz w:val="18"/>
                <w:szCs w:val="18"/>
              </w:rPr>
            </w:pPr>
            <w:r>
              <w:rPr>
                <w:rFonts w:ascii="宋体" w:hAnsi="宋体" w:cs="宋体" w:eastAsia="宋体" w:hint="default"/>
                <w:sz w:val="18"/>
                <w:szCs w:val="18"/>
              </w:rPr>
              <w:t>披露索 引</w:t>
            </w:r>
          </w:p>
        </w:tc>
      </w:tr>
      <w:tr>
        <w:trPr>
          <w:trHeight w:val="40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厦门市虹</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公司持</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版权服</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版权服</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市场原</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36" w:right="0"/>
              <w:jc w:val="left"/>
              <w:rPr>
                <w:rFonts w:ascii="Times New Roman" w:hAnsi="Times New Roman" w:cs="Times New Roman" w:eastAsia="Times New Roman" w:hint="default"/>
                <w:sz w:val="18"/>
                <w:szCs w:val="18"/>
              </w:rPr>
            </w:pPr>
            <w:r>
              <w:rPr>
                <w:rFonts w:ascii="Times New Roman"/>
                <w:sz w:val="18"/>
              </w:rPr>
              <w:t>12.47</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0.00%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一次性</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670" w:type="dxa"/>
            <w:tcBorders>
              <w:top w:val="single" w:sz="4" w:space="0" w:color="000000"/>
              <w:left w:val="single" w:sz="4" w:space="0" w:color="000000"/>
              <w:bottom w:val="single" w:sz="4" w:space="0" w:color="000000"/>
              <w:right w:val="single" w:sz="4" w:space="0" w:color="000000"/>
            </w:tcBorders>
          </w:tcPr>
          <w:p>
            <w:pPr/>
          </w:p>
        </w:tc>
        <w:tc>
          <w:tcPr>
            <w:tcW w:w="64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800"/>
        <w:gridCol w:w="677"/>
        <w:gridCol w:w="677"/>
        <w:gridCol w:w="706"/>
        <w:gridCol w:w="679"/>
        <w:gridCol w:w="674"/>
        <w:gridCol w:w="674"/>
        <w:gridCol w:w="673"/>
        <w:gridCol w:w="674"/>
        <w:gridCol w:w="674"/>
        <w:gridCol w:w="673"/>
        <w:gridCol w:w="674"/>
        <w:gridCol w:w="670"/>
        <w:gridCol w:w="642"/>
      </w:tblGrid>
      <w:tr>
        <w:trPr>
          <w:trHeight w:val="986"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47"/>
              <w:jc w:val="both"/>
              <w:rPr>
                <w:rFonts w:ascii="宋体" w:hAnsi="宋体" w:cs="宋体" w:eastAsia="宋体" w:hint="default"/>
                <w:sz w:val="18"/>
                <w:szCs w:val="18"/>
              </w:rPr>
            </w:pPr>
            <w:r>
              <w:rPr>
                <w:rFonts w:ascii="宋体" w:hAnsi="宋体" w:cs="宋体" w:eastAsia="宋体" w:hint="default"/>
                <w:sz w:val="18"/>
                <w:szCs w:val="18"/>
              </w:rPr>
              <w:t>约产品设 计有限公 司</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务费</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务</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则</w:t>
            </w:r>
          </w:p>
        </w:tc>
        <w:tc>
          <w:tcPr>
            <w:tcW w:w="674" w:type="dxa"/>
            <w:tcBorders>
              <w:top w:val="single" w:sz="4" w:space="0" w:color="000000"/>
              <w:left w:val="single" w:sz="4" w:space="0" w:color="000000"/>
              <w:bottom w:val="single" w:sz="4" w:space="0" w:color="000000"/>
              <w:right w:val="single" w:sz="4" w:space="0" w:color="000000"/>
            </w:tcBorders>
          </w:tcPr>
          <w:p>
            <w:pPr/>
          </w:p>
        </w:tc>
        <w:tc>
          <w:tcPr>
            <w:tcW w:w="674" w:type="dxa"/>
            <w:tcBorders>
              <w:top w:val="single" w:sz="4" w:space="0" w:color="000000"/>
              <w:left w:val="single" w:sz="4" w:space="0" w:color="000000"/>
              <w:bottom w:val="single" w:sz="4" w:space="0" w:color="000000"/>
              <w:right w:val="single" w:sz="4" w:space="0" w:color="000000"/>
            </w:tcBorders>
          </w:tcPr>
          <w:p>
            <w:pPr/>
          </w:p>
        </w:tc>
        <w:tc>
          <w:tcPr>
            <w:tcW w:w="673" w:type="dxa"/>
            <w:tcBorders>
              <w:top w:val="single" w:sz="4" w:space="0" w:color="000000"/>
              <w:left w:val="single" w:sz="4" w:space="0" w:color="000000"/>
              <w:bottom w:val="single" w:sz="4" w:space="0" w:color="000000"/>
              <w:right w:val="single" w:sz="4" w:space="0" w:color="000000"/>
            </w:tcBorders>
          </w:tcPr>
          <w:p>
            <w:pPr/>
          </w:p>
        </w:tc>
        <w:tc>
          <w:tcPr>
            <w:tcW w:w="674" w:type="dxa"/>
            <w:tcBorders>
              <w:top w:val="single" w:sz="4" w:space="0" w:color="000000"/>
              <w:left w:val="single" w:sz="4" w:space="0" w:color="000000"/>
              <w:bottom w:val="single" w:sz="4" w:space="0" w:color="000000"/>
              <w:right w:val="single" w:sz="4" w:space="0" w:color="000000"/>
            </w:tcBorders>
          </w:tcPr>
          <w:p>
            <w:pPr/>
          </w:p>
        </w:tc>
        <w:tc>
          <w:tcPr>
            <w:tcW w:w="674" w:type="dxa"/>
            <w:tcBorders>
              <w:top w:val="single" w:sz="4" w:space="0" w:color="000000"/>
              <w:left w:val="single" w:sz="4" w:space="0" w:color="000000"/>
              <w:bottom w:val="single" w:sz="4" w:space="0" w:color="000000"/>
              <w:right w:val="single" w:sz="4" w:space="0" w:color="000000"/>
            </w:tcBorders>
          </w:tcPr>
          <w:p>
            <w:pP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78"/>
              <w:jc w:val="right"/>
              <w:rPr>
                <w:rFonts w:ascii="宋体" w:hAnsi="宋体" w:cs="宋体" w:eastAsia="宋体" w:hint="default"/>
                <w:sz w:val="18"/>
                <w:szCs w:val="18"/>
              </w:rPr>
            </w:pPr>
            <w:r>
              <w:rPr>
                <w:rFonts w:ascii="宋体" w:hAnsi="宋体" w:cs="宋体" w:eastAsia="宋体" w:hint="default"/>
                <w:sz w:val="18"/>
                <w:szCs w:val="18"/>
              </w:rPr>
              <w:t>付款</w:t>
            </w:r>
          </w:p>
        </w:tc>
        <w:tc>
          <w:tcPr>
            <w:tcW w:w="674"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64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7"/>
              <w:jc w:val="both"/>
              <w:rPr>
                <w:rFonts w:ascii="宋体" w:hAnsi="宋体" w:cs="宋体" w:eastAsia="宋体" w:hint="default"/>
                <w:sz w:val="18"/>
                <w:szCs w:val="18"/>
              </w:rPr>
            </w:pPr>
            <w:r>
              <w:rPr>
                <w:rFonts w:ascii="宋体" w:hAnsi="宋体" w:cs="宋体" w:eastAsia="宋体" w:hint="default"/>
                <w:sz w:val="18"/>
                <w:szCs w:val="18"/>
              </w:rPr>
              <w:t>庆云剧派 网络科技 有限公司</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2" w:right="102"/>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公司持 股 </w:t>
            </w:r>
            <w:r>
              <w:rPr>
                <w:rFonts w:ascii="Times New Roman" w:hAnsi="Times New Roman" w:cs="Times New Roman" w:eastAsia="Times New Roman" w:hint="default"/>
                <w:sz w:val="18"/>
                <w:szCs w:val="18"/>
              </w:rPr>
              <w:t>42.5%</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02"/>
              <w:jc w:val="left"/>
              <w:rPr>
                <w:rFonts w:ascii="宋体" w:hAnsi="宋体" w:cs="宋体" w:eastAsia="宋体" w:hint="default"/>
                <w:sz w:val="18"/>
                <w:szCs w:val="18"/>
              </w:rPr>
            </w:pPr>
            <w:r>
              <w:rPr>
                <w:rFonts w:ascii="宋体" w:hAnsi="宋体" w:cs="宋体" w:eastAsia="宋体" w:hint="default"/>
                <w:sz w:val="18"/>
                <w:szCs w:val="18"/>
              </w:rPr>
              <w:t>稿件服 务费</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IP</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采购</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04"/>
              <w:jc w:val="left"/>
              <w:rPr>
                <w:rFonts w:ascii="宋体" w:hAnsi="宋体" w:cs="宋体" w:eastAsia="宋体" w:hint="default"/>
                <w:sz w:val="18"/>
                <w:szCs w:val="18"/>
              </w:rPr>
            </w:pPr>
            <w:r>
              <w:rPr>
                <w:rFonts w:ascii="宋体" w:hAnsi="宋体" w:cs="宋体" w:eastAsia="宋体" w:hint="default"/>
                <w:sz w:val="18"/>
                <w:szCs w:val="18"/>
              </w:rPr>
              <w:t>市场原 则</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77"/>
              <w:jc w:val="center"/>
              <w:rPr>
                <w:rFonts w:ascii="宋体" w:hAnsi="宋体" w:cs="宋体" w:eastAsia="宋体" w:hint="default"/>
                <w:sz w:val="18"/>
                <w:szCs w:val="18"/>
              </w:rPr>
            </w:pPr>
            <w:r>
              <w:rPr>
                <w:rFonts w:ascii="宋体" w:hAnsi="宋体" w:cs="宋体" w:eastAsia="宋体" w:hint="default"/>
                <w:sz w:val="18"/>
                <w:szCs w:val="18"/>
              </w:rPr>
              <w:t>不适用</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0.00%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98"/>
              <w:jc w:val="left"/>
              <w:rPr>
                <w:rFonts w:ascii="宋体" w:hAnsi="宋体" w:cs="宋体" w:eastAsia="宋体" w:hint="default"/>
                <w:sz w:val="18"/>
                <w:szCs w:val="18"/>
              </w:rPr>
            </w:pPr>
            <w:r>
              <w:rPr>
                <w:rFonts w:ascii="宋体" w:hAnsi="宋体" w:cs="宋体" w:eastAsia="宋体" w:hint="default"/>
                <w:sz w:val="18"/>
                <w:szCs w:val="18"/>
              </w:rPr>
              <w:t>一次性 付款</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77"/>
              <w:jc w:val="center"/>
              <w:rPr>
                <w:rFonts w:ascii="宋体" w:hAnsi="宋体" w:cs="宋体" w:eastAsia="宋体" w:hint="default"/>
                <w:sz w:val="18"/>
                <w:szCs w:val="18"/>
              </w:rPr>
            </w:pPr>
            <w:r>
              <w:rPr>
                <w:rFonts w:ascii="宋体" w:hAnsi="宋体" w:cs="宋体" w:eastAsia="宋体" w:hint="default"/>
                <w:sz w:val="18"/>
                <w:szCs w:val="18"/>
              </w:rPr>
              <w:t>不适用</w:t>
            </w:r>
          </w:p>
        </w:tc>
        <w:tc>
          <w:tcPr>
            <w:tcW w:w="670" w:type="dxa"/>
            <w:tcBorders>
              <w:top w:val="single" w:sz="4" w:space="0" w:color="000000"/>
              <w:left w:val="single" w:sz="4" w:space="0" w:color="000000"/>
              <w:bottom w:val="single" w:sz="4" w:space="0" w:color="000000"/>
              <w:right w:val="single" w:sz="4" w:space="0" w:color="000000"/>
            </w:tcBorders>
          </w:tcPr>
          <w:p>
            <w:pPr/>
          </w:p>
        </w:tc>
        <w:tc>
          <w:tcPr>
            <w:tcW w:w="64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60"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12.67</w:t>
            </w:r>
          </w:p>
        </w:tc>
        <w:tc>
          <w:tcPr>
            <w:tcW w:w="6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6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270"/>
              <w:jc w:val="right"/>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4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2860"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6709"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026" w:hRule="exact"/>
        </w:trPr>
        <w:tc>
          <w:tcPr>
            <w:tcW w:w="2860"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按类别对本期将发生的日常关联交 </w:t>
            </w:r>
            <w:r>
              <w:rPr>
                <w:rFonts w:ascii="宋体" w:hAnsi="宋体" w:cs="宋体" w:eastAsia="宋体" w:hint="default"/>
                <w:spacing w:val="-5"/>
                <w:sz w:val="18"/>
                <w:szCs w:val="18"/>
              </w:rPr>
              <w:t>易进行总金额预计的，在报告期内的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实际履行情况（如有）</w:t>
            </w:r>
          </w:p>
        </w:tc>
        <w:tc>
          <w:tcPr>
            <w:tcW w:w="6709" w:type="dxa"/>
            <w:gridSpan w:val="10"/>
            <w:tcBorders>
              <w:top w:val="single" w:sz="4" w:space="0" w:color="000000"/>
              <w:left w:val="single" w:sz="13" w:space="0" w:color="D3D3D3"/>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860"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25"/>
              <w:jc w:val="left"/>
              <w:rPr>
                <w:rFonts w:ascii="宋体" w:hAnsi="宋体" w:cs="宋体" w:eastAsia="宋体" w:hint="default"/>
                <w:sz w:val="18"/>
                <w:szCs w:val="18"/>
              </w:rPr>
            </w:pPr>
            <w:r>
              <w:rPr>
                <w:rFonts w:ascii="宋体" w:hAnsi="宋体" w:cs="宋体" w:eastAsia="宋体" w:hint="default"/>
                <w:sz w:val="18"/>
                <w:szCs w:val="18"/>
              </w:rPr>
              <w:t>交易价格与市场参考价格差异较大 的原因（如适用）</w:t>
            </w:r>
          </w:p>
        </w:tc>
        <w:tc>
          <w:tcPr>
            <w:tcW w:w="6709" w:type="dxa"/>
            <w:gridSpan w:val="10"/>
            <w:tcBorders>
              <w:top w:val="single" w:sz="4" w:space="0" w:color="000000"/>
              <w:left w:val="single" w:sz="13" w:space="0" w:color="D3D3D3"/>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643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公司报告期未发生资产或股权收购、出售的关联交易。</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w:t>
      </w:r>
      <w:r>
        <w:rPr/>
        <w:t>、共同对外投资的关联交易</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715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公司报告期未发生共同对外投资的关联交易。</w:t>
      </w:r>
    </w:p>
    <w:p>
      <w:pPr>
        <w:spacing w:line="240" w:lineRule="auto" w:before="1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4</w:t>
      </w:r>
      <w:r>
        <w:rPr/>
        <w:t>、关联债权债务往来</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6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公司报告期不存在关联债权债务往来。</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5</w:t>
      </w:r>
      <w:r>
        <w:rPr/>
        <w:t>、其他重大关联交易</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805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公司报告期无其他重大关联交易。</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r>
        <w:rPr/>
        <w:t>十七、重大合同及其履行情况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84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公司报告期不存在托管情况。</w:t>
      </w:r>
    </w:p>
    <w:p>
      <w:pPr>
        <w:spacing w:after="0" w:line="338"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9"/>
        <w:rPr>
          <w:rFonts w:ascii="宋体" w:hAnsi="宋体" w:cs="宋体" w:eastAsia="宋体" w:hint="default"/>
          <w:sz w:val="20"/>
          <w:szCs w:val="20"/>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）承包情况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84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公司报告期不存在承包情况。</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）租赁情况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84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公司报告期不存在租赁情况。</w:t>
      </w:r>
    </w:p>
    <w:p>
      <w:pPr>
        <w:spacing w:line="240" w:lineRule="auto" w:before="12"/>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w:t>
      </w:r>
      <w:r>
        <w:rPr/>
        <w:t>、重大担保</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）担保情况</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26"/>
        <w:gridCol w:w="924"/>
        <w:gridCol w:w="1296"/>
        <w:gridCol w:w="1063"/>
        <w:gridCol w:w="1034"/>
        <w:gridCol w:w="1049"/>
        <w:gridCol w:w="792"/>
        <w:gridCol w:w="780"/>
      </w:tblGrid>
      <w:tr>
        <w:trPr>
          <w:trHeight w:val="40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530"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99"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46"/>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95" w:right="9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5"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50"/>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8"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both"/>
              <w:rPr>
                <w:rFonts w:ascii="宋体" w:hAnsi="宋体" w:cs="宋体" w:eastAsia="宋体" w:hint="default"/>
                <w:sz w:val="18"/>
                <w:szCs w:val="18"/>
              </w:rPr>
            </w:pPr>
            <w:r>
              <w:rPr>
                <w:rFonts w:ascii="宋体" w:hAnsi="宋体" w:cs="宋体" w:eastAsia="宋体" w:hint="default"/>
                <w:sz w:val="18"/>
                <w:szCs w:val="18"/>
              </w:rPr>
              <w:t>厦门安妮企业有限公 司、厦门安妮商务信 息用纸有限公司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4,000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435</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厦门安妮企业有限公 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3,000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both"/>
              <w:rPr>
                <w:rFonts w:ascii="宋体" w:hAnsi="宋体" w:cs="宋体" w:eastAsia="宋体" w:hint="default"/>
                <w:sz w:val="18"/>
                <w:szCs w:val="18"/>
              </w:rPr>
            </w:pPr>
            <w:r>
              <w:rPr>
                <w:rFonts w:ascii="宋体" w:hAnsi="宋体" w:cs="宋体" w:eastAsia="宋体" w:hint="default"/>
                <w:sz w:val="18"/>
                <w:szCs w:val="18"/>
              </w:rPr>
              <w:t>厦门安妮企业有限公 司、厦门安妮商务信 息用纸有限公司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4,385</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left"/>
              <w:rPr>
                <w:rFonts w:ascii="宋体" w:hAnsi="宋体" w:cs="宋体" w:eastAsia="宋体" w:hint="default"/>
                <w:sz w:val="18"/>
                <w:szCs w:val="18"/>
              </w:rPr>
            </w:pPr>
            <w:r>
              <w:rPr>
                <w:rFonts w:ascii="宋体" w:hAnsi="宋体" w:cs="宋体" w:eastAsia="宋体" w:hint="default"/>
                <w:sz w:val="18"/>
                <w:szCs w:val="18"/>
              </w:rPr>
              <w:t>厦门安妮企业有限公 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3,000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96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both"/>
              <w:rPr>
                <w:rFonts w:ascii="宋体" w:hAnsi="宋体" w:cs="宋体" w:eastAsia="宋体" w:hint="default"/>
                <w:sz w:val="18"/>
                <w:szCs w:val="18"/>
              </w:rPr>
            </w:pPr>
            <w:r>
              <w:rPr>
                <w:rFonts w:ascii="宋体" w:hAnsi="宋体" w:cs="宋体" w:eastAsia="宋体" w:hint="default"/>
                <w:sz w:val="18"/>
                <w:szCs w:val="18"/>
              </w:rPr>
              <w:t>厦门安妮商务信息用 纸有限公司、厦门安 妮企业有限公司、上 海超级标贴系统有限 公司、北京畅元国讯 科技有限公司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25</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6,671</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709"/>
        <w:gridCol w:w="913"/>
        <w:gridCol w:w="920"/>
        <w:gridCol w:w="1313"/>
        <w:gridCol w:w="1044"/>
        <w:gridCol w:w="1054"/>
        <w:gridCol w:w="1045"/>
        <w:gridCol w:w="786"/>
        <w:gridCol w:w="790"/>
      </w:tblGrid>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33" w:type="dxa"/>
            <w:gridSpan w:val="2"/>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38,000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11491</w:t>
            </w:r>
          </w:p>
        </w:tc>
      </w:tr>
      <w:tr>
        <w:trPr>
          <w:trHeight w:val="40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92" w:right="89"/>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7"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1"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4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425" w:right="66"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2"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7"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07"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8"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33" w:type="dxa"/>
            <w:gridSpan w:val="2"/>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38,000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11491</w:t>
            </w:r>
          </w:p>
        </w:tc>
      </w:tr>
      <w:tr>
        <w:trPr>
          <w:trHeight w:val="402"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6.19%</w:t>
            </w:r>
            <w:r>
              <w:rPr>
                <w:rFonts w:ascii="Times New Roman"/>
                <w:sz w:val="18"/>
              </w:rPr>
            </w:r>
          </w:p>
        </w:tc>
      </w:tr>
      <w:tr>
        <w:trPr>
          <w:trHeight w:val="40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2"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126"/>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 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8" w:type="dxa"/>
            <w:gridSpan w:val="5"/>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1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对未到期担保，报告期内已发生担保责任或可能承担连带清偿</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责任的情况说明（如有）</w:t>
            </w:r>
          </w:p>
        </w:tc>
        <w:tc>
          <w:tcPr>
            <w:tcW w:w="4718" w:type="dxa"/>
            <w:gridSpan w:val="5"/>
            <w:tcBorders>
              <w:top w:val="single" w:sz="4" w:space="0" w:color="000000"/>
              <w:left w:val="single" w:sz="13" w:space="0" w:color="D3D3D3"/>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）违规对外担保情况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67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公司报告期无违规对外担保情况。</w:t>
      </w:r>
    </w:p>
    <w:p>
      <w:pPr>
        <w:spacing w:line="240" w:lineRule="auto" w:before="1"/>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）委托理财情况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82" w:top="1100" w:bottom="1180" w:left="980" w:right="0"/>
        </w:sectPr>
      </w:pPr>
    </w:p>
    <w:p>
      <w:pPr>
        <w:spacing w:line="340" w:lineRule="auto" w:before="44"/>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单位：万元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955" w:space="6784"/>
            <w:col w:w="219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68"/>
        <w:gridCol w:w="1962"/>
        <w:gridCol w:w="1981"/>
        <w:gridCol w:w="1908"/>
        <w:gridCol w:w="1848"/>
      </w:tblGrid>
      <w:tr>
        <w:trPr>
          <w:trHeight w:val="401" w:hRule="exact"/>
        </w:trPr>
        <w:tc>
          <w:tcPr>
            <w:tcW w:w="18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68"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714"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35"/>
              <w:jc w:val="left"/>
              <w:rPr>
                <w:rFonts w:ascii="宋体" w:hAnsi="宋体" w:cs="宋体" w:eastAsia="宋体" w:hint="default"/>
                <w:sz w:val="18"/>
                <w:szCs w:val="18"/>
              </w:rPr>
            </w:pPr>
            <w:r>
              <w:rPr>
                <w:rFonts w:ascii="宋体" w:hAnsi="宋体" w:cs="宋体" w:eastAsia="宋体" w:hint="default"/>
                <w:sz w:val="18"/>
                <w:szCs w:val="18"/>
              </w:rPr>
              <w:t>银行理财产品（结构性 存款）</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闲置募集资金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63,000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63,000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8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63,000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单项金额重大或安全性较低、流动性较差、不保本的高风险委托理财具体情况</w:t>
      </w:r>
    </w:p>
    <w:p>
      <w:pPr>
        <w:spacing w:before="116"/>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type w:val="continuous"/>
          <w:pgSz w:w="11910" w:h="16840"/>
          <w:pgMar w:top="1060" w:bottom="1180" w:left="980" w:right="0"/>
        </w:sectPr>
      </w:pPr>
    </w:p>
    <w:p>
      <w:pPr>
        <w:spacing w:line="240" w:lineRule="auto" w:before="13"/>
        <w:rPr>
          <w:rFonts w:ascii="宋体" w:hAnsi="宋体" w:cs="宋体" w:eastAsia="宋体" w:hint="default"/>
          <w:sz w:val="21"/>
          <w:szCs w:val="21"/>
        </w:rPr>
      </w:pPr>
    </w:p>
    <w:p>
      <w:pPr>
        <w:spacing w:before="44"/>
        <w:ind w:left="153" w:right="0" w:firstLine="0"/>
        <w:jc w:val="both"/>
        <w:rPr>
          <w:rFonts w:ascii="宋体" w:hAnsi="宋体" w:cs="宋体" w:eastAsia="宋体" w:hint="default"/>
          <w:sz w:val="18"/>
          <w:szCs w:val="18"/>
        </w:rPr>
      </w:pPr>
      <w:r>
        <w:rPr>
          <w:rFonts w:ascii="宋体" w:hAnsi="宋体" w:cs="宋体" w:eastAsia="宋体" w:hint="default"/>
          <w:sz w:val="18"/>
          <w:szCs w:val="18"/>
        </w:rPr>
        <w:t>委托理财出现预期无法收回本金或存在其他可能导致减值的情形</w:t>
      </w:r>
    </w:p>
    <w:p>
      <w:pPr>
        <w:spacing w:before="116"/>
        <w:ind w:left="15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0"/>
        <w:jc w:val="both"/>
        <w:rPr>
          <w:b w:val="0"/>
          <w:bCs w:val="0"/>
        </w:rPr>
      </w:pPr>
      <w:r>
        <w:rPr/>
        <w:t>（</w:t>
      </w:r>
      <w:r>
        <w:rPr>
          <w:rFonts w:ascii="Times New Roman" w:hAnsi="Times New Roman" w:cs="Times New Roman" w:eastAsia="Times New Roman" w:hint="default"/>
        </w:rPr>
        <w:t>2</w:t>
      </w:r>
      <w:r>
        <w:rPr/>
        <w:t>）委托贷款情况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84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公司报告期不存在委托贷款。</w:t>
      </w:r>
    </w:p>
    <w:p>
      <w:pPr>
        <w:spacing w:line="240" w:lineRule="auto" w:before="12"/>
        <w:rPr>
          <w:rFonts w:ascii="宋体" w:hAnsi="宋体" w:cs="宋体" w:eastAsia="宋体" w:hint="default"/>
          <w:sz w:val="20"/>
          <w:szCs w:val="20"/>
        </w:rPr>
      </w:pPr>
    </w:p>
    <w:p>
      <w:pPr>
        <w:pStyle w:val="Heading4"/>
        <w:spacing w:line="240" w:lineRule="auto"/>
        <w:ind w:right="0"/>
        <w:jc w:val="both"/>
        <w:rPr>
          <w:b w:val="0"/>
          <w:bCs w:val="0"/>
        </w:rPr>
      </w:pPr>
      <w:r>
        <w:rPr>
          <w:rFonts w:ascii="Times New Roman" w:hAnsi="Times New Roman" w:cs="Times New Roman" w:eastAsia="Times New Roman" w:hint="default"/>
        </w:rPr>
        <w:t>4</w:t>
      </w:r>
      <w:r>
        <w:rPr/>
        <w:t>、其他重大合同</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805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公司报告期不存在其他重大合同。</w:t>
      </w:r>
    </w:p>
    <w:p>
      <w:pPr>
        <w:spacing w:line="240" w:lineRule="auto" w:before="4"/>
        <w:rPr>
          <w:rFonts w:ascii="宋体" w:hAnsi="宋体" w:cs="宋体" w:eastAsia="宋体" w:hint="default"/>
          <w:sz w:val="19"/>
          <w:szCs w:val="19"/>
        </w:rPr>
      </w:pPr>
    </w:p>
    <w:p>
      <w:pPr>
        <w:pStyle w:val="Heading2"/>
        <w:spacing w:line="240" w:lineRule="auto"/>
        <w:ind w:right="0"/>
        <w:jc w:val="both"/>
        <w:rPr>
          <w:b w:val="0"/>
          <w:bCs w:val="0"/>
        </w:rPr>
      </w:pPr>
      <w:r>
        <w:rPr/>
        <w:t>十八、社会责任情况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both"/>
        <w:rPr>
          <w:b w:val="0"/>
          <w:bCs w:val="0"/>
        </w:rPr>
      </w:pPr>
      <w:r>
        <w:rPr>
          <w:rFonts w:ascii="Times New Roman" w:hAnsi="Times New Roman" w:cs="Times New Roman" w:eastAsia="Times New Roman" w:hint="default"/>
        </w:rPr>
        <w:t>1</w:t>
      </w:r>
      <w:r>
        <w:rPr/>
        <w:t>、履行社会责任情况</w:t>
      </w:r>
      <w:r>
        <w:rPr>
          <w:b w:val="0"/>
          <w:bCs w:val="0"/>
        </w:rPr>
      </w:r>
    </w:p>
    <w:p>
      <w:pPr>
        <w:spacing w:line="240" w:lineRule="auto" w:before="6"/>
        <w:rPr>
          <w:rFonts w:ascii="宋体" w:hAnsi="宋体" w:cs="宋体" w:eastAsia="宋体" w:hint="default"/>
          <w:b/>
          <w:bCs/>
          <w:sz w:val="32"/>
          <w:szCs w:val="32"/>
        </w:rPr>
      </w:pPr>
    </w:p>
    <w:p>
      <w:pPr>
        <w:spacing w:line="477" w:lineRule="auto" w:before="0"/>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公司严格按照深交所“上市公司规范运作指引”的要求，在追求经济效益、保护股东利益的同时，积极保护债权人和职</w:t>
      </w:r>
      <w:r>
        <w:rPr>
          <w:rFonts w:ascii="宋体" w:hAnsi="宋体" w:cs="宋体" w:eastAsia="宋体" w:hint="default"/>
          <w:sz w:val="18"/>
          <w:szCs w:val="18"/>
        </w:rPr>
        <w:t> </w:t>
      </w:r>
      <w:r>
        <w:rPr>
          <w:rFonts w:ascii="宋体" w:hAnsi="宋体" w:cs="宋体" w:eastAsia="宋体" w:hint="default"/>
          <w:spacing w:val="-2"/>
          <w:sz w:val="18"/>
          <w:szCs w:val="18"/>
        </w:rPr>
        <w:t>工的合法权益，诚信对待供应商、客户和消费者，积极从事环境保护、社区建设等公益事业，从而促进公司本身与全社会的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协调、和谐发展。 </w:t>
      </w:r>
    </w:p>
    <w:p>
      <w:pPr>
        <w:spacing w:line="477" w:lineRule="auto" w:before="54"/>
        <w:ind w:left="514" w:right="0" w:firstLine="0"/>
        <w:jc w:val="left"/>
        <w:rPr>
          <w:rFonts w:ascii="宋体" w:hAnsi="宋体" w:cs="宋体" w:eastAsia="宋体" w:hint="default"/>
          <w:sz w:val="18"/>
          <w:szCs w:val="18"/>
        </w:rPr>
      </w:pPr>
      <w:r>
        <w:rPr>
          <w:rFonts w:ascii="宋体" w:hAnsi="宋体" w:cs="宋体" w:eastAsia="宋体" w:hint="default"/>
          <w:sz w:val="18"/>
          <w:szCs w:val="18"/>
        </w:rPr>
        <w:t>（一）、加强对投资者的回报和沟通 公司重视对投资者的回报和沟通，2019年，严格按照相关规范运作要求接待机构投资者的调研。 </w:t>
      </w:r>
      <w:r>
        <w:rPr>
          <w:rFonts w:ascii="宋体" w:hAnsi="宋体" w:cs="宋体" w:eastAsia="宋体" w:hint="default"/>
          <w:spacing w:val="-2"/>
          <w:sz w:val="18"/>
          <w:szCs w:val="18"/>
        </w:rPr>
        <w:t>公司完善对内幕信息及相关知情人进行管理，制定《厦门安妮股份有限公司内幕信息知情人登记备案制度》，明确了内</w:t>
      </w:r>
    </w:p>
    <w:p>
      <w:pPr>
        <w:spacing w:before="54"/>
        <w:ind w:left="154" w:right="0" w:firstLine="0"/>
        <w:jc w:val="both"/>
        <w:rPr>
          <w:rFonts w:ascii="宋体" w:hAnsi="宋体" w:cs="宋体" w:eastAsia="宋体" w:hint="default"/>
          <w:sz w:val="18"/>
          <w:szCs w:val="18"/>
        </w:rPr>
      </w:pPr>
      <w:r>
        <w:rPr>
          <w:rFonts w:ascii="宋体" w:hAnsi="宋体" w:cs="宋体" w:eastAsia="宋体" w:hint="default"/>
          <w:sz w:val="18"/>
          <w:szCs w:val="18"/>
        </w:rPr>
        <w:t>幕信息管理责任，建立了内幕信息知情人档案。 </w:t>
      </w:r>
    </w:p>
    <w:p>
      <w:pPr>
        <w:spacing w:line="240" w:lineRule="auto" w:before="10"/>
        <w:rPr>
          <w:rFonts w:ascii="宋体" w:hAnsi="宋体" w:cs="宋体" w:eastAsia="宋体" w:hint="default"/>
          <w:sz w:val="17"/>
          <w:szCs w:val="17"/>
        </w:rPr>
      </w:pPr>
    </w:p>
    <w:p>
      <w:pPr>
        <w:spacing w:line="477" w:lineRule="auto"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（二）、依法开展生产经营活动， </w:t>
      </w:r>
      <w:r>
        <w:rPr>
          <w:rFonts w:ascii="宋体" w:hAnsi="宋体" w:cs="宋体" w:eastAsia="宋体" w:hint="default"/>
          <w:spacing w:val="-2"/>
          <w:sz w:val="18"/>
          <w:szCs w:val="18"/>
        </w:rPr>
        <w:t>公司将公司上下游客户为自身的发展的战略伙伴，与客户共同成长；在经营活动中，遵循自愿、公平、等价有偿、诚实</w:t>
      </w:r>
    </w:p>
    <w:p>
      <w:pPr>
        <w:spacing w:line="477" w:lineRule="auto" w:before="54"/>
        <w:ind w:left="154" w:right="1131" w:firstLine="0"/>
        <w:jc w:val="both"/>
        <w:rPr>
          <w:rFonts w:ascii="宋体" w:hAnsi="宋体" w:cs="宋体" w:eastAsia="宋体" w:hint="default"/>
          <w:sz w:val="18"/>
          <w:szCs w:val="18"/>
        </w:rPr>
      </w:pPr>
      <w:r>
        <w:rPr>
          <w:rFonts w:ascii="宋体" w:hAnsi="宋体" w:cs="宋体" w:eastAsia="宋体" w:hint="default"/>
          <w:spacing w:val="-2"/>
          <w:sz w:val="18"/>
          <w:szCs w:val="18"/>
        </w:rPr>
        <w:t>信用的原则，遵守社会公德、商业道德，接受政府和社会公众的监督。大宗物料采购主要以招投标方式进行，给予供应商平</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等的交易机会。公司未通过贿赂、走私等非法活动牟取不正当利益，未侵犯他人的商标权、专利权和著作权等知识产权，未</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从事不正当竞争行为。公司通过ISO9000质量控制体系的有效运行，保证产品质量的稳定和持续提升，维护消费者的合法权 益。 </w:t>
      </w:r>
    </w:p>
    <w:p>
      <w:pPr>
        <w:spacing w:line="477" w:lineRule="auto" w:before="54"/>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报告期内，公司财务稳健，公司资产、资金安全，在追求股东利益最大化的同时兼顾债权人的利益，报告期内未出现重</w:t>
      </w:r>
      <w:r>
        <w:rPr>
          <w:rFonts w:ascii="宋体" w:hAnsi="宋体" w:cs="宋体" w:eastAsia="宋体" w:hint="default"/>
          <w:sz w:val="18"/>
          <w:szCs w:val="18"/>
        </w:rPr>
        <w:t> 大资产损失或损害债权人合法利益的情况。 </w:t>
      </w:r>
    </w:p>
    <w:p>
      <w:pPr>
        <w:spacing w:line="477" w:lineRule="auto" w:before="54"/>
        <w:ind w:left="154" w:right="1041" w:firstLine="360"/>
        <w:jc w:val="both"/>
        <w:rPr>
          <w:rFonts w:ascii="宋体" w:hAnsi="宋体" w:cs="宋体" w:eastAsia="宋体" w:hint="default"/>
          <w:sz w:val="18"/>
          <w:szCs w:val="18"/>
        </w:rPr>
      </w:pPr>
      <w:r>
        <w:rPr>
          <w:rFonts w:ascii="宋体" w:hAnsi="宋体" w:cs="宋体" w:eastAsia="宋体" w:hint="default"/>
          <w:spacing w:val="-2"/>
          <w:sz w:val="18"/>
          <w:szCs w:val="18"/>
        </w:rPr>
        <w:t>公司认真接受政府部门和监管机关的监督和检查，密切关注与公司相关的舆情，公司对社会公众及新闻媒体对公司的评</w:t>
      </w:r>
      <w:r>
        <w:rPr>
          <w:rFonts w:ascii="宋体" w:hAnsi="宋体" w:cs="宋体" w:eastAsia="宋体" w:hint="default"/>
          <w:sz w:val="18"/>
          <w:szCs w:val="18"/>
        </w:rPr>
        <w:t> </w:t>
      </w:r>
      <w:r>
        <w:rPr>
          <w:rFonts w:ascii="宋体" w:hAnsi="宋体" w:cs="宋体" w:eastAsia="宋体" w:hint="default"/>
          <w:spacing w:val="-5"/>
          <w:sz w:val="18"/>
          <w:szCs w:val="18"/>
        </w:rPr>
        <w:t>论予以积极回应和沟通。报告期内，公司沟通渠道顺畅，未出现因沟通不畅导致出现对公司造成负面影响的的媒体关注事件。</w:t>
      </w:r>
      <w:r>
        <w:rPr>
          <w:rFonts w:ascii="宋体" w:hAnsi="宋体" w:cs="宋体" w:eastAsia="宋体" w:hint="default"/>
          <w:sz w:val="18"/>
          <w:szCs w:val="18"/>
        </w:rPr>
        <w:t> </w:t>
      </w:r>
    </w:p>
    <w:p>
      <w:pPr>
        <w:spacing w:before="54"/>
        <w:ind w:left="634" w:right="0" w:firstLine="0"/>
        <w:jc w:val="left"/>
        <w:rPr>
          <w:rFonts w:ascii="宋体" w:hAnsi="宋体" w:cs="宋体" w:eastAsia="宋体" w:hint="default"/>
          <w:sz w:val="18"/>
          <w:szCs w:val="18"/>
        </w:rPr>
      </w:pPr>
      <w:r>
        <w:rPr>
          <w:rFonts w:ascii="宋体" w:hAnsi="宋体" w:cs="宋体" w:eastAsia="宋体" w:hint="default"/>
          <w:sz w:val="18"/>
          <w:szCs w:val="18"/>
        </w:rPr>
        <w:t>（三）、环境保护 </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1"/>
        <w:rPr>
          <w:rFonts w:ascii="宋体" w:hAnsi="宋体" w:cs="宋体" w:eastAsia="宋体" w:hint="default"/>
          <w:sz w:val="27"/>
          <w:szCs w:val="27"/>
        </w:rPr>
      </w:pPr>
    </w:p>
    <w:p>
      <w:pPr>
        <w:spacing w:line="477" w:lineRule="auto" w:before="44"/>
        <w:ind w:left="153" w:right="0" w:firstLine="360"/>
        <w:jc w:val="left"/>
        <w:rPr>
          <w:rFonts w:ascii="宋体" w:hAnsi="宋体" w:cs="宋体" w:eastAsia="宋体" w:hint="default"/>
          <w:sz w:val="18"/>
          <w:szCs w:val="18"/>
        </w:rPr>
      </w:pPr>
      <w:r>
        <w:rPr>
          <w:rFonts w:ascii="宋体" w:hAnsi="宋体" w:cs="宋体" w:eastAsia="宋体" w:hint="default"/>
          <w:spacing w:val="-2"/>
          <w:sz w:val="18"/>
          <w:szCs w:val="18"/>
        </w:rPr>
        <w:t>公司制定根据自身业务的实际情况，采取了适当的环境保护政策，公司指定董事长作为公司环境保护的第一责任人，为</w:t>
      </w:r>
      <w:r>
        <w:rPr>
          <w:rFonts w:ascii="宋体" w:hAnsi="宋体" w:cs="宋体" w:eastAsia="宋体" w:hint="default"/>
          <w:sz w:val="18"/>
          <w:szCs w:val="18"/>
        </w:rPr>
        <w:t> </w:t>
      </w:r>
      <w:r>
        <w:rPr>
          <w:rFonts w:ascii="宋体" w:hAnsi="宋体" w:cs="宋体" w:eastAsia="宋体" w:hint="default"/>
          <w:spacing w:val="-2"/>
          <w:sz w:val="18"/>
          <w:szCs w:val="18"/>
        </w:rPr>
        <w:t>环保工作提供必要的人力、物力、技术和财力支持，定期指派专人检查环保政策的实施情况，公司生产运营过程中产生的边</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角料和废料均最大限度予以回收利用，不能回收的均进行无害化处理；公司从节能减排、降低能耗入手，优化节能减排设施，</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z w:val="18"/>
          <w:szCs w:val="18"/>
        </w:rPr>
        <w:t>加强能耗管理，在环境保护与成本节约两方面均取得良好效果。 </w:t>
      </w:r>
    </w:p>
    <w:p>
      <w:pPr>
        <w:spacing w:before="54"/>
        <w:ind w:left="633" w:right="0" w:firstLine="0"/>
        <w:jc w:val="left"/>
        <w:rPr>
          <w:rFonts w:ascii="宋体" w:hAnsi="宋体" w:cs="宋体" w:eastAsia="宋体" w:hint="default"/>
          <w:sz w:val="18"/>
          <w:szCs w:val="18"/>
        </w:rPr>
      </w:pPr>
      <w:r>
        <w:rPr>
          <w:rFonts w:ascii="宋体" w:hAnsi="宋体" w:cs="宋体" w:eastAsia="宋体" w:hint="default"/>
          <w:sz w:val="18"/>
          <w:szCs w:val="18"/>
        </w:rPr>
        <w:t>（四）、员工成长  </w:t>
      </w:r>
    </w:p>
    <w:p>
      <w:pPr>
        <w:spacing w:line="240" w:lineRule="auto" w:before="10"/>
        <w:rPr>
          <w:rFonts w:ascii="宋体" w:hAnsi="宋体" w:cs="宋体" w:eastAsia="宋体" w:hint="default"/>
          <w:sz w:val="17"/>
          <w:szCs w:val="17"/>
        </w:rPr>
      </w:pPr>
    </w:p>
    <w:p>
      <w:pPr>
        <w:spacing w:line="477" w:lineRule="auto" w:before="0"/>
        <w:ind w:left="153" w:right="1121" w:firstLine="0"/>
        <w:jc w:val="left"/>
        <w:rPr>
          <w:rFonts w:ascii="宋体" w:hAnsi="宋体" w:cs="宋体" w:eastAsia="宋体" w:hint="default"/>
          <w:sz w:val="18"/>
          <w:szCs w:val="18"/>
        </w:rPr>
      </w:pPr>
      <w:r>
        <w:rPr>
          <w:rFonts w:ascii="宋体" w:hAnsi="宋体" w:cs="宋体" w:eastAsia="宋体" w:hint="default"/>
          <w:sz w:val="18"/>
          <w:szCs w:val="18"/>
        </w:rPr>
        <w:t>     公司以建立“学习型组织”的为开展员工培训的指导原则，通过多种形式开展了公司新员工入职培训、基层员工职业 素养、岗位技能培训、管理素质培训、领导力培训等员工成长培训，建立完善多样化、层次化的培训体系。  </w:t>
      </w:r>
    </w:p>
    <w:p>
      <w:pPr>
        <w:spacing w:line="477" w:lineRule="auto" w:before="54"/>
        <w:ind w:left="153" w:right="1121" w:firstLine="0"/>
        <w:jc w:val="left"/>
        <w:rPr>
          <w:rFonts w:ascii="宋体" w:hAnsi="宋体" w:cs="宋体" w:eastAsia="宋体" w:hint="default"/>
          <w:sz w:val="18"/>
          <w:szCs w:val="18"/>
        </w:rPr>
      </w:pPr>
      <w:r>
        <w:rPr>
          <w:rFonts w:ascii="宋体" w:hAnsi="宋体" w:cs="宋体" w:eastAsia="宋体" w:hint="default"/>
          <w:sz w:val="18"/>
          <w:szCs w:val="18"/>
        </w:rPr>
        <w:t>    公司建立了规范的劳动关系与劳动合同制度，职工劳动合同签订率达到100％；完善了包括薪酬体系、考核体系、激励 机制、劳动人事管理等在内的用人制度，保障职工依法享有劳动权利和履行劳动义务。 </w:t>
      </w:r>
    </w:p>
    <w:p>
      <w:pPr>
        <w:spacing w:line="477" w:lineRule="auto" w:before="54"/>
        <w:ind w:left="153" w:right="0" w:firstLine="360"/>
        <w:jc w:val="left"/>
        <w:rPr>
          <w:rFonts w:ascii="宋体" w:hAnsi="宋体" w:cs="宋体" w:eastAsia="宋体" w:hint="default"/>
          <w:sz w:val="18"/>
          <w:szCs w:val="18"/>
        </w:rPr>
      </w:pPr>
      <w:r>
        <w:rPr>
          <w:rFonts w:ascii="宋体" w:hAnsi="宋体" w:cs="宋体" w:eastAsia="宋体" w:hint="default"/>
          <w:spacing w:val="-2"/>
          <w:sz w:val="18"/>
          <w:szCs w:val="18"/>
        </w:rPr>
        <w:t>公司建立职工监事选任制度，确保职工在公司治理中享有充分的权利；支持工会依法开展工作，对工资、福利、劳动安</w:t>
      </w:r>
      <w:r>
        <w:rPr>
          <w:rFonts w:ascii="宋体" w:hAnsi="宋体" w:cs="宋体" w:eastAsia="宋体" w:hint="default"/>
          <w:sz w:val="18"/>
          <w:szCs w:val="18"/>
        </w:rPr>
        <w:t> </w:t>
      </w:r>
      <w:r>
        <w:rPr>
          <w:rFonts w:ascii="宋体" w:hAnsi="宋体" w:cs="宋体" w:eastAsia="宋体" w:hint="default"/>
          <w:spacing w:val="-5"/>
          <w:sz w:val="18"/>
          <w:szCs w:val="18"/>
        </w:rPr>
        <w:t>全卫生、社会保险等涉及职工切身利益的事项，通过职工代表大会等民主形式听取职工的意见，关心和重视职工的合理需求。</w:t>
      </w:r>
      <w:r>
        <w:rPr>
          <w:rFonts w:ascii="宋体" w:hAnsi="宋体" w:cs="宋体" w:eastAsia="宋体" w:hint="default"/>
          <w:sz w:val="18"/>
          <w:szCs w:val="18"/>
        </w:rPr>
        <w:t> </w:t>
      </w:r>
    </w:p>
    <w:p>
      <w:pPr>
        <w:spacing w:line="240" w:lineRule="auto" w:before="3"/>
        <w:rPr>
          <w:rFonts w:ascii="宋体" w:hAnsi="宋体" w:cs="宋体" w:eastAsia="宋体" w:hint="default"/>
          <w:sz w:val="19"/>
          <w:szCs w:val="19"/>
        </w:rPr>
      </w:pPr>
    </w:p>
    <w:p>
      <w:pPr>
        <w:pStyle w:val="Heading4"/>
        <w:spacing w:line="240" w:lineRule="auto"/>
        <w:ind w:right="0"/>
        <w:jc w:val="left"/>
        <w:rPr>
          <w:b w:val="0"/>
          <w:bCs w:val="0"/>
        </w:rPr>
      </w:pPr>
      <w:r>
        <w:rPr>
          <w:rFonts w:ascii="Times New Roman" w:hAnsi="Times New Roman" w:cs="Times New Roman" w:eastAsia="Times New Roman" w:hint="default"/>
        </w:rPr>
        <w:t>2</w:t>
      </w:r>
      <w:r>
        <w:rPr/>
        <w:t>、履行精准扶贫社会责任情况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公司报告年度暂未开展精准扶贫工作，也暂无后续精准扶贫计划。</w:t>
      </w:r>
    </w:p>
    <w:p>
      <w:pPr>
        <w:spacing w:line="240" w:lineRule="auto" w:before="12"/>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w:t>
      </w:r>
      <w:r>
        <w:rPr/>
        <w:t>、环境保护相关的情况</w:t>
      </w:r>
      <w:r>
        <w:rPr>
          <w:b w:val="0"/>
          <w:bCs w:val="0"/>
        </w:rPr>
      </w:r>
    </w:p>
    <w:p>
      <w:pPr>
        <w:spacing w:line="240" w:lineRule="auto" w:before="8"/>
        <w:rPr>
          <w:rFonts w:ascii="宋体" w:hAnsi="宋体" w:cs="宋体" w:eastAsia="宋体" w:hint="default"/>
          <w:b/>
          <w:bCs/>
          <w:sz w:val="26"/>
          <w:szCs w:val="26"/>
        </w:rPr>
      </w:pPr>
    </w:p>
    <w:p>
      <w:pPr>
        <w:spacing w:line="357" w:lineRule="auto" w:before="0"/>
        <w:ind w:left="153" w:right="5711"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否</w:t>
      </w:r>
    </w:p>
    <w:p>
      <w:pPr>
        <w:spacing w:before="28"/>
        <w:ind w:left="153" w:right="0" w:firstLine="0"/>
        <w:jc w:val="left"/>
        <w:rPr>
          <w:rFonts w:ascii="宋体" w:hAnsi="宋体" w:cs="宋体" w:eastAsia="宋体" w:hint="default"/>
          <w:sz w:val="18"/>
          <w:szCs w:val="18"/>
        </w:rPr>
      </w:pPr>
      <w:r>
        <w:rPr>
          <w:rFonts w:ascii="宋体" w:hAnsi="宋体" w:cs="宋体" w:eastAsia="宋体" w:hint="default"/>
          <w:sz w:val="18"/>
          <w:szCs w:val="18"/>
        </w:rPr>
        <w:t>上市公司及其子公司不属于环境保护部门公布的重点排污单位</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r>
        <w:rPr/>
        <w:t>十九、其他重大事项的说明</w:t>
      </w:r>
      <w:r>
        <w:rPr>
          <w:b w:val="0"/>
          <w:bCs w:val="0"/>
        </w:rPr>
      </w:r>
    </w:p>
    <w:p>
      <w:pPr>
        <w:spacing w:line="240" w:lineRule="auto" w:before="7"/>
        <w:rPr>
          <w:rFonts w:ascii="宋体" w:hAnsi="宋体" w:cs="宋体" w:eastAsia="宋体" w:hint="default"/>
          <w:b/>
          <w:bCs/>
          <w:sz w:val="26"/>
          <w:szCs w:val="26"/>
        </w:rPr>
      </w:pPr>
    </w:p>
    <w:p>
      <w:pPr>
        <w:spacing w:line="412" w:lineRule="auto" w:before="0"/>
        <w:ind w:left="514" w:right="1117"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根据公司与杨超、雷建、毛智才、江勇、陈兆滨、鲁武英（以下简称“交易方”）签订的《发行股份及支付现金购买资</w:t>
      </w:r>
    </w:p>
    <w:p>
      <w:pPr>
        <w:spacing w:line="477" w:lineRule="auto" w:before="103"/>
        <w:ind w:left="154" w:right="1030" w:firstLine="0"/>
        <w:jc w:val="left"/>
        <w:rPr>
          <w:rFonts w:ascii="宋体" w:hAnsi="宋体" w:cs="宋体" w:eastAsia="宋体" w:hint="default"/>
          <w:sz w:val="18"/>
          <w:szCs w:val="18"/>
        </w:rPr>
      </w:pPr>
      <w:r>
        <w:rPr>
          <w:rFonts w:ascii="宋体" w:hAnsi="宋体" w:cs="宋体" w:eastAsia="宋体" w:hint="default"/>
          <w:sz w:val="18"/>
          <w:szCs w:val="18"/>
        </w:rPr>
        <w:t>产协议》（以下简称“购买协议”），交易方承诺畅元国讯在2016年、2017年、2018年实现的净利润分别不低于7600万元、 10000万元、13000万元。 </w:t>
      </w:r>
    </w:p>
    <w:p>
      <w:pPr>
        <w:spacing w:line="477" w:lineRule="auto" w:before="54"/>
        <w:ind w:left="154" w:right="1210" w:firstLine="360"/>
        <w:jc w:val="left"/>
        <w:rPr>
          <w:rFonts w:ascii="宋体" w:hAnsi="宋体" w:cs="宋体" w:eastAsia="宋体" w:hint="default"/>
          <w:sz w:val="18"/>
          <w:szCs w:val="18"/>
        </w:rPr>
      </w:pPr>
      <w:r>
        <w:rPr>
          <w:rFonts w:ascii="宋体" w:hAnsi="宋体" w:cs="宋体" w:eastAsia="宋体" w:hint="default"/>
          <w:sz w:val="18"/>
          <w:szCs w:val="18"/>
        </w:rPr>
        <w:t>畅元国讯三年业绩承诺期结束，2016年完成业绩承诺，2017年扣非后实现净利润6,155.71万元，畅元国讯原股东2017 年度应补偿股份数为28,836,603股，2019年3月27日公司完成回购 21,500,572股，2019年7月26日公司完成回购注销 3,605,000股，2019年公司11月13日完成回购注销3,731,031股，畅元国讯原股东履行完毕2017年业绩补偿义务。 </w:t>
      </w:r>
    </w:p>
    <w:p>
      <w:pPr>
        <w:spacing w:line="477" w:lineRule="auto" w:before="54"/>
        <w:ind w:left="154" w:right="1120" w:firstLine="360"/>
        <w:jc w:val="left"/>
        <w:rPr>
          <w:rFonts w:ascii="宋体" w:hAnsi="宋体" w:cs="宋体" w:eastAsia="宋体" w:hint="default"/>
          <w:sz w:val="18"/>
          <w:szCs w:val="18"/>
        </w:rPr>
      </w:pPr>
      <w:r>
        <w:rPr>
          <w:rFonts w:ascii="宋体" w:hAnsi="宋体" w:cs="宋体" w:eastAsia="宋体" w:hint="default"/>
          <w:sz w:val="18"/>
          <w:szCs w:val="18"/>
        </w:rPr>
        <w:t>根据大信会计师事务所（特殊普通合伙）出具的大信专审字[2019]第5-00061号《业绩承诺完成情况审核报告》，畅元 </w:t>
      </w:r>
      <w:r>
        <w:rPr>
          <w:rFonts w:ascii="宋体" w:hAnsi="宋体" w:cs="宋体" w:eastAsia="宋体" w:hint="default"/>
          <w:spacing w:val="-2"/>
          <w:sz w:val="18"/>
          <w:szCs w:val="18"/>
        </w:rPr>
        <w:t>国讯2018年度扣除非经常性损益后归属于母公司股东的净利润为9,229.69万元，低于业绩承诺金额。根据大信会计师事务所</w:t>
      </w:r>
    </w:p>
    <w:p>
      <w:pPr>
        <w:spacing w:before="54"/>
        <w:ind w:left="154" w:right="0" w:firstLine="0"/>
        <w:jc w:val="left"/>
        <w:rPr>
          <w:rFonts w:ascii="宋体" w:hAnsi="宋体" w:cs="宋体" w:eastAsia="宋体" w:hint="default"/>
          <w:sz w:val="18"/>
          <w:szCs w:val="18"/>
        </w:rPr>
      </w:pPr>
      <w:r>
        <w:rPr>
          <w:rFonts w:ascii="宋体" w:hAnsi="宋体" w:cs="宋体" w:eastAsia="宋体" w:hint="default"/>
          <w:sz w:val="18"/>
          <w:szCs w:val="18"/>
        </w:rPr>
        <w:t>（特殊普通合伙）的出具的大信审字[2019]第5-00149号《厦门安妮股份有限公司2018年审计报告》以及中联资产评估集团</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1"/>
        <w:rPr>
          <w:rFonts w:ascii="宋体" w:hAnsi="宋体" w:cs="宋体" w:eastAsia="宋体" w:hint="default"/>
          <w:sz w:val="27"/>
          <w:szCs w:val="27"/>
        </w:rPr>
      </w:pPr>
    </w:p>
    <w:p>
      <w:pPr>
        <w:spacing w:line="477" w:lineRule="auto" w:before="44"/>
        <w:ind w:left="153" w:right="1138" w:firstLine="0"/>
        <w:jc w:val="both"/>
        <w:rPr>
          <w:rFonts w:ascii="宋体" w:hAnsi="宋体" w:cs="宋体" w:eastAsia="宋体" w:hint="default"/>
          <w:sz w:val="18"/>
          <w:szCs w:val="18"/>
        </w:rPr>
      </w:pPr>
      <w:r>
        <w:rPr>
          <w:rFonts w:ascii="宋体" w:hAnsi="宋体" w:cs="宋体" w:eastAsia="宋体" w:hint="default"/>
          <w:sz w:val="18"/>
          <w:szCs w:val="18"/>
        </w:rPr>
        <w:t>有限公司出具的中联评报字[2019]第605号《厦门安妮股份有限公司拟对合并北京畅元国讯科技有限公司股权形成的商誉进 行减值测试项目资产评估报告》，2018年度，公司购买畅元国讯100%股权所形成的商誉未发生减值。 </w:t>
      </w:r>
    </w:p>
    <w:p>
      <w:pPr>
        <w:spacing w:before="54"/>
        <w:ind w:left="453" w:right="0" w:firstLine="0"/>
        <w:jc w:val="left"/>
        <w:rPr>
          <w:rFonts w:ascii="宋体" w:hAnsi="宋体" w:cs="宋体" w:eastAsia="宋体" w:hint="default"/>
          <w:sz w:val="18"/>
          <w:szCs w:val="18"/>
        </w:rPr>
      </w:pPr>
      <w:r>
        <w:rPr>
          <w:rFonts w:ascii="宋体" w:hAnsi="宋体" w:cs="宋体" w:eastAsia="宋体" w:hint="default"/>
          <w:sz w:val="18"/>
          <w:szCs w:val="18"/>
        </w:rPr>
        <w:t>2019年8月15日，公司第四届董事第三十一次会议、第四届监事会第二十五次会议审议通过了《关于公司重大资产重组</w:t>
      </w:r>
    </w:p>
    <w:p>
      <w:pPr>
        <w:spacing w:line="240" w:lineRule="auto" w:before="10"/>
        <w:rPr>
          <w:rFonts w:ascii="宋体" w:hAnsi="宋体" w:cs="宋体" w:eastAsia="宋体" w:hint="default"/>
          <w:sz w:val="17"/>
          <w:szCs w:val="17"/>
        </w:rPr>
      </w:pPr>
    </w:p>
    <w:p>
      <w:pPr>
        <w:spacing w:line="477" w:lineRule="auto" w:before="0"/>
        <w:ind w:left="153" w:right="1127" w:firstLine="0"/>
        <w:jc w:val="both"/>
        <w:rPr>
          <w:rFonts w:ascii="宋体" w:hAnsi="宋体" w:cs="宋体" w:eastAsia="宋体" w:hint="default"/>
          <w:sz w:val="18"/>
          <w:szCs w:val="18"/>
        </w:rPr>
      </w:pPr>
      <w:r>
        <w:rPr>
          <w:rFonts w:ascii="宋体" w:hAnsi="宋体" w:cs="宋体" w:eastAsia="宋体" w:hint="default"/>
          <w:spacing w:val="-2"/>
          <w:sz w:val="18"/>
          <w:szCs w:val="18"/>
        </w:rPr>
        <w:t>2018年度未完成业绩承诺相关重组方对公司进行业绩补偿的议案》及《关于提请股东大会授权公司董事会办理股份回购及工</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商变更等相关事项的议案》。2019年9月5日，公司2019年度第三次临时股东大会审议通过了《关于公司重大资产重组2018</w:t>
      </w:r>
      <w:r>
        <w:rPr>
          <w:rFonts w:ascii="宋体" w:hAnsi="宋体" w:cs="宋体" w:eastAsia="宋体" w:hint="default"/>
          <w:spacing w:val="-8"/>
          <w:sz w:val="18"/>
          <w:szCs w:val="18"/>
        </w:rPr>
        <w:t> </w:t>
      </w:r>
      <w:r>
        <w:rPr>
          <w:rFonts w:ascii="宋体" w:hAnsi="宋体" w:cs="宋体" w:eastAsia="宋体" w:hint="default"/>
          <w:spacing w:val="-8"/>
          <w:sz w:val="18"/>
          <w:szCs w:val="18"/>
        </w:rPr>
      </w:r>
      <w:r>
        <w:rPr>
          <w:rFonts w:ascii="宋体" w:hAnsi="宋体" w:cs="宋体" w:eastAsia="宋体" w:hint="default"/>
          <w:spacing w:val="-2"/>
          <w:sz w:val="18"/>
          <w:szCs w:val="18"/>
        </w:rPr>
        <w:t>年度未完成业绩承诺相关重组方对公司进行业绩补偿的议案》及《关于提请股东大会授权公司董事会办理股份回购及工商变</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更等相关事项的议案》。公司股东大会确认交易方2018年度应补偿的股份数12,195,924股将由公司以1元的价格进行回购并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予以注销。2019年9月5日，公司披露了《关于回购注销业绩补偿股份的债权人通知暨减资公告》。 </w:t>
      </w:r>
    </w:p>
    <w:p>
      <w:pPr>
        <w:spacing w:line="477" w:lineRule="auto" w:before="54"/>
        <w:ind w:left="153" w:right="0" w:firstLine="360"/>
        <w:jc w:val="left"/>
        <w:rPr>
          <w:rFonts w:ascii="宋体" w:hAnsi="宋体" w:cs="宋体" w:eastAsia="宋体" w:hint="default"/>
          <w:sz w:val="18"/>
          <w:szCs w:val="18"/>
        </w:rPr>
      </w:pPr>
      <w:r>
        <w:rPr>
          <w:rFonts w:ascii="宋体" w:hAnsi="宋体" w:cs="宋体" w:eastAsia="宋体" w:hint="default"/>
          <w:spacing w:val="-2"/>
          <w:sz w:val="18"/>
          <w:szCs w:val="18"/>
        </w:rPr>
        <w:t>2019年10月25日，公司完成回购注销2,595,292股，2019年公司11月13日完成回购注销3,102,643股，2019年11月22日公</w:t>
      </w:r>
      <w:r>
        <w:rPr>
          <w:rFonts w:ascii="宋体" w:hAnsi="宋体" w:cs="宋体" w:eastAsia="宋体" w:hint="default"/>
          <w:sz w:val="18"/>
          <w:szCs w:val="18"/>
        </w:rPr>
        <w:t> 司完成回购注销6,497,988股，畅元国讯原股东履行完毕2018年业绩补偿义务。 </w:t>
      </w:r>
    </w:p>
    <w:p>
      <w:pPr>
        <w:spacing w:line="240" w:lineRule="auto" w:before="7"/>
        <w:rPr>
          <w:rFonts w:ascii="宋体" w:hAnsi="宋体" w:cs="宋体" w:eastAsia="宋体" w:hint="default"/>
          <w:sz w:val="17"/>
          <w:szCs w:val="17"/>
        </w:rPr>
      </w:pPr>
    </w:p>
    <w:p>
      <w:pPr>
        <w:pStyle w:val="Heading2"/>
        <w:spacing w:line="240" w:lineRule="auto"/>
        <w:ind w:right="0"/>
        <w:jc w:val="both"/>
        <w:rPr>
          <w:b w:val="0"/>
          <w:bCs w:val="0"/>
        </w:rPr>
      </w:pPr>
      <w:r>
        <w:rPr/>
        <w:t>二十、公司子公司重大事项</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both"/>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3046" w:right="0"/>
        <w:jc w:val="left"/>
        <w:rPr>
          <w:b w:val="0"/>
          <w:bCs w:val="0"/>
        </w:rPr>
      </w:pPr>
      <w:bookmarkStart w:name="_TOC_250007" w:id="6"/>
      <w:r>
        <w:rPr/>
        <w:t>第六节股份变动及股东情况</w:t>
      </w:r>
      <w:bookmarkEnd w:id="6"/>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r>
        <w:rPr/>
        <w:t>一、股份变动情况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227"/>
        <w:gridCol w:w="1175"/>
        <w:gridCol w:w="709"/>
        <w:gridCol w:w="566"/>
        <w:gridCol w:w="426"/>
        <w:gridCol w:w="708"/>
        <w:gridCol w:w="992"/>
        <w:gridCol w:w="994"/>
        <w:gridCol w:w="980"/>
        <w:gridCol w:w="794"/>
      </w:tblGrid>
      <w:tr>
        <w:trPr>
          <w:trHeight w:val="402" w:hRule="exact"/>
        </w:trPr>
        <w:tc>
          <w:tcPr>
            <w:tcW w:w="2227" w:type="dxa"/>
            <w:vMerge w:val="restart"/>
            <w:tcBorders>
              <w:top w:val="single" w:sz="4" w:space="0" w:color="000000"/>
              <w:left w:val="single" w:sz="4" w:space="0" w:color="000000"/>
              <w:right w:val="single" w:sz="4" w:space="0" w:color="000000"/>
            </w:tcBorders>
            <w:shd w:val="clear" w:color="auto" w:fill="D3D3D3"/>
          </w:tcPr>
          <w:p>
            <w:pPr/>
          </w:p>
        </w:tc>
        <w:tc>
          <w:tcPr>
            <w:tcW w:w="188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85"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686"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847"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77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4" w:hRule="exact"/>
        </w:trPr>
        <w:tc>
          <w:tcPr>
            <w:tcW w:w="2227" w:type="dxa"/>
            <w:vMerge/>
            <w:tcBorders>
              <w:left w:val="single" w:sz="4" w:space="0" w:color="000000"/>
              <w:bottom w:val="single" w:sz="4" w:space="0" w:color="000000"/>
              <w:right w:val="single" w:sz="4" w:space="0" w:color="000000"/>
            </w:tcBorders>
            <w:shd w:val="clear" w:color="auto" w:fill="D3D3D3"/>
          </w:tcPr>
          <w:p>
            <w:pPr/>
          </w:p>
        </w:tc>
        <w:tc>
          <w:tcPr>
            <w:tcW w:w="117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5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98" w:right="96"/>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4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69" w:right="77"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7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402"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123,598,079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19.81%</w:t>
            </w: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 w:right="0"/>
              <w:jc w:val="center"/>
              <w:rPr>
                <w:rFonts w:ascii="Times New Roman" w:hAnsi="Times New Roman" w:cs="Times New Roman" w:eastAsia="Times New Roman" w:hint="default"/>
                <w:sz w:val="18"/>
                <w:szCs w:val="18"/>
              </w:rPr>
            </w:pPr>
            <w:r>
              <w:rPr>
                <w:rFonts w:ascii="Times New Roman"/>
                <w:sz w:val="18"/>
              </w:rPr>
              <w:t>-65,717,458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-65,717,458</w:t>
            </w:r>
            <w:r>
              <w:rPr>
                <w:rFonts w:ascii="Times New Roman"/>
                <w:sz w:val="18"/>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 w:right="0"/>
              <w:jc w:val="center"/>
              <w:rPr>
                <w:rFonts w:ascii="Times New Roman" w:hAnsi="Times New Roman" w:cs="Times New Roman" w:eastAsia="Times New Roman" w:hint="default"/>
                <w:sz w:val="18"/>
                <w:szCs w:val="18"/>
              </w:rPr>
            </w:pPr>
            <w:r>
              <w:rPr>
                <w:rFonts w:ascii="Times New Roman"/>
                <w:sz w:val="18"/>
              </w:rPr>
              <w:t>57,880,621</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9.95%</w:t>
            </w:r>
            <w:r>
              <w:rPr>
                <w:rFonts w:ascii="Times New Roman"/>
                <w:sz w:val="18"/>
              </w:rPr>
            </w:r>
          </w:p>
        </w:tc>
      </w:tr>
      <w:tr>
        <w:trPr>
          <w:trHeight w:val="402"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123,598,079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19.81%</w:t>
            </w: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 w:right="0"/>
              <w:jc w:val="center"/>
              <w:rPr>
                <w:rFonts w:ascii="Times New Roman" w:hAnsi="Times New Roman" w:cs="Times New Roman" w:eastAsia="Times New Roman" w:hint="default"/>
                <w:sz w:val="18"/>
                <w:szCs w:val="18"/>
              </w:rPr>
            </w:pPr>
            <w:r>
              <w:rPr>
                <w:rFonts w:ascii="Times New Roman"/>
                <w:sz w:val="18"/>
              </w:rPr>
              <w:t>-65,717,458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-65,717,458</w:t>
            </w:r>
            <w:r>
              <w:rPr>
                <w:rFonts w:ascii="Times New Roman"/>
                <w:sz w:val="18"/>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 w:right="0"/>
              <w:jc w:val="center"/>
              <w:rPr>
                <w:rFonts w:ascii="Times New Roman" w:hAnsi="Times New Roman" w:cs="Times New Roman" w:eastAsia="Times New Roman" w:hint="default"/>
                <w:sz w:val="18"/>
                <w:szCs w:val="18"/>
              </w:rPr>
            </w:pPr>
            <w:r>
              <w:rPr>
                <w:rFonts w:ascii="Times New Roman"/>
                <w:sz w:val="18"/>
              </w:rPr>
              <w:t>57,880,621</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9.95%</w:t>
            </w:r>
            <w:r>
              <w:rPr>
                <w:rFonts w:ascii="Times New Roman"/>
                <w:sz w:val="18"/>
              </w:rPr>
            </w:r>
          </w:p>
        </w:tc>
      </w:tr>
      <w:tr>
        <w:trPr>
          <w:trHeight w:val="402"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境内自然人持股</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123,598,079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19.81%</w:t>
            </w: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 w:right="0"/>
              <w:jc w:val="center"/>
              <w:rPr>
                <w:rFonts w:ascii="Times New Roman" w:hAnsi="Times New Roman" w:cs="Times New Roman" w:eastAsia="Times New Roman" w:hint="default"/>
                <w:sz w:val="18"/>
                <w:szCs w:val="18"/>
              </w:rPr>
            </w:pPr>
            <w:r>
              <w:rPr>
                <w:rFonts w:ascii="Times New Roman"/>
                <w:sz w:val="18"/>
              </w:rPr>
              <w:t>-65,717,458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-65,717,458</w:t>
            </w:r>
            <w:r>
              <w:rPr>
                <w:rFonts w:ascii="Times New Roman"/>
                <w:sz w:val="18"/>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 w:right="0"/>
              <w:jc w:val="center"/>
              <w:rPr>
                <w:rFonts w:ascii="Times New Roman" w:hAnsi="Times New Roman" w:cs="Times New Roman" w:eastAsia="Times New Roman" w:hint="default"/>
                <w:sz w:val="18"/>
                <w:szCs w:val="18"/>
              </w:rPr>
            </w:pPr>
            <w:r>
              <w:rPr>
                <w:rFonts w:ascii="Times New Roman"/>
                <w:sz w:val="18"/>
              </w:rPr>
              <w:t>57,880,621</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9.95%</w:t>
            </w:r>
            <w:r>
              <w:rPr>
                <w:rFonts w:ascii="Times New Roman"/>
                <w:sz w:val="18"/>
              </w:rPr>
            </w:r>
          </w:p>
        </w:tc>
      </w:tr>
      <w:tr>
        <w:trPr>
          <w:trHeight w:val="402"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500,366,731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80.19%</w:t>
            </w: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center"/>
              <w:rPr>
                <w:rFonts w:ascii="Times New Roman" w:hAnsi="Times New Roman" w:cs="Times New Roman" w:eastAsia="Times New Roman" w:hint="default"/>
                <w:sz w:val="18"/>
                <w:szCs w:val="18"/>
              </w:rPr>
            </w:pPr>
            <w:r>
              <w:rPr>
                <w:rFonts w:ascii="Times New Roman"/>
                <w:sz w:val="18"/>
              </w:rPr>
              <w:t>23,496,932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23,496,932</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523,863,663</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90.05%</w:t>
            </w:r>
          </w:p>
        </w:tc>
      </w:tr>
      <w:tr>
        <w:trPr>
          <w:trHeight w:val="402"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500,366,731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80.19%</w:t>
            </w: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center"/>
              <w:rPr>
                <w:rFonts w:ascii="Times New Roman" w:hAnsi="Times New Roman" w:cs="Times New Roman" w:eastAsia="Times New Roman" w:hint="default"/>
                <w:sz w:val="18"/>
                <w:szCs w:val="18"/>
              </w:rPr>
            </w:pPr>
            <w:r>
              <w:rPr>
                <w:rFonts w:ascii="Times New Roman"/>
                <w:sz w:val="18"/>
              </w:rPr>
              <w:t>23,496,932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23,496,932</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523,863,663</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90.05%</w:t>
            </w:r>
          </w:p>
        </w:tc>
      </w:tr>
      <w:tr>
        <w:trPr>
          <w:trHeight w:val="402"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623,964,810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 w:right="0"/>
              <w:jc w:val="center"/>
              <w:rPr>
                <w:rFonts w:ascii="Times New Roman" w:hAnsi="Times New Roman" w:cs="Times New Roman" w:eastAsia="Times New Roman" w:hint="default"/>
                <w:sz w:val="18"/>
                <w:szCs w:val="18"/>
              </w:rPr>
            </w:pPr>
            <w:r>
              <w:rPr>
                <w:rFonts w:ascii="Times New Roman"/>
                <w:sz w:val="18"/>
              </w:rPr>
              <w:t>-42,220,526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-42,220,526</w:t>
            </w:r>
            <w:r>
              <w:rPr>
                <w:rFonts w:ascii="Times New Roman"/>
                <w:sz w:val="18"/>
              </w:rPr>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581,744,284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line="412" w:lineRule="auto" w:before="117"/>
        <w:ind w:left="514" w:right="9130"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一、股权激励 </w:t>
      </w:r>
    </w:p>
    <w:p>
      <w:pPr>
        <w:spacing w:line="477" w:lineRule="auto" w:before="103"/>
        <w:ind w:left="154" w:right="1030" w:firstLine="360"/>
        <w:jc w:val="left"/>
        <w:rPr>
          <w:rFonts w:ascii="宋体" w:hAnsi="宋体" w:cs="宋体" w:eastAsia="宋体" w:hint="default"/>
          <w:sz w:val="18"/>
          <w:szCs w:val="18"/>
        </w:rPr>
      </w:pPr>
      <w:r>
        <w:rPr>
          <w:rFonts w:ascii="宋体" w:hAnsi="宋体" w:cs="宋体" w:eastAsia="宋体" w:hint="default"/>
          <w:sz w:val="18"/>
          <w:szCs w:val="18"/>
        </w:rPr>
        <w:t>1、根据公司股权激励计划的相关规定，当激励对象非因工伤丧失劳动能力而离职时，在情况发生之日，对激励对象已 获授但尚未行权的股票期权不得行权，由公司注销；已获授但尚未解除限售的限制性股票不得解除限售，由公司回购注销。 公司原激励对象中叶泉青等9人因离职、不在公司担任职务等原因已不符合激励条件，公司董事会回购注销其已获授但未解</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锁的全部限制性股票430,000股，以及注销其已获授但尚未行权的全部股票期权1,900,000份。 </w:t>
      </w:r>
    </w:p>
    <w:p>
      <w:pPr>
        <w:spacing w:line="477" w:lineRule="auto" w:before="54"/>
        <w:ind w:left="154" w:right="1129" w:firstLine="360"/>
        <w:jc w:val="both"/>
        <w:rPr>
          <w:rFonts w:ascii="宋体" w:hAnsi="宋体" w:cs="宋体" w:eastAsia="宋体" w:hint="default"/>
          <w:sz w:val="18"/>
          <w:szCs w:val="18"/>
        </w:rPr>
      </w:pPr>
      <w:r>
        <w:rPr>
          <w:rFonts w:ascii="宋体" w:hAnsi="宋体" w:cs="宋体" w:eastAsia="宋体" w:hint="default"/>
          <w:spacing w:val="-2"/>
          <w:sz w:val="18"/>
          <w:szCs w:val="18"/>
        </w:rPr>
        <w:t>根据公司实施的2017年度利润分配方案及2018年7月26日召开第四届董事会第二十二次会议审议通过的《关于调整&lt;2017</w:t>
      </w:r>
      <w:r>
        <w:rPr>
          <w:rFonts w:ascii="宋体" w:hAnsi="宋体" w:cs="宋体" w:eastAsia="宋体" w:hint="default"/>
          <w:sz w:val="18"/>
          <w:szCs w:val="18"/>
        </w:rPr>
        <w:t> </w:t>
      </w:r>
      <w:r>
        <w:rPr>
          <w:rFonts w:ascii="宋体" w:hAnsi="宋体" w:cs="宋体" w:eastAsia="宋体" w:hint="default"/>
          <w:spacing w:val="-2"/>
          <w:sz w:val="18"/>
          <w:szCs w:val="18"/>
        </w:rPr>
        <w:t>年股权激励计划&gt;股票期权数量及行权价格、限制性股票数量及回购价格的议案》。本次回购注销限制性股票调整为645,000</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股，回购价格调整为5.13元/股，注销的股票期权2,850,000份。 </w:t>
      </w:r>
    </w:p>
    <w:p>
      <w:pPr>
        <w:spacing w:line="477" w:lineRule="auto" w:before="54"/>
        <w:ind w:left="154" w:right="1127" w:firstLine="480"/>
        <w:jc w:val="both"/>
        <w:rPr>
          <w:rFonts w:ascii="宋体" w:hAnsi="宋体" w:cs="宋体" w:eastAsia="宋体" w:hint="default"/>
          <w:sz w:val="18"/>
          <w:szCs w:val="18"/>
        </w:rPr>
      </w:pPr>
      <w:r>
        <w:rPr>
          <w:rFonts w:ascii="宋体" w:hAnsi="宋体" w:cs="宋体" w:eastAsia="宋体" w:hint="default"/>
          <w:sz w:val="18"/>
          <w:szCs w:val="18"/>
        </w:rPr>
        <w:t>2、根据公司股权激励计划的相关规定，公司激励对象未达到本次股权激励计划方案中关于限制性股票第一个解锁期</w:t>
      </w:r>
      <w:r>
        <w:rPr>
          <w:rFonts w:ascii="宋体" w:hAnsi="宋体" w:cs="宋体" w:eastAsia="宋体" w:hint="default"/>
          <w:spacing w:val="1"/>
          <w:sz w:val="18"/>
          <w:szCs w:val="18"/>
        </w:rPr>
        <w:t> </w:t>
      </w:r>
      <w:r>
        <w:rPr>
          <w:rFonts w:ascii="宋体" w:hAnsi="宋体" w:cs="宋体" w:eastAsia="宋体" w:hint="default"/>
          <w:sz w:val="18"/>
          <w:szCs w:val="18"/>
        </w:rPr>
        <w:t>的解锁条件及股票期权第一个行权期的行权条件，公司对激励对象回购注销其部分已获授但尚未解锁的限制性股票362,000</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股，以及注销其已获授但尚未行权的部分股票期权370,000份。 </w:t>
      </w:r>
    </w:p>
    <w:p>
      <w:pPr>
        <w:spacing w:before="54"/>
        <w:ind w:left="634" w:right="0" w:firstLine="0"/>
        <w:jc w:val="left"/>
        <w:rPr>
          <w:rFonts w:ascii="宋体" w:hAnsi="宋体" w:cs="宋体" w:eastAsia="宋体" w:hint="default"/>
          <w:sz w:val="18"/>
          <w:szCs w:val="18"/>
        </w:rPr>
      </w:pPr>
      <w:r>
        <w:rPr>
          <w:rFonts w:ascii="宋体" w:hAnsi="宋体" w:cs="宋体" w:eastAsia="宋体" w:hint="default"/>
          <w:spacing w:val="4"/>
          <w:sz w:val="18"/>
          <w:szCs w:val="18"/>
        </w:rPr>
        <w:t>根据公司实施的2017年度利润分配方案及2018年7月26日召开第四届董事会第二十二次会议审议通过的《关于调整</w:t>
      </w:r>
    </w:p>
    <w:p>
      <w:pPr>
        <w:spacing w:line="240" w:lineRule="auto" w:before="10"/>
        <w:rPr>
          <w:rFonts w:ascii="宋体" w:hAnsi="宋体" w:cs="宋体" w:eastAsia="宋体" w:hint="default"/>
          <w:sz w:val="17"/>
          <w:szCs w:val="17"/>
        </w:rPr>
      </w:pPr>
    </w:p>
    <w:p>
      <w:pPr>
        <w:spacing w:line="477" w:lineRule="auto"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&lt;2017年股权激励计划&gt;股票期权数量及行权价格、限制性股票数量及回购价格的议案》。本次回购注销限制性股票调整为</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z w:val="18"/>
          <w:szCs w:val="18"/>
        </w:rPr>
        <w:t>543,000股，回购价格调整为5.13元/股，注销的股票期权555,000份。 </w:t>
      </w:r>
    </w:p>
    <w:p>
      <w:pPr>
        <w:spacing w:after="0" w:line="477"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1"/>
        <w:rPr>
          <w:rFonts w:ascii="宋体" w:hAnsi="宋体" w:cs="宋体" w:eastAsia="宋体" w:hint="default"/>
          <w:sz w:val="27"/>
          <w:szCs w:val="27"/>
        </w:rPr>
      </w:pPr>
    </w:p>
    <w:p>
      <w:pPr>
        <w:spacing w:line="477" w:lineRule="auto" w:before="44"/>
        <w:ind w:left="633" w:right="4311" w:firstLine="0"/>
        <w:jc w:val="left"/>
        <w:rPr>
          <w:rFonts w:ascii="宋体" w:hAnsi="宋体" w:cs="宋体" w:eastAsia="宋体" w:hint="default"/>
          <w:sz w:val="18"/>
          <w:szCs w:val="18"/>
        </w:rPr>
      </w:pPr>
      <w:r>
        <w:rPr>
          <w:rFonts w:ascii="宋体" w:hAnsi="宋体" w:cs="宋体" w:eastAsia="宋体" w:hint="default"/>
          <w:sz w:val="18"/>
          <w:szCs w:val="18"/>
        </w:rPr>
        <w:t>3、共计回购注销限制性股票1,188,000股，注销股票期权3,405,000份。 二、业绩补偿 </w:t>
      </w:r>
    </w:p>
    <w:p>
      <w:pPr>
        <w:spacing w:line="477" w:lineRule="auto" w:before="54"/>
        <w:ind w:left="153" w:right="1181" w:firstLine="480"/>
        <w:jc w:val="left"/>
        <w:rPr>
          <w:rFonts w:ascii="宋体" w:hAnsi="宋体" w:cs="宋体" w:eastAsia="宋体" w:hint="default"/>
          <w:sz w:val="18"/>
          <w:szCs w:val="18"/>
        </w:rPr>
      </w:pPr>
      <w:r>
        <w:rPr>
          <w:rFonts w:ascii="宋体" w:hAnsi="宋体" w:cs="宋体" w:eastAsia="宋体" w:hint="default"/>
          <w:sz w:val="18"/>
          <w:szCs w:val="18"/>
        </w:rPr>
        <w:t>1、因畅元国讯2017年度未完成业绩承诺，公司回购注销畅元国讯原股东业绩承诺补偿的股份28,836,603股，回购价 格合计为1元。 </w:t>
      </w:r>
    </w:p>
    <w:p>
      <w:pPr>
        <w:spacing w:line="477" w:lineRule="auto" w:before="54"/>
        <w:ind w:left="153" w:right="1181" w:firstLine="480"/>
        <w:jc w:val="left"/>
        <w:rPr>
          <w:rFonts w:ascii="宋体" w:hAnsi="宋体" w:cs="宋体" w:eastAsia="宋体" w:hint="default"/>
          <w:sz w:val="18"/>
          <w:szCs w:val="18"/>
        </w:rPr>
      </w:pPr>
      <w:r>
        <w:rPr>
          <w:rFonts w:ascii="宋体" w:hAnsi="宋体" w:cs="宋体" w:eastAsia="宋体" w:hint="default"/>
          <w:sz w:val="18"/>
          <w:szCs w:val="18"/>
        </w:rPr>
        <w:t>2、因畅元国讯2018年度未完成业绩承诺，公司回购注销畅元国讯原股东业绩承诺补偿的股份12,195,924股，回购价 格合计为1元。 </w:t>
      </w:r>
    </w:p>
    <w:p>
      <w:pPr>
        <w:spacing w:before="17"/>
        <w:ind w:left="153" w:right="0" w:firstLine="0"/>
        <w:jc w:val="left"/>
        <w:rPr>
          <w:rFonts w:ascii="宋体" w:hAnsi="宋体" w:cs="宋体" w:eastAsia="宋体" w:hint="default"/>
          <w:sz w:val="18"/>
          <w:szCs w:val="18"/>
        </w:rPr>
      </w:pPr>
      <w:r>
        <w:rPr>
          <w:rFonts w:ascii="宋体" w:hAnsi="宋体" w:cs="宋体" w:eastAsia="宋体" w:hint="default"/>
          <w:sz w:val="18"/>
          <w:szCs w:val="18"/>
        </w:rPr>
        <w:t>股份变动的批准情况</w:t>
      </w:r>
    </w:p>
    <w:p>
      <w:pPr>
        <w:spacing w:before="117"/>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3"/>
          <w:szCs w:val="13"/>
        </w:rPr>
      </w:pPr>
    </w:p>
    <w:p>
      <w:pPr>
        <w:spacing w:line="477" w:lineRule="auto" w:before="0"/>
        <w:ind w:left="633" w:right="1117" w:firstLine="0"/>
        <w:jc w:val="left"/>
        <w:rPr>
          <w:rFonts w:ascii="宋体" w:hAnsi="宋体" w:cs="宋体" w:eastAsia="宋体" w:hint="default"/>
          <w:sz w:val="18"/>
          <w:szCs w:val="18"/>
        </w:rPr>
      </w:pPr>
      <w:r>
        <w:rPr>
          <w:rFonts w:ascii="宋体" w:hAnsi="宋体" w:cs="宋体" w:eastAsia="宋体" w:hint="default"/>
          <w:sz w:val="18"/>
          <w:szCs w:val="18"/>
        </w:rPr>
        <w:t>一、股权激励 </w:t>
      </w:r>
      <w:r>
        <w:rPr>
          <w:rFonts w:ascii="宋体" w:hAnsi="宋体" w:cs="宋体" w:eastAsia="宋体" w:hint="default"/>
          <w:spacing w:val="-1"/>
          <w:sz w:val="18"/>
          <w:szCs w:val="18"/>
        </w:rPr>
        <w:t>2018年7月26日，公司分别召开第四届董事会第二十二次会议和第四届监事会第十八次会议,审议通过了《关于回购注</w:t>
      </w:r>
    </w:p>
    <w:p>
      <w:pPr>
        <w:spacing w:line="477" w:lineRule="auto" w:before="54"/>
        <w:ind w:left="153" w:right="0" w:firstLine="0"/>
        <w:jc w:val="left"/>
        <w:rPr>
          <w:rFonts w:ascii="宋体" w:hAnsi="宋体" w:cs="宋体" w:eastAsia="宋体" w:hint="default"/>
          <w:sz w:val="18"/>
          <w:szCs w:val="18"/>
        </w:rPr>
      </w:pPr>
      <w:r>
        <w:rPr>
          <w:rFonts w:ascii="宋体" w:hAnsi="宋体" w:cs="宋体" w:eastAsia="宋体" w:hint="default"/>
          <w:spacing w:val="-2"/>
          <w:sz w:val="18"/>
          <w:szCs w:val="18"/>
        </w:rPr>
        <w:t>销部分限制性股票及部分股票期权的议案》。董事会同意回购注销限制性股票1,188,000股，回购价格为5.13元/股，并注销</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股票期权3,405,000份。公司独立董事对此发表了独立意见。律师出具了法律意见书。 </w:t>
      </w:r>
    </w:p>
    <w:p>
      <w:pPr>
        <w:spacing w:line="477" w:lineRule="auto" w:before="54"/>
        <w:ind w:left="153" w:right="1181" w:firstLine="480"/>
        <w:jc w:val="left"/>
        <w:rPr>
          <w:rFonts w:ascii="宋体" w:hAnsi="宋体" w:cs="宋体" w:eastAsia="宋体" w:hint="default"/>
          <w:sz w:val="18"/>
          <w:szCs w:val="18"/>
        </w:rPr>
      </w:pPr>
      <w:r>
        <w:rPr>
          <w:rFonts w:ascii="宋体" w:hAnsi="宋体" w:cs="宋体" w:eastAsia="宋体" w:hint="default"/>
          <w:sz w:val="18"/>
          <w:szCs w:val="18"/>
        </w:rPr>
        <w:t>2018年8月13日，公司2018年度第二次临时股东大会审议通过了《关于回购注销部分限制性股票及部分股票期权的议 案》。 </w:t>
      </w:r>
    </w:p>
    <w:p>
      <w:pPr>
        <w:spacing w:line="477" w:lineRule="auto" w:before="54"/>
        <w:ind w:left="513" w:right="1121" w:firstLine="120"/>
        <w:jc w:val="left"/>
        <w:rPr>
          <w:rFonts w:ascii="宋体" w:hAnsi="宋体" w:cs="宋体" w:eastAsia="宋体" w:hint="default"/>
          <w:sz w:val="18"/>
          <w:szCs w:val="18"/>
        </w:rPr>
      </w:pPr>
      <w:r>
        <w:rPr>
          <w:rFonts w:ascii="宋体" w:hAnsi="宋体" w:cs="宋体" w:eastAsia="宋体" w:hint="default"/>
          <w:sz w:val="18"/>
          <w:szCs w:val="18"/>
        </w:rPr>
        <w:t>二、业绩补偿 2018年4月20日，公司第四届董事会第十七次会议、第四届监事会第十四次会议通过了《关于公司重大资产重组2017年</w:t>
      </w:r>
    </w:p>
    <w:p>
      <w:pPr>
        <w:spacing w:line="477" w:lineRule="auto" w:before="54"/>
        <w:ind w:left="153" w:right="0" w:firstLine="0"/>
        <w:jc w:val="left"/>
        <w:rPr>
          <w:rFonts w:ascii="宋体" w:hAnsi="宋体" w:cs="宋体" w:eastAsia="宋体" w:hint="default"/>
          <w:sz w:val="18"/>
          <w:szCs w:val="18"/>
        </w:rPr>
      </w:pPr>
      <w:r>
        <w:rPr>
          <w:rFonts w:ascii="宋体" w:hAnsi="宋体" w:cs="宋体" w:eastAsia="宋体" w:hint="default"/>
          <w:spacing w:val="-2"/>
          <w:sz w:val="18"/>
          <w:szCs w:val="18"/>
        </w:rPr>
        <w:t>度业绩承诺实现情况及相关重组方对公司进行业绩补偿的议案》及《关于提请股东大会授权公司董事会办理股份回购及工商</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变更等相关事项的议案》 </w:t>
      </w:r>
    </w:p>
    <w:p>
      <w:pPr>
        <w:spacing w:line="477" w:lineRule="auto" w:before="54"/>
        <w:ind w:left="153" w:right="1131" w:firstLine="360"/>
        <w:jc w:val="both"/>
        <w:rPr>
          <w:rFonts w:ascii="宋体" w:hAnsi="宋体" w:cs="宋体" w:eastAsia="宋体" w:hint="default"/>
          <w:sz w:val="18"/>
          <w:szCs w:val="18"/>
        </w:rPr>
      </w:pPr>
      <w:r>
        <w:rPr>
          <w:rFonts w:ascii="宋体" w:hAnsi="宋体" w:cs="宋体" w:eastAsia="宋体" w:hint="default"/>
          <w:sz w:val="18"/>
          <w:szCs w:val="18"/>
        </w:rPr>
        <w:t>2018年5月24日，公司2017年年度股东大会审议通过了《关于公司重大资产重组2017年度业绩承诺实现情况及相关重组 </w:t>
      </w:r>
      <w:r>
        <w:rPr>
          <w:rFonts w:ascii="宋体" w:hAnsi="宋体" w:cs="宋体" w:eastAsia="宋体" w:hint="default"/>
          <w:spacing w:val="-2"/>
          <w:sz w:val="18"/>
          <w:szCs w:val="18"/>
        </w:rPr>
        <w:t>方对公司进行业绩补偿的议案》及《关于提请股东大会授权公司董事会办理股份回购及工商变更等相关事项的议案》，确认</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交易方2017年度应补偿的股份数28,836,603股将由公司以1元的价格进行回购并予以注销。 </w:t>
      </w:r>
    </w:p>
    <w:p>
      <w:pPr>
        <w:spacing w:before="54"/>
        <w:ind w:left="513" w:right="0" w:firstLine="0"/>
        <w:jc w:val="left"/>
        <w:rPr>
          <w:rFonts w:ascii="宋体" w:hAnsi="宋体" w:cs="宋体" w:eastAsia="宋体" w:hint="default"/>
          <w:sz w:val="18"/>
          <w:szCs w:val="18"/>
        </w:rPr>
      </w:pPr>
      <w:r>
        <w:rPr>
          <w:rFonts w:ascii="宋体" w:hAnsi="宋体" w:cs="宋体" w:eastAsia="宋体" w:hint="default"/>
          <w:sz w:val="18"/>
          <w:szCs w:val="18"/>
        </w:rPr>
        <w:t>2018年11月27日，公司披露了《关于回购注销业绩补偿股份的债权人通知暨减资公告》（公告编号：2018-094） </w:t>
      </w:r>
    </w:p>
    <w:p>
      <w:pPr>
        <w:spacing w:line="240" w:lineRule="auto" w:before="10"/>
        <w:rPr>
          <w:rFonts w:ascii="宋体" w:hAnsi="宋体" w:cs="宋体" w:eastAsia="宋体" w:hint="default"/>
          <w:sz w:val="17"/>
          <w:szCs w:val="17"/>
        </w:rPr>
      </w:pPr>
    </w:p>
    <w:p>
      <w:pPr>
        <w:spacing w:line="477" w:lineRule="auto" w:before="0"/>
        <w:ind w:left="153" w:right="1130" w:firstLine="360"/>
        <w:jc w:val="both"/>
        <w:rPr>
          <w:rFonts w:ascii="宋体" w:hAnsi="宋体" w:cs="宋体" w:eastAsia="宋体" w:hint="default"/>
          <w:sz w:val="18"/>
          <w:szCs w:val="18"/>
        </w:rPr>
      </w:pPr>
      <w:r>
        <w:rPr>
          <w:rFonts w:ascii="宋体" w:hAnsi="宋体" w:cs="宋体" w:eastAsia="宋体" w:hint="default"/>
          <w:spacing w:val="-3"/>
          <w:sz w:val="18"/>
          <w:szCs w:val="18"/>
        </w:rPr>
        <w:t>2019年8月15日，公司第四届董事会第三十一次会议、第四届监事会第二十五次会议通过了《关于公司重大资产重组2018</w:t>
      </w:r>
      <w:r>
        <w:rPr>
          <w:rFonts w:ascii="宋体" w:hAnsi="宋体" w:cs="宋体" w:eastAsia="宋体" w:hint="default"/>
          <w:sz w:val="18"/>
          <w:szCs w:val="18"/>
        </w:rPr>
        <w:t> </w:t>
      </w:r>
      <w:r>
        <w:rPr>
          <w:rFonts w:ascii="宋体" w:hAnsi="宋体" w:cs="宋体" w:eastAsia="宋体" w:hint="default"/>
          <w:spacing w:val="-2"/>
          <w:sz w:val="18"/>
          <w:szCs w:val="18"/>
        </w:rPr>
        <w:t>年度未完成业绩承诺相关重组方对公司进行业绩补偿的议案》及《关于提请股东大会授权公司董事会办理股份回购及工商变</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更等相关事项的议案》 </w:t>
      </w:r>
    </w:p>
    <w:p>
      <w:pPr>
        <w:spacing w:line="477" w:lineRule="auto" w:before="54"/>
        <w:ind w:left="153" w:right="1131" w:firstLine="360"/>
        <w:jc w:val="both"/>
        <w:rPr>
          <w:rFonts w:ascii="宋体" w:hAnsi="宋体" w:cs="宋体" w:eastAsia="宋体" w:hint="default"/>
          <w:sz w:val="18"/>
          <w:szCs w:val="18"/>
        </w:rPr>
      </w:pPr>
      <w:r>
        <w:rPr>
          <w:rFonts w:ascii="宋体" w:hAnsi="宋体" w:cs="宋体" w:eastAsia="宋体" w:hint="default"/>
          <w:spacing w:val="-2"/>
          <w:sz w:val="18"/>
          <w:szCs w:val="18"/>
        </w:rPr>
        <w:t>2019年9月5日，公司2019年度第三次临时股东大会审议通过了《关于公司重大资产重组2018年度未完成业绩承诺相关重</w:t>
      </w:r>
      <w:r>
        <w:rPr>
          <w:rFonts w:ascii="宋体" w:hAnsi="宋体" w:cs="宋体" w:eastAsia="宋体" w:hint="default"/>
          <w:sz w:val="18"/>
          <w:szCs w:val="18"/>
        </w:rPr>
        <w:t> </w:t>
      </w:r>
      <w:r>
        <w:rPr>
          <w:rFonts w:ascii="宋体" w:hAnsi="宋体" w:cs="宋体" w:eastAsia="宋体" w:hint="default"/>
          <w:spacing w:val="-2"/>
          <w:sz w:val="18"/>
          <w:szCs w:val="18"/>
        </w:rPr>
        <w:t>组方对公司进行业绩补偿的议案》及《关于提请股东大会授权公司董事会办理股份回购及工商变更等相关事项的议案》，确</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认交易方2018年度应补偿的股份数12,195,924股将由公司以1元的价格进行回购并予以注销。 </w:t>
      </w:r>
    </w:p>
    <w:p>
      <w:pPr>
        <w:spacing w:before="54"/>
        <w:ind w:left="513" w:right="0" w:firstLine="0"/>
        <w:jc w:val="left"/>
        <w:rPr>
          <w:rFonts w:ascii="宋体" w:hAnsi="宋体" w:cs="宋体" w:eastAsia="宋体" w:hint="default"/>
          <w:sz w:val="18"/>
          <w:szCs w:val="18"/>
        </w:rPr>
      </w:pPr>
      <w:r>
        <w:rPr>
          <w:rFonts w:ascii="宋体" w:hAnsi="宋体" w:cs="宋体" w:eastAsia="宋体" w:hint="default"/>
          <w:sz w:val="18"/>
          <w:szCs w:val="18"/>
        </w:rPr>
        <w:t>2019年9月5日，公司披露了《关于回购注销业绩补偿股份的债权人通知暨减资公告》（公告编号：2019-062） </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3"/>
        <w:rPr>
          <w:rFonts w:ascii="宋体" w:hAnsi="宋体" w:cs="宋体" w:eastAsia="宋体" w:hint="default"/>
          <w:sz w:val="21"/>
          <w:szCs w:val="21"/>
        </w:rPr>
      </w:pPr>
    </w:p>
    <w:p>
      <w:pPr>
        <w:spacing w:before="44"/>
        <w:ind w:left="153" w:right="0" w:firstLine="0"/>
        <w:jc w:val="left"/>
        <w:rPr>
          <w:rFonts w:ascii="宋体" w:hAnsi="宋体" w:cs="宋体" w:eastAsia="宋体" w:hint="default"/>
          <w:sz w:val="18"/>
          <w:szCs w:val="18"/>
        </w:rPr>
      </w:pPr>
      <w:r>
        <w:rPr>
          <w:rFonts w:ascii="宋体" w:hAnsi="宋体" w:cs="宋体" w:eastAsia="宋体" w:hint="default"/>
          <w:sz w:val="18"/>
          <w:szCs w:val="18"/>
        </w:rPr>
        <w:t>股份变动的过户情况</w:t>
      </w:r>
    </w:p>
    <w:p>
      <w:pPr>
        <w:spacing w:line="412" w:lineRule="auto" w:before="116"/>
        <w:ind w:left="511" w:right="1123" w:hanging="358"/>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2019年1月4日，公司完成限制性股票及股票期权的回购注销事宜。共计回购注销限制性股票1,188,000股，注销股票期</w:t>
      </w:r>
    </w:p>
    <w:p>
      <w:pPr>
        <w:spacing w:line="477" w:lineRule="auto" w:before="103"/>
        <w:ind w:left="511" w:right="4311" w:hanging="358"/>
        <w:jc w:val="left"/>
        <w:rPr>
          <w:rFonts w:ascii="宋体" w:hAnsi="宋体" w:cs="宋体" w:eastAsia="宋体" w:hint="default"/>
          <w:sz w:val="18"/>
          <w:szCs w:val="18"/>
        </w:rPr>
      </w:pPr>
      <w:r>
        <w:rPr>
          <w:rFonts w:ascii="宋体" w:hAnsi="宋体" w:cs="宋体" w:eastAsia="宋体" w:hint="default"/>
          <w:sz w:val="18"/>
          <w:szCs w:val="18"/>
        </w:rPr>
        <w:t>权3,405,000份。 2019年3月27日，公司完成业绩补偿股份回购注销21,500,572股。 </w:t>
      </w:r>
    </w:p>
    <w:p>
      <w:pPr>
        <w:spacing w:before="54"/>
        <w:ind w:left="511" w:right="0" w:firstLine="0"/>
        <w:jc w:val="left"/>
        <w:rPr>
          <w:rFonts w:ascii="宋体" w:hAnsi="宋体" w:cs="宋体" w:eastAsia="宋体" w:hint="default"/>
          <w:sz w:val="18"/>
          <w:szCs w:val="18"/>
        </w:rPr>
      </w:pPr>
      <w:r>
        <w:rPr>
          <w:rFonts w:ascii="宋体" w:hAnsi="宋体" w:cs="宋体" w:eastAsia="宋体" w:hint="default"/>
          <w:sz w:val="18"/>
          <w:szCs w:val="18"/>
        </w:rPr>
        <w:t>2019年7月26日，公司完成业绩补偿股份回购注销3,605,000股。 </w:t>
      </w:r>
    </w:p>
    <w:p>
      <w:pPr>
        <w:spacing w:line="240" w:lineRule="auto" w:before="10"/>
        <w:rPr>
          <w:rFonts w:ascii="宋体" w:hAnsi="宋体" w:cs="宋体" w:eastAsia="宋体" w:hint="default"/>
          <w:sz w:val="17"/>
          <w:szCs w:val="17"/>
        </w:rPr>
      </w:pPr>
    </w:p>
    <w:p>
      <w:pPr>
        <w:spacing w:before="0"/>
        <w:ind w:left="511" w:right="0" w:firstLine="0"/>
        <w:jc w:val="left"/>
        <w:rPr>
          <w:rFonts w:ascii="宋体" w:hAnsi="宋体" w:cs="宋体" w:eastAsia="宋体" w:hint="default"/>
          <w:sz w:val="18"/>
          <w:szCs w:val="18"/>
        </w:rPr>
      </w:pPr>
      <w:r>
        <w:rPr>
          <w:rFonts w:ascii="宋体" w:hAnsi="宋体" w:cs="宋体" w:eastAsia="宋体" w:hint="default"/>
          <w:sz w:val="18"/>
          <w:szCs w:val="18"/>
        </w:rPr>
        <w:t>2019年10月25日，公司完成业绩补偿股份回购注销2,595,292股。 </w:t>
      </w:r>
    </w:p>
    <w:p>
      <w:pPr>
        <w:spacing w:line="240" w:lineRule="auto" w:before="10"/>
        <w:rPr>
          <w:rFonts w:ascii="宋体" w:hAnsi="宋体" w:cs="宋体" w:eastAsia="宋体" w:hint="default"/>
          <w:sz w:val="17"/>
          <w:szCs w:val="17"/>
        </w:rPr>
      </w:pPr>
    </w:p>
    <w:p>
      <w:pPr>
        <w:spacing w:before="0"/>
        <w:ind w:left="511" w:right="0" w:firstLine="0"/>
        <w:jc w:val="left"/>
        <w:rPr>
          <w:rFonts w:ascii="宋体" w:hAnsi="宋体" w:cs="宋体" w:eastAsia="宋体" w:hint="default"/>
          <w:sz w:val="18"/>
          <w:szCs w:val="18"/>
        </w:rPr>
      </w:pPr>
      <w:r>
        <w:rPr>
          <w:rFonts w:ascii="宋体" w:hAnsi="宋体" w:cs="宋体" w:eastAsia="宋体" w:hint="default"/>
          <w:sz w:val="18"/>
          <w:szCs w:val="18"/>
        </w:rPr>
        <w:t>2019年11月13日，公司完成业绩补偿股份回购注销6,833,674股。 </w:t>
      </w:r>
    </w:p>
    <w:p>
      <w:pPr>
        <w:spacing w:line="240" w:lineRule="auto" w:before="10"/>
        <w:rPr>
          <w:rFonts w:ascii="宋体" w:hAnsi="宋体" w:cs="宋体" w:eastAsia="宋体" w:hint="default"/>
          <w:sz w:val="17"/>
          <w:szCs w:val="17"/>
        </w:rPr>
      </w:pPr>
    </w:p>
    <w:p>
      <w:pPr>
        <w:spacing w:line="439" w:lineRule="auto" w:before="0"/>
        <w:ind w:left="153" w:right="4311" w:firstLine="357"/>
        <w:jc w:val="left"/>
        <w:rPr>
          <w:rFonts w:ascii="宋体" w:hAnsi="宋体" w:cs="宋体" w:eastAsia="宋体" w:hint="default"/>
          <w:sz w:val="18"/>
          <w:szCs w:val="18"/>
        </w:rPr>
      </w:pPr>
      <w:r>
        <w:rPr>
          <w:rFonts w:ascii="宋体" w:hAnsi="宋体" w:cs="宋体" w:eastAsia="宋体" w:hint="default"/>
          <w:sz w:val="18"/>
          <w:szCs w:val="18"/>
        </w:rPr>
        <w:t>2019年11月22日，公司完成业绩补偿股份回购注销6,497,988股。 股份回购的实施进展情况</w:t>
      </w:r>
    </w:p>
    <w:p>
      <w:pPr>
        <w:spacing w:line="216" w:lineRule="exact"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154" w:right="0" w:firstLine="0"/>
        <w:jc w:val="left"/>
        <w:rPr>
          <w:rFonts w:ascii="宋体" w:hAnsi="宋体" w:cs="宋体" w:eastAsia="宋体" w:hint="default"/>
          <w:sz w:val="18"/>
          <w:szCs w:val="18"/>
        </w:rPr>
      </w:pPr>
      <w:r>
        <w:rPr>
          <w:rFonts w:ascii="宋体" w:hAnsi="宋体" w:cs="宋体" w:eastAsia="宋体" w:hint="default"/>
          <w:sz w:val="18"/>
          <w:szCs w:val="18"/>
        </w:rPr>
        <w:t>采用集中竞价方式减持回购股份的实施进展情况</w:t>
      </w:r>
    </w:p>
    <w:p>
      <w:pPr>
        <w:spacing w:line="338" w:lineRule="auto" w:before="116"/>
        <w:ind w:left="154" w:right="13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股份变动对最近一年和最近一期基本每股收益和稀释每股收益、归属于公司普通股股东的每股净资产等财务指标的影响</w:t>
      </w:r>
    </w:p>
    <w:p>
      <w:pPr>
        <w:spacing w:line="338" w:lineRule="auto" w:before="43"/>
        <w:ind w:left="514" w:right="3820"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股份变动后，公司最近一年的基本每股收益为</w:t>
      </w:r>
      <w:r>
        <w:rPr>
          <w:rFonts w:ascii="Times New Roman" w:hAnsi="Times New Roman" w:cs="Times New Roman" w:eastAsia="Times New Roman" w:hint="default"/>
          <w:sz w:val="18"/>
          <w:szCs w:val="18"/>
        </w:rPr>
        <w:t>0.0388</w:t>
      </w:r>
      <w:r>
        <w:rPr>
          <w:rFonts w:ascii="宋体" w:hAnsi="宋体" w:cs="宋体" w:eastAsia="宋体" w:hint="default"/>
          <w:sz w:val="18"/>
          <w:szCs w:val="18"/>
        </w:rPr>
        <w:t>元，稀释每股收益为</w:t>
      </w:r>
      <w:r>
        <w:rPr>
          <w:rFonts w:ascii="Times New Roman" w:hAnsi="Times New Roman" w:cs="Times New Roman" w:eastAsia="Times New Roman" w:hint="default"/>
          <w:sz w:val="18"/>
          <w:szCs w:val="18"/>
        </w:rPr>
        <w:t>0.0388</w:t>
      </w:r>
      <w:r>
        <w:rPr>
          <w:rFonts w:ascii="宋体" w:hAnsi="宋体" w:cs="宋体" w:eastAsia="宋体" w:hint="default"/>
          <w:sz w:val="18"/>
          <w:szCs w:val="18"/>
        </w:rPr>
        <w:t>元。</w:t>
      </w:r>
    </w:p>
    <w:p>
      <w:pPr>
        <w:spacing w:line="240" w:lineRule="auto" w:before="7"/>
        <w:rPr>
          <w:rFonts w:ascii="宋体" w:hAnsi="宋体" w:cs="宋体" w:eastAsia="宋体" w:hint="default"/>
          <w:sz w:val="25"/>
          <w:szCs w:val="25"/>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公司认为必要或证券监管机构要求披露的其他内容</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51"/>
        <w:gridCol w:w="1134"/>
        <w:gridCol w:w="1134"/>
        <w:gridCol w:w="1277"/>
        <w:gridCol w:w="1416"/>
        <w:gridCol w:w="1560"/>
        <w:gridCol w:w="2200"/>
      </w:tblGrid>
      <w:tr>
        <w:trPr>
          <w:trHeight w:val="713" w:hRule="exact"/>
        </w:trPr>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471" w:right="110"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91" w:right="110" w:hanging="180"/>
              <w:jc w:val="left"/>
              <w:rPr>
                <w:rFonts w:ascii="宋体" w:hAnsi="宋体" w:cs="宋体" w:eastAsia="宋体" w:hint="default"/>
                <w:sz w:val="18"/>
                <w:szCs w:val="18"/>
              </w:rPr>
            </w:pPr>
            <w:r>
              <w:rPr>
                <w:rFonts w:ascii="宋体" w:hAnsi="宋体" w:cs="宋体" w:eastAsia="宋体" w:hint="default"/>
                <w:sz w:val="18"/>
                <w:szCs w:val="18"/>
              </w:rPr>
              <w:t>本期增加限 售股数</w:t>
            </w:r>
          </w:p>
        </w:tc>
        <w:tc>
          <w:tcPr>
            <w:tcW w:w="1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452" w:right="92"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22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54"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402"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49,052,122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21,365,378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20,935,890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w:t>
            </w:r>
          </w:p>
        </w:tc>
      </w:tr>
      <w:tr>
        <w:trPr>
          <w:trHeight w:val="402"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陈兆滨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6,093,682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1,374,377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鲁武英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4,115,757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997,285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毛智才</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2,631,880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2,221,198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雷建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22,559,645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12,240,613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江勇</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1,012,262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892,620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首发后限售</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14"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288,000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因股权激励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年度业绩</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考核未达标注销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r>
        <w:trPr>
          <w:trHeight w:val="1027"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6"/>
              <w:jc w:val="both"/>
              <w:rPr>
                <w:rFonts w:ascii="宋体" w:hAnsi="宋体" w:cs="宋体" w:eastAsia="宋体" w:hint="default"/>
                <w:sz w:val="18"/>
                <w:szCs w:val="18"/>
              </w:rPr>
            </w:pPr>
            <w:r>
              <w:rPr>
                <w:rFonts w:ascii="宋体" w:hAnsi="宋体" w:cs="宋体" w:eastAsia="宋体" w:hint="default"/>
                <w:sz w:val="18"/>
                <w:szCs w:val="18"/>
              </w:rPr>
              <w:t>其他中层 管理人员 合计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1,884,000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因股权激励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年度业绩</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考核未达标注销</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1116000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851"/>
        <w:gridCol w:w="1134"/>
        <w:gridCol w:w="1134"/>
        <w:gridCol w:w="1277"/>
        <w:gridCol w:w="1417"/>
        <w:gridCol w:w="1559"/>
        <w:gridCol w:w="2200"/>
      </w:tblGrid>
      <w:tr>
        <w:trPr>
          <w:trHeight w:val="402" w:hRule="exact"/>
        </w:trPr>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88,825,348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3" w:right="0"/>
              <w:jc w:val="left"/>
              <w:rPr>
                <w:rFonts w:ascii="Times New Roman" w:hAnsi="Times New Roman" w:cs="Times New Roman" w:eastAsia="Times New Roman" w:hint="default"/>
                <w:sz w:val="18"/>
                <w:szCs w:val="18"/>
              </w:rPr>
            </w:pPr>
            <w:r>
              <w:rPr>
                <w:rFonts w:ascii="Times New Roman"/>
                <w:sz w:val="18"/>
              </w:rPr>
              <w:t>39,091,471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3" w:right="0"/>
              <w:jc w:val="left"/>
              <w:rPr>
                <w:rFonts w:ascii="Times New Roman" w:hAnsi="Times New Roman" w:cs="Times New Roman" w:eastAsia="Times New Roman" w:hint="default"/>
                <w:sz w:val="18"/>
                <w:szCs w:val="18"/>
              </w:rPr>
            </w:pPr>
            <w:r>
              <w:rPr>
                <w:rFonts w:ascii="Times New Roman"/>
                <w:sz w:val="18"/>
              </w:rPr>
              <w:t>23,107,890</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2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3</w:t>
      </w:r>
      <w:r>
        <w:rPr/>
        <w:t>、现存的内部职工股情况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、公司股东数量及持股情况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195"/>
        <w:gridCol w:w="274"/>
        <w:gridCol w:w="923"/>
        <w:gridCol w:w="161"/>
        <w:gridCol w:w="1013"/>
        <w:gridCol w:w="890"/>
        <w:gridCol w:w="328"/>
        <w:gridCol w:w="604"/>
        <w:gridCol w:w="592"/>
        <w:gridCol w:w="400"/>
        <w:gridCol w:w="797"/>
        <w:gridCol w:w="196"/>
        <w:gridCol w:w="1001"/>
        <w:gridCol w:w="133"/>
        <w:gridCol w:w="1062"/>
      </w:tblGrid>
      <w:tr>
        <w:trPr>
          <w:trHeight w:val="1962" w:hRule="exact"/>
        </w:trPr>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2" w:right="80"/>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11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68" w:right="0"/>
              <w:jc w:val="left"/>
              <w:rPr>
                <w:rFonts w:ascii="Times New Roman" w:hAnsi="Times New Roman" w:cs="Times New Roman" w:eastAsia="Times New Roman" w:hint="default"/>
                <w:sz w:val="18"/>
                <w:szCs w:val="18"/>
              </w:rPr>
            </w:pPr>
            <w:r>
              <w:rPr>
                <w:rFonts w:ascii="Times New Roman"/>
                <w:sz w:val="18"/>
              </w:rPr>
              <w:t>76,676</w:t>
            </w:r>
          </w:p>
        </w:tc>
        <w:tc>
          <w:tcPr>
            <w:tcW w:w="117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59"/>
              <w:jc w:val="both"/>
              <w:rPr>
                <w:rFonts w:ascii="宋体" w:hAnsi="宋体" w:cs="宋体" w:eastAsia="宋体" w:hint="default"/>
                <w:sz w:val="18"/>
                <w:szCs w:val="18"/>
              </w:rPr>
            </w:pPr>
            <w:r>
              <w:rPr>
                <w:rFonts w:ascii="宋体" w:hAnsi="宋体" w:cs="宋体" w:eastAsia="宋体" w:hint="default"/>
                <w:sz w:val="18"/>
                <w:szCs w:val="18"/>
              </w:rPr>
              <w:t>年度报告披露 日前上一月末 普通股股东总 数</w:t>
            </w:r>
          </w:p>
        </w:tc>
        <w:tc>
          <w:tcPr>
            <w:tcW w:w="12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689" w:right="0"/>
              <w:jc w:val="left"/>
              <w:rPr>
                <w:rFonts w:ascii="Times New Roman" w:hAnsi="Times New Roman" w:cs="Times New Roman" w:eastAsia="Times New Roman" w:hint="default"/>
                <w:sz w:val="18"/>
                <w:szCs w:val="18"/>
              </w:rPr>
            </w:pPr>
            <w:r>
              <w:rPr>
                <w:rFonts w:ascii="Times New Roman"/>
                <w:sz w:val="18"/>
              </w:rPr>
              <w:t>74,318</w:t>
            </w:r>
          </w:p>
        </w:tc>
        <w:tc>
          <w:tcPr>
            <w:tcW w:w="1196"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81"/>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p>
            <w:pPr>
              <w:pStyle w:val="TableParagraph"/>
              <w:spacing w:line="319" w:lineRule="auto" w:before="19"/>
              <w:ind w:left="22" w:right="21"/>
              <w:jc w:val="both"/>
              <w:rPr>
                <w:rFonts w:ascii="宋体" w:hAnsi="宋体" w:cs="宋体" w:eastAsia="宋体" w:hint="default"/>
                <w:sz w:val="18"/>
                <w:szCs w:val="18"/>
              </w:rPr>
            </w:pPr>
            <w:r>
              <w:rPr>
                <w:rFonts w:ascii="宋体" w:hAnsi="宋体" w:cs="宋体" w:eastAsia="宋体" w:hint="default"/>
                <w:spacing w:val="-18"/>
                <w:sz w:val="18"/>
                <w:szCs w:val="18"/>
              </w:rPr>
              <w:t>（如有）（参见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96"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年度报告披露 日前上一月末 表决权恢复的 优先股股东总 </w:t>
            </w:r>
            <w:r>
              <w:rPr>
                <w:rFonts w:ascii="宋体" w:hAnsi="宋体" w:cs="宋体" w:eastAsia="宋体" w:hint="default"/>
                <w:spacing w:val="-18"/>
                <w:sz w:val="18"/>
                <w:szCs w:val="18"/>
              </w:rPr>
              <w:t>数（如有）（参</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8" w:type="dxa"/>
            <w:gridSpan w:val="1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02" w:hRule="exact"/>
        </w:trPr>
        <w:tc>
          <w:tcPr>
            <w:tcW w:w="1469"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6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084"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76"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0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0"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89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8" w:right="89"/>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931"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319" w:lineRule="auto" w:before="51"/>
              <w:ind w:left="100" w:right="98"/>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992"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319" w:lineRule="auto" w:before="51"/>
              <w:ind w:left="40" w:right="41"/>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992"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319" w:lineRule="auto" w:before="51"/>
              <w:ind w:left="40" w:right="41"/>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2196"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624" w:hRule="exact"/>
        </w:trPr>
        <w:tc>
          <w:tcPr>
            <w:tcW w:w="1469" w:type="dxa"/>
            <w:gridSpan w:val="2"/>
            <w:vMerge/>
            <w:tcBorders>
              <w:left w:val="single" w:sz="4" w:space="0" w:color="000000"/>
              <w:bottom w:val="single" w:sz="4" w:space="0" w:color="000000"/>
              <w:right w:val="single" w:sz="4" w:space="0" w:color="000000"/>
            </w:tcBorders>
            <w:shd w:val="clear" w:color="auto" w:fill="D3D3D3"/>
          </w:tcPr>
          <w:p>
            <w:pPr/>
          </w:p>
        </w:tc>
        <w:tc>
          <w:tcPr>
            <w:tcW w:w="1084" w:type="dxa"/>
            <w:gridSpan w:val="2"/>
            <w:vMerge/>
            <w:tcBorders>
              <w:left w:val="single" w:sz="4" w:space="0" w:color="000000"/>
              <w:bottom w:val="single" w:sz="4" w:space="0" w:color="000000"/>
              <w:right w:val="single" w:sz="4" w:space="0" w:color="000000"/>
            </w:tcBorders>
            <w:shd w:val="clear" w:color="auto" w:fill="D3D3D3"/>
          </w:tcPr>
          <w:p>
            <w:pPr/>
          </w:p>
        </w:tc>
        <w:tc>
          <w:tcPr>
            <w:tcW w:w="1013" w:type="dxa"/>
            <w:vMerge/>
            <w:tcBorders>
              <w:left w:val="single" w:sz="4" w:space="0" w:color="000000"/>
              <w:bottom w:val="single" w:sz="4" w:space="0" w:color="000000"/>
              <w:right w:val="single" w:sz="4" w:space="0" w:color="000000"/>
            </w:tcBorders>
            <w:shd w:val="clear" w:color="auto" w:fill="D3D3D3"/>
          </w:tcPr>
          <w:p>
            <w:pPr/>
          </w:p>
        </w:tc>
        <w:tc>
          <w:tcPr>
            <w:tcW w:w="890" w:type="dxa"/>
            <w:vMerge/>
            <w:tcBorders>
              <w:left w:val="single" w:sz="4" w:space="0" w:color="000000"/>
              <w:bottom w:val="single" w:sz="4" w:space="0" w:color="000000"/>
              <w:right w:val="single" w:sz="4" w:space="0" w:color="000000"/>
            </w:tcBorders>
            <w:shd w:val="clear" w:color="auto" w:fill="D3D3D3"/>
          </w:tcPr>
          <w:p>
            <w:pPr/>
          </w:p>
        </w:tc>
        <w:tc>
          <w:tcPr>
            <w:tcW w:w="931" w:type="dxa"/>
            <w:gridSpan w:val="2"/>
            <w:vMerge/>
            <w:tcBorders>
              <w:left w:val="single" w:sz="4" w:space="0" w:color="000000"/>
              <w:bottom w:val="single" w:sz="4" w:space="0" w:color="000000"/>
              <w:right w:val="single" w:sz="4" w:space="0" w:color="000000"/>
            </w:tcBorders>
            <w:shd w:val="clear" w:color="auto" w:fill="D3D3D3"/>
          </w:tcPr>
          <w:p>
            <w:pPr/>
          </w:p>
        </w:tc>
        <w:tc>
          <w:tcPr>
            <w:tcW w:w="992" w:type="dxa"/>
            <w:gridSpan w:val="2"/>
            <w:vMerge/>
            <w:tcBorders>
              <w:left w:val="single" w:sz="4" w:space="0" w:color="000000"/>
              <w:bottom w:val="single" w:sz="4" w:space="0" w:color="000000"/>
              <w:right w:val="single" w:sz="4" w:space="0" w:color="000000"/>
            </w:tcBorders>
            <w:shd w:val="clear" w:color="auto" w:fill="D3D3D3"/>
          </w:tcPr>
          <w:p>
            <w:pPr/>
          </w:p>
        </w:tc>
        <w:tc>
          <w:tcPr>
            <w:tcW w:w="992" w:type="dxa"/>
            <w:gridSpan w:val="2"/>
            <w:vMerge/>
            <w:tcBorders>
              <w:left w:val="single" w:sz="4" w:space="0" w:color="000000"/>
              <w:bottom w:val="single" w:sz="4" w:space="0" w:color="000000"/>
              <w:right w:val="single" w:sz="4" w:space="0" w:color="000000"/>
            </w:tcBorders>
            <w:shd w:val="clear" w:color="auto" w:fill="D3D3D3"/>
          </w:tcPr>
          <w:p>
            <w:pPr/>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402"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10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1"/>
              <w:jc w:val="right"/>
              <w:rPr>
                <w:rFonts w:ascii="Times New Roman" w:hAnsi="Times New Roman" w:cs="Times New Roman" w:eastAsia="Times New Roman" w:hint="default"/>
                <w:sz w:val="18"/>
                <w:szCs w:val="18"/>
              </w:rPr>
            </w:pPr>
            <w:r>
              <w:rPr>
                <w:rFonts w:ascii="Times New Roman"/>
                <w:sz w:val="18"/>
              </w:rPr>
              <w:t>14.90%</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86,669,683</w:t>
            </w:r>
          </w:p>
        </w:tc>
        <w:tc>
          <w:tcPr>
            <w:tcW w:w="931"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86,669,683</w:t>
            </w:r>
          </w:p>
        </w:tc>
        <w:tc>
          <w:tcPr>
            <w:tcW w:w="1134" w:type="dxa"/>
            <w:gridSpan w:val="2"/>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10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1"/>
              <w:jc w:val="right"/>
              <w:rPr>
                <w:rFonts w:ascii="Times New Roman" w:hAnsi="Times New Roman" w:cs="Times New Roman" w:eastAsia="Times New Roman" w:hint="default"/>
                <w:sz w:val="18"/>
                <w:szCs w:val="18"/>
              </w:rPr>
            </w:pPr>
            <w:r>
              <w:rPr>
                <w:rFonts w:ascii="Times New Roman"/>
                <w:w w:val="95"/>
                <w:sz w:val="18"/>
              </w:rPr>
              <w:t>6.90%</w:t>
            </w:r>
            <w:r>
              <w:rPr>
                <w:rFonts w:ascii="Times New Roman"/>
                <w:sz w:val="18"/>
              </w:rPr>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40,168,494</w:t>
            </w:r>
          </w:p>
        </w:tc>
        <w:tc>
          <w:tcPr>
            <w:tcW w:w="9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-5,813,400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9" w:right="0"/>
              <w:jc w:val="left"/>
              <w:rPr>
                <w:rFonts w:ascii="Times New Roman" w:hAnsi="Times New Roman" w:cs="Times New Roman" w:eastAsia="Times New Roman" w:hint="default"/>
                <w:sz w:val="18"/>
                <w:szCs w:val="18"/>
              </w:rPr>
            </w:pPr>
            <w:r>
              <w:rPr>
                <w:rFonts w:ascii="Times New Roman"/>
                <w:sz w:val="18"/>
              </w:rPr>
              <w:t>34,486,420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5,682,074</w:t>
            </w:r>
          </w:p>
        </w:tc>
        <w:tc>
          <w:tcPr>
            <w:tcW w:w="1134" w:type="dxa"/>
            <w:gridSpan w:val="2"/>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10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1"/>
              <w:jc w:val="right"/>
              <w:rPr>
                <w:rFonts w:ascii="Times New Roman" w:hAnsi="Times New Roman" w:cs="Times New Roman" w:eastAsia="Times New Roman" w:hint="default"/>
                <w:sz w:val="18"/>
                <w:szCs w:val="18"/>
              </w:rPr>
            </w:pPr>
            <w:r>
              <w:rPr>
                <w:rFonts w:ascii="Times New Roman"/>
                <w:w w:val="95"/>
                <w:sz w:val="18"/>
              </w:rPr>
              <w:t>3.63%</w:t>
            </w:r>
            <w:r>
              <w:rPr>
                <w:rFonts w:ascii="Times New Roman"/>
                <w:sz w:val="18"/>
              </w:rPr>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21,113,550</w:t>
            </w:r>
          </w:p>
        </w:tc>
        <w:tc>
          <w:tcPr>
            <w:tcW w:w="9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-36,594,827</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20,935,890</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4" w:right="0"/>
              <w:jc w:val="left"/>
              <w:rPr>
                <w:rFonts w:ascii="Times New Roman" w:hAnsi="Times New Roman" w:cs="Times New Roman" w:eastAsia="Times New Roman" w:hint="default"/>
                <w:sz w:val="18"/>
                <w:szCs w:val="18"/>
              </w:rPr>
            </w:pPr>
            <w:r>
              <w:rPr>
                <w:rFonts w:ascii="Times New Roman"/>
                <w:sz w:val="18"/>
              </w:rPr>
              <w:t>177,660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20,699,998</w:t>
            </w:r>
          </w:p>
        </w:tc>
      </w:tr>
      <w:tr>
        <w:trPr>
          <w:trHeight w:val="402"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雷波</w:t>
            </w:r>
          </w:p>
        </w:tc>
        <w:tc>
          <w:tcPr>
            <w:tcW w:w="10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1"/>
              <w:jc w:val="right"/>
              <w:rPr>
                <w:rFonts w:ascii="Times New Roman" w:hAnsi="Times New Roman" w:cs="Times New Roman" w:eastAsia="Times New Roman" w:hint="default"/>
                <w:sz w:val="18"/>
                <w:szCs w:val="18"/>
              </w:rPr>
            </w:pPr>
            <w:r>
              <w:rPr>
                <w:rFonts w:ascii="Times New Roman"/>
                <w:w w:val="95"/>
                <w:sz w:val="18"/>
              </w:rPr>
              <w:t>0.81%</w:t>
            </w:r>
            <w:r>
              <w:rPr>
                <w:rFonts w:ascii="Times New Roman"/>
                <w:sz w:val="18"/>
              </w:rPr>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4,700,000</w:t>
            </w:r>
          </w:p>
        </w:tc>
        <w:tc>
          <w:tcPr>
            <w:tcW w:w="931"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4,700,000</w:t>
            </w:r>
          </w:p>
        </w:tc>
        <w:tc>
          <w:tcPr>
            <w:tcW w:w="1134" w:type="dxa"/>
            <w:gridSpan w:val="2"/>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4"/>
              <w:jc w:val="both"/>
              <w:rPr>
                <w:rFonts w:ascii="宋体" w:hAnsi="宋体" w:cs="宋体" w:eastAsia="宋体" w:hint="default"/>
                <w:sz w:val="18"/>
                <w:szCs w:val="18"/>
              </w:rPr>
            </w:pPr>
            <w:r>
              <w:rPr>
                <w:rFonts w:ascii="宋体" w:hAnsi="宋体" w:cs="宋体" w:eastAsia="宋体" w:hint="default"/>
                <w:sz w:val="18"/>
                <w:szCs w:val="18"/>
              </w:rPr>
              <w:t>中国建设银行股 份有限公司－华 宝行业精选混合 型证券投资基金</w:t>
            </w:r>
          </w:p>
        </w:tc>
        <w:tc>
          <w:tcPr>
            <w:tcW w:w="10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49"/>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w w:val="95"/>
                <w:sz w:val="18"/>
              </w:rPr>
              <w:t>0.50%</w:t>
            </w:r>
            <w:r>
              <w:rPr>
                <w:rFonts w:ascii="Times New Roman"/>
                <w:sz w:val="18"/>
              </w:rPr>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2,885,539</w:t>
            </w:r>
          </w:p>
        </w:tc>
        <w:tc>
          <w:tcPr>
            <w:tcW w:w="931"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8" w:right="0"/>
              <w:jc w:val="left"/>
              <w:rPr>
                <w:rFonts w:ascii="Times New Roman" w:hAnsi="Times New Roman" w:cs="Times New Roman" w:eastAsia="Times New Roman" w:hint="default"/>
                <w:sz w:val="18"/>
                <w:szCs w:val="18"/>
              </w:rPr>
            </w:pPr>
            <w:r>
              <w:rPr>
                <w:rFonts w:ascii="Times New Roman"/>
                <w:sz w:val="18"/>
              </w:rPr>
              <w:t>2,885,539</w:t>
            </w:r>
          </w:p>
        </w:tc>
        <w:tc>
          <w:tcPr>
            <w:tcW w:w="1134" w:type="dxa"/>
            <w:gridSpan w:val="2"/>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朱小燕</w:t>
            </w:r>
          </w:p>
        </w:tc>
        <w:tc>
          <w:tcPr>
            <w:tcW w:w="10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1"/>
              <w:jc w:val="right"/>
              <w:rPr>
                <w:rFonts w:ascii="Times New Roman" w:hAnsi="Times New Roman" w:cs="Times New Roman" w:eastAsia="Times New Roman" w:hint="default"/>
                <w:sz w:val="18"/>
                <w:szCs w:val="18"/>
              </w:rPr>
            </w:pPr>
            <w:r>
              <w:rPr>
                <w:rFonts w:ascii="Times New Roman"/>
                <w:w w:val="95"/>
                <w:sz w:val="18"/>
              </w:rPr>
              <w:t>0.38%</w:t>
            </w:r>
            <w:r>
              <w:rPr>
                <w:rFonts w:ascii="Times New Roman"/>
                <w:sz w:val="18"/>
              </w:rPr>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2,196,000</w:t>
            </w:r>
          </w:p>
        </w:tc>
        <w:tc>
          <w:tcPr>
            <w:tcW w:w="931"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2,196,000</w:t>
            </w:r>
          </w:p>
        </w:tc>
        <w:tc>
          <w:tcPr>
            <w:tcW w:w="1134" w:type="dxa"/>
            <w:gridSpan w:val="2"/>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张海明</w:t>
            </w:r>
          </w:p>
        </w:tc>
        <w:tc>
          <w:tcPr>
            <w:tcW w:w="10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1"/>
              <w:jc w:val="right"/>
              <w:rPr>
                <w:rFonts w:ascii="Times New Roman" w:hAnsi="Times New Roman" w:cs="Times New Roman" w:eastAsia="Times New Roman" w:hint="default"/>
                <w:sz w:val="18"/>
                <w:szCs w:val="18"/>
              </w:rPr>
            </w:pPr>
            <w:r>
              <w:rPr>
                <w:rFonts w:ascii="Times New Roman"/>
                <w:w w:val="95"/>
                <w:sz w:val="18"/>
              </w:rPr>
              <w:t>0.31%</w:t>
            </w:r>
            <w:r>
              <w:rPr>
                <w:rFonts w:ascii="Times New Roman"/>
                <w:sz w:val="18"/>
              </w:rPr>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1,826,850</w:t>
            </w:r>
          </w:p>
        </w:tc>
        <w:tc>
          <w:tcPr>
            <w:tcW w:w="931"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8" w:right="0"/>
              <w:jc w:val="left"/>
              <w:rPr>
                <w:rFonts w:ascii="Times New Roman" w:hAnsi="Times New Roman" w:cs="Times New Roman" w:eastAsia="Times New Roman" w:hint="default"/>
                <w:sz w:val="18"/>
                <w:szCs w:val="18"/>
              </w:rPr>
            </w:pPr>
            <w:r>
              <w:rPr>
                <w:rFonts w:ascii="Times New Roman"/>
                <w:sz w:val="18"/>
              </w:rPr>
              <w:t>1,826,850</w:t>
            </w:r>
          </w:p>
        </w:tc>
        <w:tc>
          <w:tcPr>
            <w:tcW w:w="1134" w:type="dxa"/>
            <w:gridSpan w:val="2"/>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r>
        <w:rPr/>
        <w:pict>
          <v:shape style="position:absolute;margin-left:79.380302pt;margin-top:699.47998pt;width:455.5pt;height:66.45pt;mso-position-horizontal-relative:page;mso-position-vertical-relative:page;z-index:-963184"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名无限售流通股股东之间，</w:t>
                  </w:r>
                </w:p>
              </w:txbxContent>
            </v:textbox>
            <w10:wrap type="none"/>
          </v:shape>
        </w:pict>
      </w:r>
      <w:r>
        <w:rPr/>
        <w:pict>
          <v:group style="position:absolute;margin-left:184.559998pt;margin-top:750.299988pt;width:350.3pt;height:15.6pt;mso-position-horizontal-relative:page;mso-position-vertical-relative:page;z-index:-963160" coordorigin="3691,15006" coordsize="7006,312">
            <v:shape style="position:absolute;left:3691;top:15006;width:7006;height:312" coordorigin="3691,15006" coordsize="7006,312" path="m3691,15318l10697,15318,10697,15006,3691,15006,3691,15318xe" filled="true" fillcolor="#ffffff" stroked="false">
              <v:path arrowok="t"/>
              <v:fill type="solid"/>
            </v:shape>
            <w10:wrap type="none"/>
          </v:group>
        </w:pict>
      </w:r>
    </w:p>
    <w:tbl>
      <w:tblPr>
        <w:tblW w:w="0" w:type="auto"/>
        <w:jc w:val="left"/>
        <w:tblInd w:w="149" w:type="dxa"/>
        <w:tblLayout w:type="fixed"/>
        <w:tblCellMar>
          <w:top w:w="0" w:type="dxa"/>
          <w:left w:w="0" w:type="dxa"/>
          <w:bottom w:w="0" w:type="dxa"/>
          <w:right w:w="0" w:type="dxa"/>
        </w:tblCellMar>
        <w:tblLook w:val="01E0"/>
      </w:tblPr>
      <w:tblGrid>
        <w:gridCol w:w="1469"/>
        <w:gridCol w:w="1084"/>
        <w:gridCol w:w="991"/>
        <w:gridCol w:w="912"/>
        <w:gridCol w:w="931"/>
        <w:gridCol w:w="992"/>
        <w:gridCol w:w="992"/>
        <w:gridCol w:w="1134"/>
        <w:gridCol w:w="1062"/>
      </w:tblGrid>
      <w:tr>
        <w:trPr>
          <w:trHeight w:val="40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蔡晓东</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0.30%</w:t>
            </w:r>
            <w:r>
              <w:rPr>
                <w:rFonts w:ascii="Times New Roman"/>
                <w:sz w:val="18"/>
              </w:rPr>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1,771,500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1,771,500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84"/>
              <w:jc w:val="left"/>
              <w:rPr>
                <w:rFonts w:ascii="宋体" w:hAnsi="宋体" w:cs="宋体" w:eastAsia="宋体" w:hint="default"/>
                <w:sz w:val="18"/>
                <w:szCs w:val="18"/>
              </w:rPr>
            </w:pPr>
            <w:r>
              <w:rPr>
                <w:rFonts w:ascii="宋体" w:hAnsi="宋体" w:cs="宋体" w:eastAsia="宋体" w:hint="default"/>
                <w:sz w:val="18"/>
                <w:szCs w:val="18"/>
              </w:rPr>
              <w:t>浙江九章资产管 理有限公司－九 章幻方皓月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号 私募基金</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49"/>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w w:val="95"/>
                <w:sz w:val="18"/>
              </w:rPr>
              <w:t>0.27%</w:t>
            </w:r>
            <w:r>
              <w:rPr>
                <w:rFonts w:ascii="Times New Roman"/>
                <w:sz w:val="18"/>
              </w:rPr>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1,590,585</w:t>
            </w:r>
          </w:p>
        </w:tc>
        <w:tc>
          <w:tcPr>
            <w:tcW w:w="93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1,590,585</w:t>
            </w:r>
          </w:p>
        </w:tc>
        <w:tc>
          <w:tcPr>
            <w:tcW w:w="113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陈铕钍</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0.23%</w:t>
            </w:r>
            <w:r>
              <w:rPr>
                <w:rFonts w:ascii="Times New Roman"/>
                <w:sz w:val="18"/>
              </w:rPr>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1,343,400</w:t>
            </w:r>
          </w:p>
        </w:tc>
        <w:tc>
          <w:tcPr>
            <w:tcW w:w="93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1,343,400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55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战略投资者或一般法人因配售 新股成为前</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pacing w:val="-12"/>
                <w:sz w:val="18"/>
                <w:szCs w:val="18"/>
              </w:rPr>
              <w:t>名股东的情况（如</w:t>
            </w:r>
            <w:r>
              <w:rPr>
                <w:rFonts w:ascii="宋体" w:hAnsi="宋体" w:cs="宋体" w:eastAsia="宋体" w:hint="default"/>
                <w:sz w:val="18"/>
                <w:szCs w:val="18"/>
              </w:rPr>
              <w:t> </w:t>
            </w:r>
            <w:r>
              <w:rPr>
                <w:rFonts w:ascii="宋体" w:hAnsi="宋体" w:cs="宋体" w:eastAsia="宋体" w:hint="default"/>
                <w:spacing w:val="-15"/>
                <w:sz w:val="18"/>
                <w:szCs w:val="18"/>
              </w:rPr>
              <w:t>有）（参见注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7015" w:type="dxa"/>
            <w:gridSpan w:val="7"/>
            <w:tcBorders>
              <w:top w:val="single" w:sz="4" w:space="0" w:color="000000"/>
              <w:left w:val="single" w:sz="13" w:space="0" w:color="D3D3D3"/>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79"/>
              <w:jc w:val="left"/>
              <w:rPr>
                <w:rFonts w:ascii="宋体" w:hAnsi="宋体" w:cs="宋体" w:eastAsia="宋体" w:hint="default"/>
                <w:sz w:val="18"/>
                <w:szCs w:val="18"/>
              </w:rPr>
            </w:pPr>
            <w:r>
              <w:rPr>
                <w:rFonts w:ascii="宋体" w:hAnsi="宋体" w:cs="宋体" w:eastAsia="宋体" w:hint="default"/>
                <w:sz w:val="18"/>
                <w:szCs w:val="18"/>
              </w:rPr>
              <w:t>上述股东关联关系或一致行动 的说明</w:t>
            </w:r>
          </w:p>
        </w:tc>
        <w:tc>
          <w:tcPr>
            <w:tcW w:w="7015" w:type="dxa"/>
            <w:gridSpan w:val="7"/>
            <w:tcBorders>
              <w:top w:val="single" w:sz="4" w:space="0" w:color="000000"/>
              <w:left w:val="single" w:sz="13" w:space="0" w:color="D3D3D3"/>
              <w:bottom w:val="single" w:sz="4" w:space="0" w:color="000000"/>
              <w:right w:val="single" w:sz="4" w:space="0" w:color="000000"/>
            </w:tcBorders>
          </w:tcPr>
          <w:p>
            <w:pPr>
              <w:pStyle w:val="TableParagraph"/>
              <w:spacing w:line="319" w:lineRule="auto" w:before="51"/>
              <w:ind w:left="10" w:right="23"/>
              <w:jc w:val="left"/>
              <w:rPr>
                <w:rFonts w:ascii="宋体" w:hAnsi="宋体" w:cs="宋体" w:eastAsia="宋体" w:hint="default"/>
                <w:sz w:val="18"/>
                <w:szCs w:val="18"/>
              </w:rPr>
            </w:pPr>
            <w:r>
              <w:rPr>
                <w:rFonts w:ascii="宋体" w:hAnsi="宋体" w:cs="宋体" w:eastAsia="宋体" w:hint="default"/>
                <w:spacing w:val="-2"/>
                <w:sz w:val="18"/>
                <w:szCs w:val="18"/>
              </w:rPr>
              <w:t>前述股东中，张杰和林旭曦为夫妻关系；除此之外，公司不知悉其他股东之间是否存在关</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联关系。</w:t>
            </w:r>
          </w:p>
        </w:tc>
      </w:tr>
      <w:tr>
        <w:trPr>
          <w:trHeight w:val="402" w:hRule="exact"/>
        </w:trPr>
        <w:tc>
          <w:tcPr>
            <w:tcW w:w="9568"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06" w:hRule="exact"/>
        </w:trPr>
        <w:tc>
          <w:tcPr>
            <w:tcW w:w="2552" w:type="dxa"/>
            <w:gridSpan w:val="2"/>
            <w:tcBorders>
              <w:top w:val="single" w:sz="4" w:space="0" w:color="000000"/>
              <w:left w:val="single" w:sz="4" w:space="0" w:color="000000"/>
              <w:bottom w:val="nil" w:sz="6" w:space="0" w:color="auto"/>
              <w:right w:val="single" w:sz="4" w:space="0" w:color="000000"/>
            </w:tcBorders>
            <w:shd w:val="clear" w:color="auto" w:fill="D3D3D3"/>
          </w:tcPr>
          <w:p>
            <w:pPr/>
          </w:p>
        </w:tc>
        <w:tc>
          <w:tcPr>
            <w:tcW w:w="4819" w:type="dxa"/>
            <w:gridSpan w:val="5"/>
            <w:tcBorders>
              <w:top w:val="single" w:sz="4" w:space="0" w:color="000000"/>
              <w:left w:val="single" w:sz="4" w:space="0" w:color="000000"/>
              <w:bottom w:val="nil" w:sz="6" w:space="0" w:color="auto"/>
              <w:right w:val="single" w:sz="4" w:space="0" w:color="000000"/>
            </w:tcBorders>
            <w:shd w:val="clear" w:color="auto" w:fill="D3D3D3"/>
          </w:tcPr>
          <w:p>
            <w:pPr/>
          </w:p>
        </w:tc>
        <w:tc>
          <w:tcPr>
            <w:tcW w:w="2196"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6" w:hRule="exact"/>
        </w:trPr>
        <w:tc>
          <w:tcPr>
            <w:tcW w:w="2552" w:type="dxa"/>
            <w:gridSpan w:val="2"/>
            <w:vMerge w:val="restart"/>
            <w:tcBorders>
              <w:top w:val="nil" w:sz="6" w:space="0" w:color="auto"/>
              <w:left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4819" w:type="dxa"/>
            <w:gridSpan w:val="5"/>
            <w:vMerge w:val="restart"/>
            <w:tcBorders>
              <w:top w:val="nil" w:sz="6" w:space="0" w:color="auto"/>
              <w:left w:val="single" w:sz="4" w:space="0" w:color="000000"/>
              <w:right w:val="single" w:sz="4" w:space="0" w:color="000000"/>
            </w:tcBorders>
            <w:shd w:val="clear" w:color="auto" w:fill="D3D3D3"/>
          </w:tcPr>
          <w:p>
            <w:pPr>
              <w:pStyle w:val="TableParagraph"/>
              <w:spacing w:line="240" w:lineRule="auto" w:before="51"/>
              <w:ind w:left="1053"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196" w:type="dxa"/>
            <w:gridSpan w:val="2"/>
            <w:vMerge/>
            <w:tcBorders>
              <w:left w:val="single" w:sz="4" w:space="0" w:color="000000"/>
              <w:bottom w:val="single" w:sz="4" w:space="0" w:color="000000"/>
              <w:right w:val="single" w:sz="4" w:space="0" w:color="000000"/>
            </w:tcBorders>
            <w:shd w:val="clear" w:color="auto" w:fill="D3D3D3"/>
          </w:tcPr>
          <w:p>
            <w:pPr/>
          </w:p>
        </w:tc>
      </w:tr>
      <w:tr>
        <w:trPr>
          <w:trHeight w:val="196" w:hRule="exact"/>
        </w:trPr>
        <w:tc>
          <w:tcPr>
            <w:tcW w:w="2552" w:type="dxa"/>
            <w:gridSpan w:val="2"/>
            <w:vMerge/>
            <w:tcBorders>
              <w:left w:val="single" w:sz="4" w:space="0" w:color="000000"/>
              <w:bottom w:val="nil" w:sz="6" w:space="0" w:color="auto"/>
              <w:right w:val="single" w:sz="4" w:space="0" w:color="000000"/>
            </w:tcBorders>
            <w:shd w:val="clear" w:color="auto" w:fill="D3D3D3"/>
          </w:tcPr>
          <w:p>
            <w:pPr/>
          </w:p>
        </w:tc>
        <w:tc>
          <w:tcPr>
            <w:tcW w:w="4819" w:type="dxa"/>
            <w:gridSpan w:val="5"/>
            <w:vMerge/>
            <w:tcBorders>
              <w:left w:val="single" w:sz="4" w:space="0" w:color="000000"/>
              <w:bottom w:val="nil" w:sz="6" w:space="0" w:color="auto"/>
              <w:right w:val="single" w:sz="4" w:space="0" w:color="000000"/>
            </w:tcBorders>
            <w:shd w:val="clear" w:color="auto" w:fill="D3D3D3"/>
          </w:tcPr>
          <w:p>
            <w:pPr/>
          </w:p>
        </w:tc>
        <w:tc>
          <w:tcPr>
            <w:tcW w:w="113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06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2552" w:type="dxa"/>
            <w:gridSpan w:val="2"/>
            <w:tcBorders>
              <w:top w:val="nil" w:sz="6" w:space="0" w:color="auto"/>
              <w:left w:val="single" w:sz="4" w:space="0" w:color="000000"/>
              <w:bottom w:val="single" w:sz="4" w:space="0" w:color="000000"/>
              <w:right w:val="single" w:sz="4" w:space="0" w:color="000000"/>
            </w:tcBorders>
            <w:shd w:val="clear" w:color="auto" w:fill="D3D3D3"/>
          </w:tcPr>
          <w:p>
            <w:pPr/>
          </w:p>
        </w:tc>
        <w:tc>
          <w:tcPr>
            <w:tcW w:w="4819" w:type="dxa"/>
            <w:gridSpan w:val="5"/>
            <w:tcBorders>
              <w:top w:val="nil" w:sz="6" w:space="0" w:color="auto"/>
              <w:left w:val="single" w:sz="4" w:space="0" w:color="000000"/>
              <w:bottom w:val="single" w:sz="4" w:space="0" w:color="000000"/>
              <w:right w:val="single" w:sz="4" w:space="0" w:color="000000"/>
            </w:tcBorders>
            <w:shd w:val="clear" w:color="auto" w:fill="D3D3D3"/>
          </w:tcPr>
          <w:p>
            <w:pPr/>
          </w:p>
        </w:tc>
        <w:tc>
          <w:tcPr>
            <w:tcW w:w="1134" w:type="dxa"/>
            <w:vMerge/>
            <w:tcBorders>
              <w:left w:val="single" w:sz="4" w:space="0" w:color="000000"/>
              <w:bottom w:val="single" w:sz="4" w:space="0" w:color="000000"/>
              <w:right w:val="single" w:sz="4" w:space="0" w:color="000000"/>
            </w:tcBorders>
            <w:shd w:val="clear" w:color="auto" w:fill="D3D3D3"/>
          </w:tcPr>
          <w:p>
            <w:pPr/>
          </w:p>
        </w:tc>
        <w:tc>
          <w:tcPr>
            <w:tcW w:w="1062"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86,669,683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86,669,683</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5,682,074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5,682,074</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雷波</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4,700,000</w:t>
            </w:r>
          </w:p>
        </w:tc>
      </w:tr>
      <w:tr>
        <w:trPr>
          <w:trHeight w:val="1026"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9"/>
              <w:jc w:val="both"/>
              <w:rPr>
                <w:rFonts w:ascii="宋体" w:hAnsi="宋体" w:cs="宋体" w:eastAsia="宋体" w:hint="default"/>
                <w:sz w:val="18"/>
                <w:szCs w:val="18"/>
              </w:rPr>
            </w:pPr>
            <w:r>
              <w:rPr>
                <w:rFonts w:ascii="宋体" w:hAnsi="宋体" w:cs="宋体" w:eastAsia="宋体" w:hint="default"/>
                <w:sz w:val="18"/>
                <w:szCs w:val="18"/>
              </w:rPr>
              <w:t>中国建设银行股份有限公司－ 华宝行业精选混合型证券投资 基金</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2,885,539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2,885,539</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朱小燕</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2,196,000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2,196,000</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张海明</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1,826,850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1,826,850</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蔡晓东</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1,771,500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1,771,500</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9"/>
              <w:jc w:val="left"/>
              <w:rPr>
                <w:rFonts w:ascii="宋体" w:hAnsi="宋体" w:cs="宋体" w:eastAsia="宋体" w:hint="default"/>
                <w:sz w:val="18"/>
                <w:szCs w:val="18"/>
              </w:rPr>
            </w:pPr>
            <w:r>
              <w:rPr>
                <w:rFonts w:ascii="宋体" w:hAnsi="宋体" w:cs="宋体" w:eastAsia="宋体" w:hint="default"/>
                <w:sz w:val="18"/>
                <w:szCs w:val="18"/>
              </w:rPr>
              <w:t>浙江九章资产管理有限公司－ 九章幻方皓月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号私募基金</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1,590,585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1,590,585</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陈铕钍</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1,343,400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1,343,400</w:t>
            </w:r>
          </w:p>
        </w:tc>
      </w:tr>
      <w:tr>
        <w:trPr>
          <w:trHeight w:val="714" w:hRule="exact"/>
        </w:trPr>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蔡芝盈</w:t>
            </w:r>
          </w:p>
        </w:tc>
        <w:tc>
          <w:tcPr>
            <w:tcW w:w="48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1,157,250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人民币普通 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1,157,250</w:t>
            </w:r>
          </w:p>
        </w:tc>
      </w:tr>
      <w:tr>
        <w:trPr>
          <w:trHeight w:val="1338" w:hRule="exact"/>
        </w:trPr>
        <w:tc>
          <w:tcPr>
            <w:tcW w:w="255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前</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w:t>
            </w:r>
          </w:p>
          <w:p>
            <w:pPr>
              <w:pStyle w:val="TableParagraph"/>
              <w:spacing w:line="302" w:lineRule="auto" w:before="63"/>
              <w:ind w:left="22" w:right="89"/>
              <w:jc w:val="left"/>
              <w:rPr>
                <w:rFonts w:ascii="宋体" w:hAnsi="宋体" w:cs="宋体" w:eastAsia="宋体" w:hint="default"/>
                <w:sz w:val="18"/>
                <w:szCs w:val="18"/>
              </w:rPr>
            </w:pPr>
            <w:r>
              <w:rPr>
                <w:rFonts w:ascii="宋体" w:hAnsi="宋体" w:cs="宋体" w:eastAsia="宋体" w:hint="default"/>
                <w:sz w:val="18"/>
                <w:szCs w:val="18"/>
              </w:rPr>
              <w:t>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名股东之间关联关系或 一致行动的说明</w:t>
            </w:r>
          </w:p>
        </w:tc>
        <w:tc>
          <w:tcPr>
            <w:tcW w:w="7015" w:type="dxa"/>
            <w:gridSpan w:val="7"/>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
                <w:sz w:val="20"/>
                <w:szCs w:val="20"/>
              </w:rPr>
              <w:pict>
                <v:group style="width:350.3pt;height:15.6pt;mso-position-horizontal-relative:char;mso-position-vertical-relative:line" coordorigin="0,0" coordsize="7006,312">
                  <v:group style="position:absolute;left:0;top:0;width:7006;height:312" coordorigin="0,0" coordsize="7006,312">
                    <v:shape style="position:absolute;left:0;top:0;width:7006;height:312" coordorigin="0,0" coordsize="7006,312" path="m0,312l7006,312,7006,0,0,0,0,312xe" filled="true" fillcolor="#ffffff" stroked="false">
                      <v:path arrowok="t"/>
                      <v:fill type="solid"/>
                    </v:shape>
                  </v:group>
                </v:group>
              </w:pict>
            </w:r>
            <w:r>
              <w:rPr>
                <w:rFonts w:ascii="Times New Roman" w:hAnsi="Times New Roman" w:cs="Times New Roman" w:eastAsia="Times New Roman" w:hint="default"/>
                <w:position w:val="-5"/>
                <w:sz w:val="20"/>
                <w:szCs w:val="20"/>
              </w:rPr>
            </w:r>
          </w:p>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pacing w:val="-2"/>
                <w:sz w:val="18"/>
                <w:szCs w:val="18"/>
              </w:rPr>
              <w:t>前述股东中，张杰和林旭曦为夫妻关系；除此之外，公司不知悉其他股东之间是否存在关</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联关系。</w:t>
            </w:r>
          </w:p>
        </w:tc>
      </w:tr>
    </w:tbl>
    <w:p>
      <w:pPr>
        <w:spacing w:after="0" w:line="319"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5"/>
        <w:rPr>
          <w:rFonts w:ascii="Times New Roman" w:hAnsi="Times New Roman" w:cs="Times New Roman" w:eastAsia="Times New Roman" w:hint="default"/>
          <w:sz w:val="27"/>
          <w:szCs w:val="27"/>
        </w:rPr>
      </w:pPr>
    </w:p>
    <w:p>
      <w:pPr>
        <w:spacing w:line="1045" w:lineRule="exact"/>
        <w:ind w:left="14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0"/>
          <w:sz w:val="20"/>
          <w:szCs w:val="20"/>
        </w:rPr>
        <w:pict>
          <v:group style="width:479.35pt;height:52.3pt;mso-position-horizontal-relative:char;mso-position-vertical-relative:line" coordorigin="0,0" coordsize="9587,1046">
            <v:group style="position:absolute;left:2533;top:679;width:24;height:352" coordorigin="2533,679" coordsize="24,352">
              <v:shape style="position:absolute;left:2533;top:679;width:24;height:352" coordorigin="2533,679" coordsize="24,352" path="m2533,1031l2557,1031,2557,679,2533,679,2533,1031xe" filled="true" fillcolor="#d3d3d3" stroked="false">
                <v:path arrowok="t"/>
                <v:fill type="solid"/>
              </v:shape>
            </v:group>
            <v:group style="position:absolute;left:14;top:679;width:23;height:352" coordorigin="14,679" coordsize="23,352">
              <v:shape style="position:absolute;left:14;top:679;width:23;height:352" coordorigin="14,679" coordsize="23,352" path="m14,1031l37,1031,37,679,14,679,14,1031xe" filled="true" fillcolor="#d3d3d3" stroked="false">
                <v:path arrowok="t"/>
                <v:fill type="solid"/>
              </v:shape>
            </v:group>
            <v:group style="position:absolute;left:37;top:14;width:2496;height:353" coordorigin="37,14" coordsize="2496,353">
              <v:shape style="position:absolute;left:37;top:14;width:2496;height:353" coordorigin="37,14" coordsize="2496,353" path="m37,367l2533,367,2533,14,37,14,37,367xe" filled="true" fillcolor="#d3d3d3" stroked="false">
                <v:path arrowok="t"/>
                <v:fill type="solid"/>
              </v:shape>
            </v:group>
            <v:group style="position:absolute;left:37;top:367;width:2496;height:312" coordorigin="37,367" coordsize="2496,312">
              <v:shape style="position:absolute;left:37;top:367;width:2496;height:312" coordorigin="37,367" coordsize="2496,312" path="m37,679l2533,679,2533,367,37,367,37,679xe" filled="true" fillcolor="#d3d3d3" stroked="false">
                <v:path arrowok="t"/>
                <v:fill type="solid"/>
              </v:shape>
            </v:group>
            <v:group style="position:absolute;left:37;top:679;width:2496;height:352" coordorigin="37,679" coordsize="2496,352">
              <v:shape style="position:absolute;left:37;top:679;width:2496;height:352" coordorigin="37,679" coordsize="2496,352" path="m37,1031l2533,1031,2533,679,37,679,37,1031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004pt" strokecolor="#000000">
                <v:path arrowok="t"/>
              </v:shape>
            </v:group>
            <v:group style="position:absolute;left:10;top:5;width:2;height:1036" coordorigin="10,5" coordsize="2,1036">
              <v:shape style="position:absolute;left:10;top:5;width:2;height:1036" coordorigin="10,5" coordsize="0,1036" path="m10,5l10,1040e" filled="false" stroked="true" strokeweight=".48001pt" strokecolor="#000000">
                <v:path arrowok="t"/>
              </v:shape>
            </v:group>
            <v:group style="position:absolute;left:5;top:1036;width:2553;height:2" coordorigin="5,1036" coordsize="2553,2">
              <v:shape style="position:absolute;left:5;top:1036;width:2553;height:2" coordorigin="5,1036" coordsize="2553,0" path="m5,1036l2557,1036e" filled="false" stroked="true" strokeweight=".47998pt" strokecolor="#000000">
                <v:path arrowok="t"/>
              </v:shape>
            </v:group>
            <v:group style="position:absolute;left:2562;top:14;width:2;height:1026" coordorigin="2562,14" coordsize="2,1026">
              <v:shape style="position:absolute;left:2562;top:14;width:2;height:1026" coordorigin="2562,14" coordsize="0,1026" path="m2562,14l2562,1040e" filled="false" stroked="true" strokeweight=".48001pt" strokecolor="#000000">
                <v:path arrowok="t"/>
              </v:shape>
            </v:group>
            <v:group style="position:absolute;left:2567;top:1036;width:7006;height:2" coordorigin="2567,1036" coordsize="7006,2">
              <v:shape style="position:absolute;left:2567;top:1036;width:7006;height:2" coordorigin="2567,1036" coordsize="7006,0" path="m2567,1036l9572,1036e" filled="false" stroked="true" strokeweight=".47998pt" strokecolor="#000000">
                <v:path arrowok="t"/>
              </v:shape>
            </v:group>
            <v:group style="position:absolute;left:9577;top:5;width:2;height:1036" coordorigin="9577,5" coordsize="2,1036">
              <v:shape style="position:absolute;left:9577;top:5;width:2;height:1036" coordorigin="9577,5" coordsize="0,1036" path="m9577,5l9577,1040e" filled="false" stroked="true" strokeweight=".47998pt" strokecolor="#000000">
                <v:path arrowok="t"/>
              </v:shape>
              <v:shape style="position:absolute;left:10;top:10;width:2553;height:1026" type="#_x0000_t202" filled="false" stroked="false">
                <v:textbox inset="0,0,0,0">
                  <w:txbxContent>
                    <w:p>
                      <w:pPr>
                        <w:spacing w:line="309" w:lineRule="auto" w:before="56"/>
                        <w:ind w:left="27" w:right="92" w:firstLine="0"/>
                        <w:jc w:val="both"/>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名普通股股东参与融资融 </w:t>
                      </w:r>
                      <w:r>
                        <w:rPr>
                          <w:rFonts w:ascii="宋体" w:hAnsi="宋体" w:cs="宋体" w:eastAsia="宋体" w:hint="default"/>
                          <w:spacing w:val="-7"/>
                          <w:sz w:val="18"/>
                          <w:szCs w:val="18"/>
                        </w:rPr>
                        <w:t>券业务情况说明（如有）（参见</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xbxContent>
                </v:textbox>
                <w10:wrap type="none"/>
              </v:shape>
              <v:shape style="position:absolute;left:2562;top:10;width:7016;height:1026" type="#_x0000_t202" filled="false" stroked="false">
                <v:textbox inset="0,0,0,0">
                  <w:txbxContent>
                    <w:p>
                      <w:pPr>
                        <w:spacing w:line="240" w:lineRule="auto" w:before="5"/>
                        <w:rPr>
                          <w:rFonts w:ascii="Times New Roman" w:hAnsi="Times New Roman" w:cs="Times New Roman" w:eastAsia="Times New Roman" w:hint="default"/>
                          <w:sz w:val="18"/>
                          <w:szCs w:val="18"/>
                        </w:rPr>
                      </w:pPr>
                    </w:p>
                    <w:p>
                      <w:pPr>
                        <w:spacing w:before="0"/>
                        <w:ind w:left="27" w:right="0" w:firstLine="0"/>
                        <w:jc w:val="left"/>
                        <w:rPr>
                          <w:rFonts w:ascii="宋体" w:hAnsi="宋体" w:cs="宋体" w:eastAsia="宋体" w:hint="default"/>
                          <w:sz w:val="18"/>
                          <w:szCs w:val="18"/>
                        </w:rPr>
                      </w:pPr>
                      <w:r>
                        <w:rPr>
                          <w:rFonts w:ascii="宋体" w:hAnsi="宋体" w:cs="宋体" w:eastAsia="宋体" w:hint="default"/>
                          <w:sz w:val="18"/>
                          <w:szCs w:val="18"/>
                        </w:rPr>
                        <w:t>雷波所持股份</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4,700,000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股通过其信用证券账户持有；蔡晓东所持股份中的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921,800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股通</w:t>
                      </w:r>
                    </w:p>
                    <w:p>
                      <w:pPr>
                        <w:spacing w:before="64"/>
                        <w:ind w:left="27" w:right="0" w:firstLine="0"/>
                        <w:jc w:val="left"/>
                        <w:rPr>
                          <w:rFonts w:ascii="宋体" w:hAnsi="宋体" w:cs="宋体" w:eastAsia="宋体" w:hint="default"/>
                          <w:sz w:val="18"/>
                          <w:szCs w:val="18"/>
                        </w:rPr>
                      </w:pPr>
                      <w:r>
                        <w:rPr>
                          <w:rFonts w:ascii="宋体" w:hAnsi="宋体" w:cs="宋体" w:eastAsia="宋体" w:hint="default"/>
                          <w:sz w:val="18"/>
                          <w:szCs w:val="18"/>
                        </w:rPr>
                        <w:t>过其信用证券账户持有；陈铕钍所持有股份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1,343,400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股通过其信用证券账户持有。</w:t>
                      </w:r>
                    </w:p>
                  </w:txbxContent>
                </v:textbox>
                <w10:wrap type="none"/>
              </v:shape>
            </v:group>
          </v:group>
        </w:pict>
      </w:r>
      <w:r>
        <w:rPr>
          <w:rFonts w:ascii="Times New Roman" w:hAnsi="Times New Roman" w:cs="Times New Roman" w:eastAsia="Times New Roman" w:hint="default"/>
          <w:position w:val="-20"/>
          <w:sz w:val="20"/>
          <w:szCs w:val="20"/>
        </w:rPr>
      </w:r>
    </w:p>
    <w:p>
      <w:pPr>
        <w:spacing w:before="46"/>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before="102"/>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2</w:t>
      </w:r>
      <w:r>
        <w:rPr/>
        <w:t>、公司控股股东情况</w:t>
      </w:r>
      <w:r>
        <w:rPr>
          <w:b w:val="0"/>
          <w:bCs w:val="0"/>
        </w:rPr>
      </w:r>
    </w:p>
    <w:p>
      <w:pPr>
        <w:spacing w:line="240" w:lineRule="auto" w:before="8"/>
        <w:rPr>
          <w:rFonts w:ascii="宋体" w:hAnsi="宋体" w:cs="宋体" w:eastAsia="宋体" w:hint="default"/>
          <w:b/>
          <w:bCs/>
          <w:sz w:val="26"/>
          <w:szCs w:val="26"/>
        </w:rPr>
      </w:pPr>
    </w:p>
    <w:p>
      <w:pPr>
        <w:spacing w:line="360" w:lineRule="auto" w:before="0"/>
        <w:ind w:left="153" w:right="8591"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 控股股东类型：自然人</w:t>
      </w:r>
    </w:p>
    <w:tbl>
      <w:tblPr>
        <w:tblW w:w="0" w:type="auto"/>
        <w:jc w:val="left"/>
        <w:tblInd w:w="149" w:type="dxa"/>
        <w:tblLayout w:type="fixed"/>
        <w:tblCellMar>
          <w:top w:w="0" w:type="dxa"/>
          <w:left w:w="0" w:type="dxa"/>
          <w:bottom w:w="0" w:type="dxa"/>
          <w:right w:w="0" w:type="dxa"/>
        </w:tblCellMar>
        <w:tblLook w:val="01E0"/>
      </w:tblPr>
      <w:tblGrid>
        <w:gridCol w:w="3418"/>
        <w:gridCol w:w="2303"/>
        <w:gridCol w:w="3847"/>
      </w:tblGrid>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张杰为公司董事长兼总经理</w:t>
            </w:r>
          </w:p>
        </w:tc>
      </w:tr>
      <w:tr>
        <w:trPr>
          <w:trHeight w:val="714" w:hRule="exact"/>
        </w:trPr>
        <w:tc>
          <w:tcPr>
            <w:tcW w:w="3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43"/>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65"/>
        <w:ind w:left="154" w:right="0"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38" w:lineRule="auto" w:before="117"/>
        <w:ind w:left="154" w:right="67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公司报告期控股股东未发生变更。</w:t>
      </w:r>
    </w:p>
    <w:p>
      <w:pPr>
        <w:spacing w:line="240" w:lineRule="auto" w:before="2"/>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w:t>
      </w:r>
      <w:r>
        <w:rPr/>
        <w:t>、公司实际控制人及其一致行动人</w:t>
      </w:r>
      <w:r>
        <w:rPr>
          <w:b w:val="0"/>
          <w:bCs w:val="0"/>
        </w:rPr>
      </w:r>
    </w:p>
    <w:p>
      <w:pPr>
        <w:spacing w:line="240" w:lineRule="auto" w:before="8"/>
        <w:rPr>
          <w:rFonts w:ascii="宋体" w:hAnsi="宋体" w:cs="宋体" w:eastAsia="宋体" w:hint="default"/>
          <w:b/>
          <w:bCs/>
          <w:sz w:val="26"/>
          <w:szCs w:val="26"/>
        </w:rPr>
      </w:pPr>
    </w:p>
    <w:p>
      <w:pPr>
        <w:spacing w:line="360" w:lineRule="auto" w:before="0"/>
        <w:ind w:left="153" w:right="8411"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010" w:right="109"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张杰为公司董事长兼总经理</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 市公司情况</w:t>
            </w:r>
          </w:p>
        </w:tc>
        <w:tc>
          <w:tcPr>
            <w:tcW w:w="71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65"/>
        <w:ind w:left="154" w:right="0"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48" w:lineRule="auto" w:before="117"/>
        <w:ind w:left="154" w:right="67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公司报告期实际控制人未发生变更。 公司与实际控制人之间的产权及控制关系的方框图</w:t>
      </w:r>
    </w:p>
    <w:p>
      <w:pPr>
        <w:spacing w:after="0" w:line="348"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spacing w:line="4090" w:lineRule="exact"/>
        <w:ind w:left="2561"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3076722" cy="2597372"/>
            <wp:effectExtent l="0" t="0" r="0" b="0"/>
            <wp:docPr id="5" name="image11.jpeg" descr=""/>
            <wp:cNvGraphicFramePr>
              <a:graphicFrameLocks noChangeAspect="1"/>
            </wp:cNvGraphicFramePr>
            <a:graphic>
              <a:graphicData uri="http://schemas.openxmlformats.org/drawingml/2006/picture">
                <pic:pic>
                  <pic:nvPicPr>
                    <pic:cNvPr id="6" name="image11.jpeg"/>
                    <pic:cNvPicPr/>
                  </pic:nvPicPr>
                  <pic:blipFill>
                    <a:blip r:embed="rId31" cstate="print"/>
                    <a:stretch>
                      <a:fillRect/>
                    </a:stretch>
                  </pic:blipFill>
                  <pic:spPr>
                    <a:xfrm>
                      <a:off x="0" y="0"/>
                      <a:ext cx="3076722" cy="2597372"/>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8"/>
        <w:rPr>
          <w:rFonts w:ascii="宋体" w:hAnsi="宋体" w:cs="宋体" w:eastAsia="宋体" w:hint="default"/>
          <w:sz w:val="22"/>
          <w:szCs w:val="22"/>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实际控制人通过信托或其他资产管理方式控制公司</w:t>
      </w:r>
    </w:p>
    <w:p>
      <w:pPr>
        <w:spacing w:line="240" w:lineRule="auto" w:before="2"/>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4</w:t>
      </w:r>
      <w:r>
        <w:rPr/>
        <w:t>、其他持股在</w:t>
      </w:r>
      <w:r>
        <w:rPr>
          <w:spacing w:val="-58"/>
        </w:rPr>
        <w:t> </w:t>
      </w:r>
      <w:r>
        <w:rPr>
          <w:rFonts w:ascii="Times New Roman" w:hAnsi="Times New Roman" w:cs="Times New Roman" w:eastAsia="Times New Roman" w:hint="default"/>
        </w:rPr>
        <w:t>10%</w:t>
      </w:r>
      <w:r>
        <w:rPr/>
        <w:t>以上的法人股东</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3366" w:right="0"/>
        <w:jc w:val="left"/>
        <w:rPr>
          <w:b w:val="0"/>
          <w:bCs w:val="0"/>
        </w:rPr>
      </w:pPr>
      <w:bookmarkStart w:name="_TOC_250006" w:id="7"/>
      <w:r>
        <w:rPr/>
        <w:t>第七节优先股相关情况</w:t>
      </w:r>
      <w:bookmarkEnd w:id="7"/>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9"/>
          <w:szCs w:val="19"/>
        </w:rPr>
      </w:pPr>
    </w:p>
    <w:p>
      <w:pPr>
        <w:spacing w:line="338" w:lineRule="auto" w:before="44"/>
        <w:ind w:left="154" w:right="85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报告期公司不存在优先股。</w:t>
      </w:r>
    </w:p>
    <w:p>
      <w:pPr>
        <w:spacing w:after="0" w:line="338"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2724" w:right="0"/>
        <w:jc w:val="left"/>
        <w:rPr>
          <w:b w:val="0"/>
          <w:bCs w:val="0"/>
        </w:rPr>
      </w:pPr>
      <w:bookmarkStart w:name="_TOC_250005" w:id="8"/>
      <w:r>
        <w:rPr/>
        <w:t>第八节可转换公司债券相关情况</w:t>
      </w:r>
      <w:bookmarkEnd w:id="8"/>
      <w:r>
        <w:rPr>
          <w:b w:val="0"/>
          <w:bCs w:val="0"/>
        </w:rPr>
      </w:r>
    </w:p>
    <w:p>
      <w:pPr>
        <w:spacing w:line="240" w:lineRule="auto" w:before="8"/>
        <w:rPr>
          <w:rFonts w:ascii="宋体" w:hAnsi="宋体" w:cs="宋体" w:eastAsia="宋体" w:hint="default"/>
          <w:b/>
          <w:bCs/>
          <w:sz w:val="42"/>
          <w:szCs w:val="42"/>
        </w:rPr>
      </w:pPr>
    </w:p>
    <w:p>
      <w:pPr>
        <w:spacing w:line="338" w:lineRule="auto" w:before="0"/>
        <w:ind w:left="154" w:right="787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报告期公司不存在可转换公司债券。</w:t>
      </w:r>
    </w:p>
    <w:p>
      <w:pPr>
        <w:spacing w:after="0" w:line="338"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1760" w:right="0"/>
        <w:jc w:val="left"/>
        <w:rPr>
          <w:b w:val="0"/>
          <w:bCs w:val="0"/>
        </w:rPr>
      </w:pPr>
      <w:bookmarkStart w:name="_TOC_250004" w:id="9"/>
      <w:r>
        <w:rPr/>
        <w:t>第九节董事、监事、高级管理人员和员工情况</w:t>
      </w:r>
      <w:bookmarkEnd w:id="9"/>
      <w:r>
        <w:rPr>
          <w:b w:val="0"/>
          <w:bCs w:val="0"/>
        </w:rPr>
      </w:r>
    </w:p>
    <w:p>
      <w:pPr>
        <w:spacing w:line="240" w:lineRule="auto" w:before="11"/>
        <w:rPr>
          <w:rFonts w:ascii="宋体" w:hAnsi="宋体" w:cs="宋体" w:eastAsia="宋体" w:hint="default"/>
          <w:b/>
          <w:bCs/>
          <w:sz w:val="38"/>
          <w:szCs w:val="38"/>
        </w:rPr>
      </w:pPr>
    </w:p>
    <w:p>
      <w:pPr>
        <w:pStyle w:val="Heading2"/>
        <w:spacing w:line="240" w:lineRule="auto"/>
        <w:ind w:right="0"/>
        <w:jc w:val="left"/>
        <w:rPr>
          <w:b w:val="0"/>
          <w:bCs w:val="0"/>
        </w:rPr>
      </w:pPr>
      <w:r>
        <w:rPr/>
        <w:pict>
          <v:shape style="position:absolute;margin-left:471.480011pt;margin-top:33.035938pt;width:63.55pt;height:50.8pt;mso-position-horizontal-relative:page;mso-position-vertical-relative:paragraph;z-index:-96306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w:pict>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586"/>
        <w:gridCol w:w="566"/>
        <w:gridCol w:w="992"/>
        <w:gridCol w:w="994"/>
        <w:gridCol w:w="851"/>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5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5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01" w:right="38"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00" w:right="41" w:hanging="360"/>
              <w:jc w:val="left"/>
              <w:rPr>
                <w:rFonts w:ascii="宋体" w:hAnsi="宋体" w:cs="宋体" w:eastAsia="宋体" w:hint="default"/>
                <w:sz w:val="18"/>
                <w:szCs w:val="18"/>
              </w:rPr>
            </w:pPr>
            <w:r>
              <w:rPr>
                <w:rFonts w:ascii="宋体" w:hAnsi="宋体" w:cs="宋体" w:eastAsia="宋体" w:hint="default"/>
                <w:sz w:val="18"/>
                <w:szCs w:val="18"/>
              </w:rPr>
              <w:t>任期终止日 期</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59" w:right="59"/>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32" w:firstLine="10"/>
              <w:jc w:val="left"/>
              <w:rPr>
                <w:rFonts w:ascii="宋体" w:hAnsi="宋体" w:cs="宋体" w:eastAsia="宋体" w:hint="default"/>
                <w:sz w:val="18"/>
                <w:szCs w:val="18"/>
              </w:rPr>
            </w:pPr>
            <w:r>
              <w:rPr>
                <w:rFonts w:ascii="宋体" w:hAnsi="宋体" w:cs="宋体" w:eastAsia="宋体" w:hint="default"/>
                <w:sz w:val="18"/>
                <w:szCs w:val="18"/>
              </w:rPr>
              <w:t>其他增减 变动</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45,981,89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5,813,400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40,168,49</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4</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33" w:right="0"/>
              <w:jc w:val="left"/>
              <w:rPr>
                <w:rFonts w:ascii="Times New Roman" w:hAnsi="Times New Roman" w:cs="Times New Roman" w:eastAsia="Times New Roman" w:hint="default"/>
                <w:sz w:val="18"/>
                <w:szCs w:val="18"/>
              </w:rPr>
            </w:pPr>
            <w:r>
              <w:rPr>
                <w:rFonts w:ascii="Times New Roman"/>
                <w:sz w:val="18"/>
              </w:rPr>
              <w:t>360,000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-72,000</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79" w:right="0"/>
              <w:jc w:val="left"/>
              <w:rPr>
                <w:rFonts w:ascii="Times New Roman" w:hAnsi="Times New Roman" w:cs="Times New Roman" w:eastAsia="Times New Roman" w:hint="default"/>
                <w:sz w:val="18"/>
                <w:szCs w:val="18"/>
              </w:rPr>
            </w:pPr>
            <w:r>
              <w:rPr>
                <w:rFonts w:ascii="Times New Roman"/>
                <w:sz w:val="18"/>
              </w:rPr>
              <w:t>288,000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57,708,37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14,249,43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-22,345,3</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21,113,55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104,050,2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20,062,83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-22,417,3</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61,570,04</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4</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r>
        <w:rPr/>
        <w:t>二、公司董事、监事、高级管理人员变动情况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三、任职情况</w:t>
      </w:r>
      <w:r>
        <w:rPr>
          <w:b w:val="0"/>
          <w:bCs w:val="0"/>
        </w:rPr>
      </w:r>
    </w:p>
    <w:p>
      <w:pPr>
        <w:spacing w:line="240" w:lineRule="auto" w:before="9"/>
        <w:rPr>
          <w:rFonts w:ascii="宋体" w:hAnsi="宋体" w:cs="宋体" w:eastAsia="宋体" w:hint="default"/>
          <w:b/>
          <w:bCs/>
          <w:sz w:val="26"/>
          <w:szCs w:val="26"/>
        </w:rPr>
      </w:pPr>
    </w:p>
    <w:p>
      <w:pPr>
        <w:spacing w:line="436" w:lineRule="auto" w:before="0"/>
        <w:ind w:left="573" w:right="3731" w:hanging="42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 1、张杰先生，2007年5月起至今任本公司董事长职务。 </w:t>
      </w:r>
    </w:p>
    <w:p>
      <w:pPr>
        <w:spacing w:line="477" w:lineRule="auto" w:before="85"/>
        <w:ind w:left="154" w:right="1131" w:firstLine="420"/>
        <w:jc w:val="both"/>
        <w:rPr>
          <w:rFonts w:ascii="宋体" w:hAnsi="宋体" w:cs="宋体" w:eastAsia="宋体" w:hint="default"/>
          <w:sz w:val="18"/>
          <w:szCs w:val="18"/>
        </w:rPr>
      </w:pPr>
      <w:r>
        <w:rPr>
          <w:rFonts w:ascii="宋体" w:hAnsi="宋体" w:cs="宋体" w:eastAsia="宋体" w:hint="default"/>
          <w:spacing w:val="-3"/>
          <w:sz w:val="18"/>
          <w:szCs w:val="18"/>
        </w:rPr>
        <w:t>2、何少平先生，2007年6月至2018年6月厦门住宅建设集团有限公司任审计部经理，风险控制副总监，2007年5月至2013</w:t>
      </w:r>
      <w:r>
        <w:rPr>
          <w:rFonts w:ascii="宋体" w:hAnsi="宋体" w:cs="宋体" w:eastAsia="宋体" w:hint="default"/>
          <w:sz w:val="18"/>
          <w:szCs w:val="18"/>
        </w:rPr>
        <w:t> 年9月任本公司独立董事；2013年9月起任本公司董事。 </w:t>
      </w:r>
    </w:p>
    <w:p>
      <w:pPr>
        <w:spacing w:line="477" w:lineRule="auto" w:before="54"/>
        <w:ind w:left="154" w:right="1128" w:firstLine="420"/>
        <w:jc w:val="both"/>
        <w:rPr>
          <w:rFonts w:ascii="宋体" w:hAnsi="宋体" w:cs="宋体" w:eastAsia="宋体" w:hint="default"/>
          <w:sz w:val="18"/>
          <w:szCs w:val="18"/>
        </w:rPr>
      </w:pPr>
      <w:r>
        <w:rPr>
          <w:rFonts w:ascii="宋体" w:hAnsi="宋体" w:cs="宋体" w:eastAsia="宋体" w:hint="default"/>
          <w:spacing w:val="-1"/>
          <w:sz w:val="18"/>
          <w:szCs w:val="18"/>
        </w:rPr>
        <w:t>3、黄清华女士，1998年进入公司，历任业务经理、业务部负责人等职务，2011年5月起至今任公司董事，2013年9月起</w:t>
      </w:r>
      <w:r>
        <w:rPr>
          <w:rFonts w:ascii="宋体" w:hAnsi="宋体" w:cs="宋体" w:eastAsia="宋体" w:hint="default"/>
          <w:sz w:val="18"/>
          <w:szCs w:val="18"/>
        </w:rPr>
        <w:t> 任公司董事兼副董事长。 </w:t>
      </w:r>
    </w:p>
    <w:p>
      <w:pPr>
        <w:spacing w:before="54"/>
        <w:ind w:left="573" w:right="0" w:firstLine="0"/>
        <w:jc w:val="left"/>
        <w:rPr>
          <w:rFonts w:ascii="宋体" w:hAnsi="宋体" w:cs="宋体" w:eastAsia="宋体" w:hint="default"/>
          <w:sz w:val="18"/>
          <w:szCs w:val="18"/>
        </w:rPr>
      </w:pPr>
      <w:r>
        <w:rPr>
          <w:rFonts w:ascii="宋体" w:hAnsi="宋体" w:cs="宋体" w:eastAsia="宋体" w:hint="default"/>
          <w:sz w:val="18"/>
          <w:szCs w:val="18"/>
        </w:rPr>
        <w:t>4、杨超先生，2008年起至今任北京畅元国讯科技有限公司总裁，2016年9月起至2020年2月4日任本公司董事。 </w:t>
      </w:r>
    </w:p>
    <w:p>
      <w:pPr>
        <w:spacing w:line="240" w:lineRule="auto" w:before="10"/>
        <w:rPr>
          <w:rFonts w:ascii="宋体" w:hAnsi="宋体" w:cs="宋体" w:eastAsia="宋体" w:hint="default"/>
          <w:sz w:val="17"/>
          <w:szCs w:val="17"/>
        </w:rPr>
      </w:pPr>
    </w:p>
    <w:p>
      <w:pPr>
        <w:spacing w:line="477" w:lineRule="auto" w:before="0"/>
        <w:ind w:left="153" w:right="1131" w:firstLine="420"/>
        <w:jc w:val="both"/>
        <w:rPr>
          <w:rFonts w:ascii="宋体" w:hAnsi="宋体" w:cs="宋体" w:eastAsia="宋体" w:hint="default"/>
          <w:sz w:val="18"/>
          <w:szCs w:val="18"/>
        </w:rPr>
      </w:pPr>
      <w:r>
        <w:rPr>
          <w:rFonts w:ascii="宋体" w:hAnsi="宋体" w:cs="宋体" w:eastAsia="宋体" w:hint="default"/>
          <w:spacing w:val="-3"/>
          <w:sz w:val="18"/>
          <w:szCs w:val="18"/>
        </w:rPr>
        <w:t>5、涂连东先生，2003年5月-2016年7月就职于厦门高能投资咨询有限公司，担任首席财务官、合伙人。2016年8月-2016</w:t>
      </w:r>
      <w:r>
        <w:rPr>
          <w:rFonts w:ascii="宋体" w:hAnsi="宋体" w:cs="宋体" w:eastAsia="宋体" w:hint="default"/>
          <w:sz w:val="18"/>
          <w:szCs w:val="18"/>
        </w:rPr>
        <w:t> </w:t>
      </w:r>
      <w:r>
        <w:rPr>
          <w:rFonts w:ascii="宋体" w:hAnsi="宋体" w:cs="宋体" w:eastAsia="宋体" w:hint="default"/>
          <w:spacing w:val="-2"/>
          <w:sz w:val="18"/>
          <w:szCs w:val="18"/>
        </w:rPr>
        <w:t>年11月厦门泛泰创业投资管理有限公司副总经理，2017年3月-2017年11月担任厦门南方谦和投资管理有限公司执行董事兼总</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经理，2017年11月至今担任厦门宣凯投资运营管理有限公司执行董事兼总经理。2013年9月至2020年2月4日担任本公司独立 董事。 </w:t>
      </w:r>
    </w:p>
    <w:p>
      <w:pPr>
        <w:spacing w:line="477" w:lineRule="auto" w:before="54"/>
        <w:ind w:left="153" w:right="1131" w:firstLine="420"/>
        <w:jc w:val="both"/>
        <w:rPr>
          <w:rFonts w:ascii="宋体" w:hAnsi="宋体" w:cs="宋体" w:eastAsia="宋体" w:hint="default"/>
          <w:sz w:val="18"/>
          <w:szCs w:val="18"/>
        </w:rPr>
      </w:pPr>
      <w:r>
        <w:rPr>
          <w:rFonts w:ascii="宋体" w:hAnsi="宋体" w:cs="宋体" w:eastAsia="宋体" w:hint="default"/>
          <w:spacing w:val="-1"/>
          <w:sz w:val="18"/>
          <w:szCs w:val="18"/>
        </w:rPr>
        <w:t>6、刘世平先生，2009年1月起至今任北京大成（厦门）律师事务所合伙人，2013年9月起至2020年2月4日任本公司独立</w:t>
      </w:r>
      <w:r>
        <w:rPr>
          <w:rFonts w:ascii="宋体" w:hAnsi="宋体" w:cs="宋体" w:eastAsia="宋体" w:hint="default"/>
          <w:sz w:val="18"/>
          <w:szCs w:val="18"/>
        </w:rPr>
        <w:t> 董事。 </w:t>
      </w:r>
    </w:p>
    <w:p>
      <w:pPr>
        <w:spacing w:after="0" w:line="477" w:lineRule="auto"/>
        <w:jc w:val="both"/>
        <w:rPr>
          <w:rFonts w:ascii="宋体" w:hAnsi="宋体" w:cs="宋体" w:eastAsia="宋体" w:hint="default"/>
          <w:sz w:val="18"/>
          <w:szCs w:val="18"/>
        </w:rPr>
        <w:sectPr>
          <w:pgSz w:w="11910" w:h="16840"/>
          <w:pgMar w:header="877" w:footer="982" w:top="1100" w:bottom="1180" w:left="980" w:right="0"/>
        </w:sectPr>
      </w:pPr>
    </w:p>
    <w:p>
      <w:pPr>
        <w:spacing w:line="240" w:lineRule="auto" w:before="11"/>
        <w:rPr>
          <w:rFonts w:ascii="宋体" w:hAnsi="宋体" w:cs="宋体" w:eastAsia="宋体" w:hint="default"/>
          <w:sz w:val="27"/>
          <w:szCs w:val="27"/>
        </w:rPr>
      </w:pPr>
    </w:p>
    <w:p>
      <w:pPr>
        <w:spacing w:line="477" w:lineRule="auto" w:before="44"/>
        <w:ind w:left="573" w:right="1168" w:hanging="420"/>
        <w:jc w:val="left"/>
        <w:rPr>
          <w:rFonts w:ascii="宋体" w:hAnsi="宋体" w:cs="宋体" w:eastAsia="宋体" w:hint="default"/>
          <w:sz w:val="18"/>
          <w:szCs w:val="18"/>
        </w:rPr>
      </w:pPr>
      <w:r>
        <w:rPr>
          <w:rFonts w:ascii="宋体" w:hAnsi="宋体" w:cs="宋体" w:eastAsia="宋体" w:hint="default"/>
          <w:sz w:val="18"/>
          <w:szCs w:val="18"/>
        </w:rPr>
        <w:t>     7、刘晓海先生，2003年至今为同济大学上海国际知识产权学院教授，2016年9月起至今任本公司独立董事。 8、王惠女士，2005年3月-2008年5月就职于厦门固特友橡胶有限公司任总经理助理；2008年6月至2010年4月就职于厦</w:t>
      </w:r>
    </w:p>
    <w:p>
      <w:pPr>
        <w:spacing w:line="477" w:lineRule="auto" w:before="54"/>
        <w:ind w:left="153" w:right="0" w:firstLine="0"/>
        <w:jc w:val="left"/>
        <w:rPr>
          <w:rFonts w:ascii="宋体" w:hAnsi="宋体" w:cs="宋体" w:eastAsia="宋体" w:hint="default"/>
          <w:sz w:val="18"/>
          <w:szCs w:val="18"/>
        </w:rPr>
      </w:pPr>
      <w:r>
        <w:rPr>
          <w:rFonts w:ascii="宋体" w:hAnsi="宋体" w:cs="宋体" w:eastAsia="宋体" w:hint="default"/>
          <w:spacing w:val="-2"/>
          <w:sz w:val="18"/>
          <w:szCs w:val="18"/>
        </w:rPr>
        <w:t>门市亿林电子技术开发有限公司任营销总监助理；2011年3月至今任厦门安妮股份有限公司商纸事业部总经理助理，2018年5</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z w:val="18"/>
          <w:szCs w:val="18"/>
        </w:rPr>
        <w:t>月起任公司监事会主席。 </w:t>
      </w:r>
    </w:p>
    <w:p>
      <w:pPr>
        <w:spacing w:line="477" w:lineRule="auto" w:before="54"/>
        <w:ind w:left="153" w:right="1131" w:firstLine="420"/>
        <w:jc w:val="both"/>
        <w:rPr>
          <w:rFonts w:ascii="宋体" w:hAnsi="宋体" w:cs="宋体" w:eastAsia="宋体" w:hint="default"/>
          <w:sz w:val="18"/>
          <w:szCs w:val="18"/>
        </w:rPr>
      </w:pPr>
      <w:r>
        <w:rPr>
          <w:rFonts w:ascii="宋体" w:hAnsi="宋体" w:cs="宋体" w:eastAsia="宋体" w:hint="default"/>
          <w:spacing w:val="-1"/>
          <w:sz w:val="18"/>
          <w:szCs w:val="18"/>
        </w:rPr>
        <w:t>9、谢蓉女士，2011年7月至今担任本公司法务、证券事务代表；2016年9月起至2020年2月4日任本公司监事兼证券事务</w:t>
      </w:r>
      <w:r>
        <w:rPr>
          <w:rFonts w:ascii="宋体" w:hAnsi="宋体" w:cs="宋体" w:eastAsia="宋体" w:hint="default"/>
          <w:sz w:val="18"/>
          <w:szCs w:val="18"/>
        </w:rPr>
        <w:t> 代表。 </w:t>
      </w:r>
    </w:p>
    <w:p>
      <w:pPr>
        <w:spacing w:line="477" w:lineRule="auto" w:before="54"/>
        <w:ind w:left="153" w:right="1168" w:firstLine="420"/>
        <w:jc w:val="both"/>
        <w:rPr>
          <w:rFonts w:ascii="宋体" w:hAnsi="宋体" w:cs="宋体" w:eastAsia="宋体" w:hint="default"/>
          <w:sz w:val="18"/>
          <w:szCs w:val="18"/>
        </w:rPr>
      </w:pPr>
      <w:r>
        <w:rPr>
          <w:rFonts w:ascii="宋体" w:hAnsi="宋体" w:cs="宋体" w:eastAsia="宋体" w:hint="default"/>
          <w:sz w:val="18"/>
          <w:szCs w:val="18"/>
        </w:rPr>
        <w:t>10、黄益年先生，2004年2月起至今在本公司任职，2014年起担任公司运营部总监，2016年9月起至2020年2月4日任公 司监事。 </w:t>
      </w:r>
    </w:p>
    <w:p>
      <w:pPr>
        <w:spacing w:line="477" w:lineRule="auto" w:before="54"/>
        <w:ind w:left="153" w:right="1128" w:firstLine="420"/>
        <w:jc w:val="both"/>
        <w:rPr>
          <w:rFonts w:ascii="宋体" w:hAnsi="宋体" w:cs="宋体" w:eastAsia="宋体" w:hint="default"/>
          <w:sz w:val="18"/>
          <w:szCs w:val="18"/>
        </w:rPr>
      </w:pPr>
      <w:r>
        <w:rPr>
          <w:rFonts w:ascii="宋体" w:hAnsi="宋体" w:cs="宋体" w:eastAsia="宋体" w:hint="default"/>
          <w:spacing w:val="-1"/>
          <w:sz w:val="18"/>
          <w:szCs w:val="18"/>
        </w:rPr>
        <w:t>11、许志强先生，2007年1月至2011年4月在中审国际会计师事务所有限公司厦门分公司任职；2011年6月起至今任本公</w:t>
      </w:r>
      <w:r>
        <w:rPr>
          <w:rFonts w:ascii="宋体" w:hAnsi="宋体" w:cs="宋体" w:eastAsia="宋体" w:hint="default"/>
          <w:sz w:val="18"/>
          <w:szCs w:val="18"/>
        </w:rPr>
        <w:t> 司财务总监。 </w:t>
      </w:r>
    </w:p>
    <w:p>
      <w:pPr>
        <w:spacing w:line="477" w:lineRule="auto" w:before="54"/>
        <w:ind w:left="153" w:right="1131" w:firstLine="420"/>
        <w:jc w:val="both"/>
        <w:rPr>
          <w:rFonts w:ascii="宋体" w:hAnsi="宋体" w:cs="宋体" w:eastAsia="宋体" w:hint="default"/>
          <w:sz w:val="18"/>
          <w:szCs w:val="18"/>
        </w:rPr>
      </w:pPr>
      <w:r>
        <w:rPr>
          <w:rFonts w:ascii="宋体" w:hAnsi="宋体" w:cs="宋体" w:eastAsia="宋体" w:hint="default"/>
          <w:sz w:val="18"/>
          <w:szCs w:val="18"/>
        </w:rPr>
        <w:t>12、陈文坚先生，2010年1月至2012年7月任职于华泰联合证券销售交易部机构销售经理，2012年8月至2014年9月任职 </w:t>
      </w:r>
      <w:r>
        <w:rPr>
          <w:rFonts w:ascii="宋体" w:hAnsi="宋体" w:cs="宋体" w:eastAsia="宋体" w:hint="default"/>
          <w:spacing w:val="-3"/>
          <w:sz w:val="18"/>
          <w:szCs w:val="18"/>
        </w:rPr>
        <w:t>于民生证券机构销售部交易部高级销售经理，2014年9月至2017年2月任职于方正证券研究所高级销售经理，2017年2月至2018</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年3月方正证券机构业务部高级副总裁。2018年5月起至今任本公司董事会秘书、副总经理。 </w:t>
      </w:r>
    </w:p>
    <w:p>
      <w:pPr>
        <w:spacing w:line="360" w:lineRule="auto" w:before="17"/>
        <w:ind w:left="153" w:right="9041" w:firstLine="0"/>
        <w:jc w:val="left"/>
        <w:rPr>
          <w:rFonts w:ascii="宋体" w:hAnsi="宋体" w:cs="宋体" w:eastAsia="宋体" w:hint="default"/>
          <w:sz w:val="18"/>
          <w:szCs w:val="18"/>
        </w:rPr>
      </w:pPr>
      <w:r>
        <w:rPr>
          <w:rFonts w:ascii="宋体" w:hAnsi="宋体" w:cs="宋体" w:eastAsia="宋体" w:hint="default"/>
          <w:sz w:val="18"/>
          <w:szCs w:val="18"/>
        </w:rPr>
        <w:t> 在股东单位任职情况</w:t>
      </w:r>
    </w:p>
    <w:p>
      <w:pPr>
        <w:spacing w:line="338" w:lineRule="auto" w:before="26"/>
        <w:ind w:left="154" w:right="913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在其他单位任职情况</w:t>
      </w:r>
    </w:p>
    <w:p>
      <w:pPr>
        <w:spacing w:before="4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0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91" w:right="89"/>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2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142" w:right="53" w:hanging="90"/>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安妮（香港）有限公司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安之行（厦门）企业咨询服务有限公司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世融（厦门）投资控股有限公司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安策（厦门）投资管理有限公司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安妮（厦门）投资控股集团有限公司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壹捷天成（厦门）投资管理有限公司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安信依（厦门）投资管理有限公司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安之初（厦门）教育咨询有限公司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安妮（厦门）健康管理有限公司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川隆（厦门）投资管理有限公司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北京安妮全版权科技发展有限公司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北京版全家科技发展有限公司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执行董事兼 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厦门版全家科技有限公司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厦门安妮文化产业开发有限公司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北京线安泓文科技有限公司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北京至美数码防伪印务有限公司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厦门安妮企业有限公司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厦门安妮知识产权服务有限公司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56"/>
              <w:jc w:val="left"/>
              <w:rPr>
                <w:rFonts w:ascii="宋体" w:hAnsi="宋体" w:cs="宋体" w:eastAsia="宋体" w:hint="default"/>
                <w:sz w:val="18"/>
                <w:szCs w:val="18"/>
              </w:rPr>
            </w:pPr>
            <w:r>
              <w:rPr>
                <w:rFonts w:ascii="宋体" w:hAnsi="宋体" w:cs="宋体" w:eastAsia="宋体" w:hint="default"/>
                <w:sz w:val="18"/>
                <w:szCs w:val="18"/>
              </w:rPr>
              <w:t>执行董事兼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24</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上海鸿晟物业管理有限公司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计易数据科技（上海）有限公司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何少平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福建龙净环保股份有限公司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何少平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盛屯矿业集团股份有限公司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厦门三五互联科技股份有限公司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北京大成（厦门）律师事务所</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主任</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同济大学上海国际知识产权学院</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厦门松霖科技股份有限公司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福建七匹狼实业股份有限公司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畅元国讯（天津）科技有限公司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北京华迪希艾科技发展有限公司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北京畅华科技有限公司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成都思品科技有限公司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中广云（北京）科技有限公司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厦门恒千物业管理有限公司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上海超级标贴系统有限公司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上海桎影数码科技有限公司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spacing w:line="436" w:lineRule="auto" w:before="0"/>
        <w:ind w:left="573" w:right="1151" w:hanging="42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 公司按照《公司章程》的规定确定董事、监事和高级管理人员的报酬；董事和监事报酬和支付方法由股东大会确定，</w:t>
      </w:r>
    </w:p>
    <w:p>
      <w:pPr>
        <w:spacing w:line="477" w:lineRule="auto" w:before="85"/>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高级管理人员公司以行业薪酬水平、经济发展状况、居民生活标准、公司经营业绩、岗位职责要求等为依据，在充分协商的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前提下由总经理制定薪酬方案，由董事会确定。</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9"/>
        <w:gridCol w:w="1367"/>
        <w:gridCol w:w="1367"/>
        <w:gridCol w:w="1367"/>
        <w:gridCol w:w="1368"/>
        <w:gridCol w:w="1367"/>
        <w:gridCol w:w="1367"/>
      </w:tblGrid>
      <w:tr>
        <w:trPr>
          <w:trHeight w:val="713"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7" w:right="47"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8"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9"/>
              <w:jc w:val="center"/>
              <w:rPr>
                <w:rFonts w:ascii="宋体" w:hAnsi="宋体" w:cs="宋体" w:eastAsia="宋体" w:hint="default"/>
                <w:sz w:val="18"/>
                <w:szCs w:val="18"/>
              </w:rPr>
            </w:pPr>
            <w:r>
              <w:rPr>
                <w:rFonts w:ascii="宋体" w:hAnsi="宋体" w:cs="宋体" w:eastAsia="宋体" w:hint="default"/>
                <w:sz w:val="18"/>
                <w:szCs w:val="18"/>
              </w:rPr>
              <w:t>董事长兼总经理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369"/>
        <w:gridCol w:w="1367"/>
        <w:gridCol w:w="1367"/>
        <w:gridCol w:w="1367"/>
        <w:gridCol w:w="1368"/>
        <w:gridCol w:w="1367"/>
        <w:gridCol w:w="1367"/>
      </w:tblGrid>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董事、副董事长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何少平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黄益年</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谢蓉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陈文坚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299.22</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982" w:top="1100" w:bottom="1180" w:left="980" w:right="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7"/>
        <w:ind w:left="153"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pict>
          <v:shape style="position:absolute;margin-left:259.020294pt;margin-top:17.532410pt;width:58.1pt;height:66.45pt;mso-position-horizontal-relative:page;mso-position-vertical-relative:paragraph;z-index:-963040" type="#_x0000_t202" filled="false" stroked="false">
            <v:textbox inset="0,0,0,0">
              <w:txbxContent>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w:pict>
      </w:r>
      <w:r>
        <w:rPr>
          <w:rFonts w:ascii="宋体" w:hAnsi="宋体" w:cs="宋体" w:eastAsia="宋体" w:hint="default"/>
          <w:sz w:val="18"/>
          <w:szCs w:val="18"/>
        </w:rPr>
        <w:t>单位：股</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4655" w:space="4264"/>
            <w:col w:w="201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5"/>
        <w:gridCol w:w="869"/>
        <w:gridCol w:w="870"/>
        <w:gridCol w:w="870"/>
        <w:gridCol w:w="870"/>
        <w:gridCol w:w="869"/>
        <w:gridCol w:w="870"/>
        <w:gridCol w:w="870"/>
        <w:gridCol w:w="870"/>
        <w:gridCol w:w="870"/>
        <w:gridCol w:w="870"/>
      </w:tblGrid>
      <w:tr>
        <w:trPr>
          <w:trHeight w:val="1338" w:hRule="exact"/>
        </w:trPr>
        <w:tc>
          <w:tcPr>
            <w:tcW w:w="8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报告期内 可行权股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报告期内 已行权股 数</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68" w:firstLine="46"/>
              <w:jc w:val="both"/>
              <w:rPr>
                <w:rFonts w:ascii="Times New Roman" w:hAnsi="Times New Roman" w:cs="Times New Roman" w:eastAsia="Times New Roman" w:hint="default"/>
                <w:sz w:val="18"/>
                <w:szCs w:val="18"/>
              </w:rPr>
            </w:pPr>
            <w:r>
              <w:rPr>
                <w:rFonts w:ascii="宋体" w:hAnsi="宋体" w:cs="宋体" w:eastAsia="宋体" w:hint="default"/>
                <w:sz w:val="18"/>
                <w:szCs w:val="18"/>
              </w:rPr>
              <w:t>报告期内 已行权股 数行权价 </w:t>
            </w:r>
            <w:r>
              <w:rPr>
                <w:rFonts w:ascii="宋体" w:hAnsi="宋体" w:cs="宋体" w:eastAsia="宋体" w:hint="default"/>
                <w:spacing w:val="-12"/>
                <w:sz w:val="18"/>
                <w:szCs w:val="18"/>
              </w:rPr>
              <w:t>格（元</w:t>
            </w:r>
            <w:r>
              <w:rPr>
                <w:rFonts w:ascii="Times New Roman" w:hAnsi="Times New Roman" w:cs="Times New Roman" w:eastAsia="Times New Roman" w:hint="default"/>
                <w:spacing w:val="-12"/>
                <w:sz w:val="18"/>
                <w:szCs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09" w:lineRule="auto"/>
              <w:ind w:left="43" w:right="43"/>
              <w:jc w:val="center"/>
              <w:rPr>
                <w:rFonts w:ascii="宋体" w:hAnsi="宋体" w:cs="宋体" w:eastAsia="宋体"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本期已解 锁股份数 量</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报告期新 授予限制 性股票数 量</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2" w:lineRule="auto" w:before="51"/>
              <w:ind w:left="44" w:right="43"/>
              <w:jc w:val="center"/>
              <w:rPr>
                <w:rFonts w:ascii="宋体" w:hAnsi="宋体" w:cs="宋体" w:eastAsia="宋体" w:hint="default"/>
                <w:sz w:val="18"/>
                <w:szCs w:val="18"/>
              </w:rPr>
            </w:pPr>
            <w:r>
              <w:rPr>
                <w:rFonts w:ascii="宋体" w:hAnsi="宋体" w:cs="宋体" w:eastAsia="宋体" w:hint="default"/>
                <w:sz w:val="18"/>
                <w:szCs w:val="18"/>
              </w:rPr>
              <w:t>限制性股 票的授予 价格（元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8"/>
              <w:jc w:val="both"/>
              <w:rPr>
                <w:rFonts w:ascii="宋体" w:hAnsi="宋体" w:cs="宋体" w:eastAsia="宋体" w:hint="default"/>
                <w:sz w:val="18"/>
                <w:szCs w:val="18"/>
              </w:rPr>
            </w:pPr>
            <w:r>
              <w:rPr>
                <w:rFonts w:ascii="宋体" w:hAnsi="宋体" w:cs="宋体" w:eastAsia="宋体" w:hint="default"/>
                <w:sz w:val="18"/>
                <w:szCs w:val="18"/>
              </w:rPr>
              <w:t>期末持有 限制性股 票数量</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1"/>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192,000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1" w:right="0"/>
              <w:jc w:val="left"/>
              <w:rPr>
                <w:rFonts w:ascii="Times New Roman" w:hAnsi="Times New Roman" w:cs="Times New Roman" w:eastAsia="Times New Roman" w:hint="default"/>
                <w:sz w:val="18"/>
                <w:szCs w:val="18"/>
              </w:rPr>
            </w:pPr>
            <w:r>
              <w:rPr>
                <w:rFonts w:ascii="Times New Roman"/>
                <w:sz w:val="18"/>
              </w:rPr>
              <w:t>5.13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288,000</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252,000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288,000</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r>
        <w:rPr/>
        <w:t>五、公司员工情况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4"/>
        <w:gridCol w:w="4783"/>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80" w:left="980" w:right="0"/>
        </w:sectPr>
      </w:pPr>
    </w:p>
    <w:p>
      <w:pPr>
        <w:spacing w:line="240" w:lineRule="auto" w:before="6"/>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4784"/>
        <w:gridCol w:w="4783"/>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采购、计划、客服等及其他人员</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460</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本科及以上</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3"/>
                <w:sz w:val="18"/>
              </w:rPr>
              <w:t>115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460</w:t>
            </w:r>
          </w:p>
        </w:tc>
      </w:tr>
    </w:tbl>
    <w:p>
      <w:pPr>
        <w:spacing w:line="240" w:lineRule="auto" w:before="2"/>
        <w:rPr>
          <w:rFonts w:ascii="宋体" w:hAnsi="宋体" w:cs="宋体" w:eastAsia="宋体" w:hint="default"/>
          <w:b/>
          <w:bCs/>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2</w:t>
      </w:r>
      <w:r>
        <w:rPr/>
        <w:t>、薪酬政策</w:t>
      </w:r>
      <w:r>
        <w:rPr>
          <w:b w:val="0"/>
          <w:bCs w:val="0"/>
        </w:rPr>
      </w:r>
    </w:p>
    <w:p>
      <w:pPr>
        <w:spacing w:line="240" w:lineRule="auto" w:before="6"/>
        <w:rPr>
          <w:rFonts w:ascii="宋体" w:hAnsi="宋体" w:cs="宋体" w:eastAsia="宋体" w:hint="default"/>
          <w:b/>
          <w:bCs/>
          <w:sz w:val="32"/>
          <w:szCs w:val="32"/>
        </w:rPr>
      </w:pPr>
    </w:p>
    <w:p>
      <w:pPr>
        <w:spacing w:line="477" w:lineRule="auto" w:before="0"/>
        <w:ind w:left="154" w:right="1129" w:firstLine="360"/>
        <w:jc w:val="both"/>
        <w:rPr>
          <w:rFonts w:ascii="宋体" w:hAnsi="宋体" w:cs="宋体" w:eastAsia="宋体" w:hint="default"/>
          <w:sz w:val="18"/>
          <w:szCs w:val="18"/>
        </w:rPr>
      </w:pPr>
      <w:r>
        <w:rPr>
          <w:rFonts w:ascii="宋体" w:hAnsi="宋体" w:cs="宋体" w:eastAsia="宋体" w:hint="default"/>
          <w:spacing w:val="-2"/>
          <w:sz w:val="18"/>
          <w:szCs w:val="18"/>
        </w:rPr>
        <w:t>公司遵从相关法律法规，结合企业的发展阶段，向员工提供在行业内较有竞争力的薪酬，薪酬定价参考同类型上市公司</w:t>
      </w:r>
      <w:r>
        <w:rPr>
          <w:rFonts w:ascii="宋体" w:hAnsi="宋体" w:cs="宋体" w:eastAsia="宋体" w:hint="default"/>
          <w:sz w:val="18"/>
          <w:szCs w:val="18"/>
        </w:rPr>
        <w:t> </w:t>
      </w:r>
      <w:r>
        <w:rPr>
          <w:rFonts w:ascii="宋体" w:hAnsi="宋体" w:cs="宋体" w:eastAsia="宋体" w:hint="default"/>
          <w:spacing w:val="-2"/>
          <w:sz w:val="18"/>
          <w:szCs w:val="18"/>
        </w:rPr>
        <w:t>劳动力市场价格及岗位职责制定，薪酬分配以岗位职责及业绩为导向；遵循效率优先、兼顾公平、按劳分配原则，劳动力市</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场工资指导原则；激励性、经济性原则；易岗易薪原则。工资增长遵循工资总额增长与经济效益增长挂钩，年人均工资增长</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与劳动生产率增长挂钩的原则。公司将逐步建立、完善工资集体协商制度，使企业工资总额与公司财务支付能力相匹配，工</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资增长与企业发展相适应，员工工资水平合理增长。</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9"/>
          <w:szCs w:val="19"/>
        </w:rPr>
      </w:pPr>
    </w:p>
    <w:p>
      <w:pPr>
        <w:pStyle w:val="Heading4"/>
        <w:spacing w:line="240" w:lineRule="auto"/>
        <w:ind w:right="0"/>
        <w:jc w:val="left"/>
        <w:rPr>
          <w:b w:val="0"/>
          <w:bCs w:val="0"/>
        </w:rPr>
      </w:pPr>
      <w:r>
        <w:rPr>
          <w:rFonts w:ascii="Times New Roman" w:hAnsi="Times New Roman" w:cs="Times New Roman" w:eastAsia="Times New Roman" w:hint="default"/>
        </w:rPr>
        <w:t>3</w:t>
      </w:r>
      <w:r>
        <w:rPr/>
        <w:t>、培训计划</w:t>
      </w:r>
      <w:r>
        <w:rPr>
          <w:b w:val="0"/>
          <w:bCs w:val="0"/>
        </w:rPr>
      </w:r>
    </w:p>
    <w:p>
      <w:pPr>
        <w:spacing w:line="240" w:lineRule="auto" w:before="6"/>
        <w:rPr>
          <w:rFonts w:ascii="宋体" w:hAnsi="宋体" w:cs="宋体" w:eastAsia="宋体" w:hint="default"/>
          <w:b/>
          <w:bCs/>
          <w:sz w:val="32"/>
          <w:szCs w:val="32"/>
        </w:rPr>
      </w:pPr>
    </w:p>
    <w:p>
      <w:pPr>
        <w:spacing w:line="477" w:lineRule="auto" w:before="0"/>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公司立足于经营需要、岗位任职、人才梯队建设和员工个人成长，构建了完善的培训体，根据员工不同的管理层级、业</w:t>
      </w:r>
      <w:r>
        <w:rPr>
          <w:rFonts w:ascii="宋体" w:hAnsi="宋体" w:cs="宋体" w:eastAsia="宋体" w:hint="default"/>
          <w:sz w:val="18"/>
          <w:szCs w:val="18"/>
        </w:rPr>
        <w:t> </w:t>
      </w:r>
      <w:r>
        <w:rPr>
          <w:rFonts w:ascii="宋体" w:hAnsi="宋体" w:cs="宋体" w:eastAsia="宋体" w:hint="default"/>
          <w:spacing w:val="-2"/>
          <w:sz w:val="18"/>
          <w:szCs w:val="18"/>
        </w:rPr>
        <w:t>务职能、岗位特点，公司制定了管理、安全、环保、技术、生产、新员工等多层次的培训计划。公司通过内部讲师、外聘专</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2"/>
          <w:sz w:val="18"/>
          <w:szCs w:val="18"/>
        </w:rPr>
        <w:t>业讲师、外部培训、团队拓展训练等多种培训形式，积极打造分专业、多层级、多维度、多形式的培训平台，全面助力员工</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成长和企业发展。</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4</w:t>
      </w:r>
      <w:r>
        <w:rPr/>
        <w:t>、劳务外包情况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right="3610"/>
        <w:jc w:val="center"/>
        <w:rPr>
          <w:b w:val="0"/>
          <w:bCs w:val="0"/>
        </w:rPr>
      </w:pPr>
      <w:bookmarkStart w:name="_TOC_250003" w:id="10"/>
      <w:r>
        <w:rPr/>
        <w:t>第十节公司治理</w:t>
      </w:r>
      <w:bookmarkEnd w:id="10"/>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r>
        <w:rPr/>
        <w:t>一、公司治理的基本状况</w:t>
      </w:r>
      <w:r>
        <w:rPr>
          <w:b w:val="0"/>
          <w:bCs w:val="0"/>
        </w:rPr>
      </w:r>
    </w:p>
    <w:p>
      <w:pPr>
        <w:spacing w:line="240" w:lineRule="auto" w:before="6"/>
        <w:rPr>
          <w:rFonts w:ascii="宋体" w:hAnsi="宋体" w:cs="宋体" w:eastAsia="宋体" w:hint="default"/>
          <w:b/>
          <w:bCs/>
          <w:sz w:val="32"/>
          <w:szCs w:val="32"/>
        </w:rPr>
      </w:pPr>
    </w:p>
    <w:p>
      <w:pPr>
        <w:spacing w:line="477" w:lineRule="auto" w:before="0"/>
        <w:ind w:left="154" w:right="1131" w:firstLine="420"/>
        <w:jc w:val="both"/>
        <w:rPr>
          <w:rFonts w:ascii="宋体" w:hAnsi="宋体" w:cs="宋体" w:eastAsia="宋体" w:hint="default"/>
          <w:sz w:val="18"/>
          <w:szCs w:val="18"/>
        </w:rPr>
      </w:pPr>
      <w:r>
        <w:rPr>
          <w:rFonts w:ascii="宋体" w:hAnsi="宋体" w:cs="宋体" w:eastAsia="宋体" w:hint="default"/>
          <w:sz w:val="18"/>
          <w:szCs w:val="18"/>
        </w:rPr>
        <w:t>报告期内，公司按照《公司法》、《证券法》、《上市公司治理准则》和《深圳证券交易所股票上市规则》、《上市 </w:t>
      </w:r>
      <w:r>
        <w:rPr>
          <w:rFonts w:ascii="宋体" w:hAnsi="宋体" w:cs="宋体" w:eastAsia="宋体" w:hint="default"/>
          <w:spacing w:val="-2"/>
          <w:sz w:val="18"/>
          <w:szCs w:val="18"/>
        </w:rPr>
        <w:t>公司信息披露管理办法》等相关法律、法规及规范性文件的规定，不断完善公司法人治理结构，建立健全内部控制体系，规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范运作。公司整体运作符合上市公司治理规范性文件要求。</w:t>
      </w:r>
    </w:p>
    <w:p>
      <w:pPr>
        <w:spacing w:line="451" w:lineRule="auto" w:before="54"/>
        <w:ind w:left="154" w:right="1038" w:firstLine="42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、关于股东与股东大会：报告期内，公司严格按照《公司章程》、《上市公司股东大会规则》，规范股东大会的召集、</w:t>
      </w:r>
      <w:r>
        <w:rPr>
          <w:rFonts w:ascii="宋体" w:hAnsi="宋体" w:cs="宋体" w:eastAsia="宋体" w:hint="default"/>
          <w:sz w:val="18"/>
          <w:szCs w:val="18"/>
        </w:rPr>
        <w:t> 召开、表决程序，平等对待所有股东，积极以网络投票、累积投票等方式确保股东特别是中小股东能充分行使其权利。</w:t>
      </w:r>
    </w:p>
    <w:p>
      <w:pPr>
        <w:spacing w:line="463" w:lineRule="auto" w:before="74"/>
        <w:ind w:left="154" w:right="1128" w:firstLine="420"/>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、关于控股股东与上市公司：公司控股股东通过股东大会依法行使其权利并承担相应义务，未超越公司股东大会直接</w:t>
      </w:r>
      <w:r>
        <w:rPr>
          <w:rFonts w:ascii="宋体" w:hAnsi="宋体" w:cs="宋体" w:eastAsia="宋体" w:hint="default"/>
          <w:sz w:val="18"/>
          <w:szCs w:val="18"/>
        </w:rPr>
        <w:t> </w:t>
      </w:r>
      <w:r>
        <w:rPr>
          <w:rFonts w:ascii="宋体" w:hAnsi="宋体" w:cs="宋体" w:eastAsia="宋体" w:hint="default"/>
          <w:spacing w:val="-2"/>
          <w:sz w:val="18"/>
          <w:szCs w:val="18"/>
        </w:rPr>
        <w:t>或间接干预公司的决策和经营管理活动。公司具有独立的业务和经营自主能力，在业务、资产、人员、机构、财务等方面均</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独立于控股股东，公司董事会、监事会和内部机构能够独立运作。</w:t>
      </w:r>
    </w:p>
    <w:p>
      <w:pPr>
        <w:spacing w:line="463" w:lineRule="auto" w:before="65"/>
        <w:ind w:left="154" w:right="1129" w:firstLine="420"/>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、关于董事和董事会：公司制定《董事会议事规则》、《独立董事制度》等相关规则；现任董事具备任职资格；独立</w:t>
      </w:r>
      <w:r>
        <w:rPr>
          <w:rFonts w:ascii="宋体" w:hAnsi="宋体" w:cs="宋体" w:eastAsia="宋体" w:hint="default"/>
          <w:sz w:val="18"/>
          <w:szCs w:val="18"/>
        </w:rPr>
        <w:t> </w:t>
      </w:r>
      <w:r>
        <w:rPr>
          <w:rFonts w:ascii="宋体" w:hAnsi="宋体" w:cs="宋体" w:eastAsia="宋体" w:hint="default"/>
          <w:spacing w:val="-2"/>
          <w:sz w:val="18"/>
          <w:szCs w:val="18"/>
        </w:rPr>
        <w:t>董事人数符合规定，能够积极参与公司重大事务的决策，未出现连续二次未亲自出席董事会的情况；董事会的召集、召开程</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序符合《公司法》、《深圳证券交易所股票上市规则》、《公司章程》和《董事会议事规则》的相关规定。</w:t>
      </w:r>
    </w:p>
    <w:p>
      <w:pPr>
        <w:spacing w:line="468" w:lineRule="auto" w:before="65"/>
        <w:ind w:left="154" w:right="1028" w:firstLine="42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、关于监事和监事会：公司制定《监事会议事规则》；监事的任职资格、任免程序符合规定；公司监事会通过召开监 </w:t>
      </w:r>
      <w:r>
        <w:rPr>
          <w:rFonts w:ascii="宋体" w:hAnsi="宋体" w:cs="宋体" w:eastAsia="宋体" w:hint="default"/>
          <w:spacing w:val="-4"/>
          <w:sz w:val="18"/>
          <w:szCs w:val="18"/>
        </w:rPr>
        <w:t>事会会议、出席股东大会、列席董事会会议等方式，审核董事会编制的定期报告并提出书面审核意见；对公司董事、总经理、</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2"/>
          <w:sz w:val="18"/>
          <w:szCs w:val="18"/>
        </w:rPr>
        <w:t>财务负责人等高级管理人员执行公司职务的行为进行监督；对公司依法运作情况、财务情况、收购资产、关联交易情况等发</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表意见。</w:t>
      </w:r>
    </w:p>
    <w:p>
      <w:pPr>
        <w:spacing w:line="451" w:lineRule="auto" w:before="61"/>
        <w:ind w:left="154" w:right="1131" w:firstLine="420"/>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、关于绩效评价与激励约束机制：公司建立并持续完善公正、透明的董事、监事和高级管理人员的绩效评价标准和激</w:t>
      </w:r>
      <w:r>
        <w:rPr>
          <w:rFonts w:ascii="宋体" w:hAnsi="宋体" w:cs="宋体" w:eastAsia="宋体" w:hint="default"/>
          <w:sz w:val="18"/>
          <w:szCs w:val="18"/>
        </w:rPr>
        <w:t> 励约束机制；公司高管人员的聘任公开、透明，符合法律法规的规定。</w:t>
      </w:r>
    </w:p>
    <w:p>
      <w:pPr>
        <w:spacing w:line="451" w:lineRule="auto" w:before="74"/>
        <w:ind w:left="154" w:right="1041" w:firstLine="42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、关于相关利益者：公司充分尊重和维护相关利益者的合法权益，积极与相关利益者合作，加强与各方的沟通和交流，</w:t>
      </w:r>
      <w:r>
        <w:rPr>
          <w:rFonts w:ascii="宋体" w:hAnsi="宋体" w:cs="宋体" w:eastAsia="宋体" w:hint="default"/>
          <w:sz w:val="18"/>
          <w:szCs w:val="18"/>
        </w:rPr>
        <w:t> 实现股东、员工、社会等各方利益的均衡，共同推动公司持续、稳定、健康发展。</w:t>
      </w:r>
    </w:p>
    <w:p>
      <w:pPr>
        <w:spacing w:line="468" w:lineRule="auto" w:before="74"/>
        <w:ind w:left="154" w:right="1030" w:firstLine="42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、关于信息披露与透明度：公司严格按照《信息披露管理制度》和《投资者关系管理制度》的要求，指定公司董事会 秘书负责信息披露工作、接待股东来访和咨询；并指定《中国证券报》、《证券时报》、《上海证劵报》、《证券日报》、 </w:t>
      </w:r>
      <w:r>
        <w:rPr>
          <w:rFonts w:ascii="宋体" w:hAnsi="宋体" w:cs="宋体" w:eastAsia="宋体" w:hint="default"/>
          <w:spacing w:val="-2"/>
          <w:sz w:val="18"/>
          <w:szCs w:val="18"/>
        </w:rPr>
        <w:t>巨潮资讯网为公司信息披露的报纸和网站，严格按照有关规定真实、准确、完整、及时地披露有关信息，确保公司所有股东</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能够以平等的机会获得信息。</w:t>
      </w:r>
    </w:p>
    <w:p>
      <w:pPr>
        <w:spacing w:line="240" w:lineRule="auto" w:before="9"/>
        <w:rPr>
          <w:rFonts w:ascii="宋体" w:hAnsi="宋体" w:cs="宋体" w:eastAsia="宋体" w:hint="default"/>
          <w:sz w:val="25"/>
          <w:szCs w:val="25"/>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3"/>
        <w:rPr>
          <w:rFonts w:ascii="宋体" w:hAnsi="宋体" w:cs="宋体" w:eastAsia="宋体" w:hint="default"/>
          <w:sz w:val="21"/>
          <w:szCs w:val="21"/>
        </w:rPr>
      </w:pPr>
    </w:p>
    <w:p>
      <w:pPr>
        <w:spacing w:before="44"/>
        <w:ind w:left="153" w:right="0"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公司治理的实际状况与中国证监会发布的有关上市公司治理的规范性文件不存在重大差异。</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32"/>
          <w:szCs w:val="32"/>
        </w:rPr>
      </w:pPr>
    </w:p>
    <w:p>
      <w:pPr>
        <w:spacing w:line="477" w:lineRule="auto" w:before="0"/>
        <w:ind w:left="154" w:right="1150" w:firstLine="420"/>
        <w:jc w:val="left"/>
        <w:rPr>
          <w:rFonts w:ascii="宋体" w:hAnsi="宋体" w:cs="宋体" w:eastAsia="宋体" w:hint="default"/>
          <w:sz w:val="18"/>
          <w:szCs w:val="18"/>
        </w:rPr>
      </w:pPr>
      <w:r>
        <w:rPr>
          <w:rFonts w:ascii="宋体" w:hAnsi="宋体" w:cs="宋体" w:eastAsia="宋体" w:hint="default"/>
          <w:sz w:val="18"/>
          <w:szCs w:val="18"/>
        </w:rPr>
        <w:t>公司具备完整、规范的产、供、销生产经营管理体制和运行机制，公司与控股股东在业务、人员、资产、机构、财务 等方面完全分开，具有独立完整的业务及自主经营能力。</w:t>
      </w:r>
    </w:p>
    <w:p>
      <w:pPr>
        <w:spacing w:line="477" w:lineRule="auto" w:before="54"/>
        <w:ind w:left="154" w:right="1113" w:firstLine="420"/>
        <w:jc w:val="left"/>
        <w:rPr>
          <w:rFonts w:ascii="宋体" w:hAnsi="宋体" w:cs="宋体" w:eastAsia="宋体" w:hint="default"/>
          <w:sz w:val="18"/>
          <w:szCs w:val="18"/>
        </w:rPr>
      </w:pPr>
      <w:r>
        <w:rPr>
          <w:rFonts w:ascii="宋体" w:hAnsi="宋体" w:cs="宋体" w:eastAsia="宋体" w:hint="default"/>
          <w:sz w:val="18"/>
          <w:szCs w:val="18"/>
        </w:rPr>
        <w:t>（一）业务独立：公司具有完整的采购供应体系、完整的生产管理体系和独立的销售运作体系，</w:t>
      </w:r>
      <w:r>
        <w:rPr>
          <w:rFonts w:ascii="宋体" w:hAnsi="宋体" w:cs="宋体" w:eastAsia="宋体" w:hint="default"/>
          <w:spacing w:val="-53"/>
          <w:sz w:val="18"/>
          <w:szCs w:val="18"/>
        </w:rPr>
        <w:t> </w:t>
      </w:r>
      <w:r>
        <w:rPr>
          <w:rFonts w:ascii="宋体" w:hAnsi="宋体" w:cs="宋体" w:eastAsia="宋体" w:hint="default"/>
          <w:sz w:val="18"/>
          <w:szCs w:val="18"/>
        </w:rPr>
        <w:t>独立开展业务，不依</w:t>
      </w:r>
      <w:r>
        <w:rPr>
          <w:rFonts w:ascii="宋体" w:hAnsi="宋体" w:cs="宋体" w:eastAsia="宋体" w:hint="default"/>
          <w:sz w:val="18"/>
          <w:szCs w:val="18"/>
        </w:rPr>
        <w:t> 赖于任何股东及关联方。</w:t>
      </w:r>
    </w:p>
    <w:p>
      <w:pPr>
        <w:spacing w:line="477" w:lineRule="auto" w:before="54"/>
        <w:ind w:left="154" w:right="1150" w:firstLine="420"/>
        <w:jc w:val="left"/>
        <w:rPr>
          <w:rFonts w:ascii="宋体" w:hAnsi="宋体" w:cs="宋体" w:eastAsia="宋体" w:hint="default"/>
          <w:sz w:val="18"/>
          <w:szCs w:val="18"/>
        </w:rPr>
      </w:pPr>
      <w:r>
        <w:rPr>
          <w:rFonts w:ascii="宋体" w:hAnsi="宋体" w:cs="宋体" w:eastAsia="宋体" w:hint="default"/>
          <w:sz w:val="18"/>
          <w:szCs w:val="18"/>
        </w:rPr>
        <w:t>（二）人员独立：本公司董事、监事及高级管理人员严格按照《公司法》《公司章程》的有关规定产生；公司建有独 立的人事及工资管理系统；公司还制订了严格的《人事管理制度》，人员管理做到了制度化。</w:t>
      </w:r>
    </w:p>
    <w:p>
      <w:pPr>
        <w:spacing w:line="477" w:lineRule="auto" w:before="54"/>
        <w:ind w:left="154" w:right="1150" w:firstLine="420"/>
        <w:jc w:val="left"/>
        <w:rPr>
          <w:rFonts w:ascii="宋体" w:hAnsi="宋体" w:cs="宋体" w:eastAsia="宋体" w:hint="default"/>
          <w:sz w:val="18"/>
          <w:szCs w:val="18"/>
        </w:rPr>
      </w:pPr>
      <w:r>
        <w:rPr>
          <w:rFonts w:ascii="宋体" w:hAnsi="宋体" w:cs="宋体" w:eastAsia="宋体" w:hint="default"/>
          <w:sz w:val="18"/>
          <w:szCs w:val="18"/>
        </w:rPr>
        <w:t>（三）资产独立：本公司的主要资产包括主营业务所需的完整的生产设备、土地、厂房、办公用房、仓储用房、交通 工具和知识产权，具有完整的配套设施。上述资产产权清晰，完全独立于股东。</w:t>
      </w:r>
    </w:p>
    <w:p>
      <w:pPr>
        <w:spacing w:line="477" w:lineRule="auto" w:before="54"/>
        <w:ind w:left="154" w:right="1150" w:firstLine="420"/>
        <w:jc w:val="left"/>
        <w:rPr>
          <w:rFonts w:ascii="宋体" w:hAnsi="宋体" w:cs="宋体" w:eastAsia="宋体" w:hint="default"/>
          <w:sz w:val="18"/>
          <w:szCs w:val="18"/>
        </w:rPr>
      </w:pPr>
      <w:r>
        <w:rPr>
          <w:rFonts w:ascii="宋体" w:hAnsi="宋体" w:cs="宋体" w:eastAsia="宋体" w:hint="default"/>
          <w:sz w:val="18"/>
          <w:szCs w:val="18"/>
        </w:rPr>
        <w:t>（四）机构独立：本公司设股东大会、董事会、监事会，按照《公司章程》的规定履行相关权利和义务。公司拥有独 立的组织机构，拥有独立的运作、管理和考核机制。公司高级管理人员均在公司领取报酬。</w:t>
      </w:r>
    </w:p>
    <w:p>
      <w:pPr>
        <w:spacing w:line="477" w:lineRule="auto" w:before="54"/>
        <w:ind w:left="154" w:right="1150" w:firstLine="420"/>
        <w:jc w:val="left"/>
        <w:rPr>
          <w:rFonts w:ascii="宋体" w:hAnsi="宋体" w:cs="宋体" w:eastAsia="宋体" w:hint="default"/>
          <w:sz w:val="18"/>
          <w:szCs w:val="18"/>
        </w:rPr>
      </w:pPr>
      <w:r>
        <w:rPr>
          <w:rFonts w:ascii="宋体" w:hAnsi="宋体" w:cs="宋体" w:eastAsia="宋体" w:hint="default"/>
          <w:sz w:val="18"/>
          <w:szCs w:val="18"/>
        </w:rPr>
        <w:t>（五）财务独立：公司设有独立的财务部门，建立独立的财务会计核算体系和财务管理制度，财务人员与股东完全独 立，不存在交叉任职情况。公司独立开设银行帐户，作为独立的纳税人依法独立纳税。</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r>
        <w:rPr/>
        <w:t>三、同业竞争情况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363" w:hRule="exact"/>
        </w:trPr>
        <w:tc>
          <w:tcPr>
            <w:tcW w:w="1596"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11"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日厦门安妮股</w:t>
            </w:r>
          </w:p>
        </w:tc>
      </w:tr>
      <w:tr>
        <w:trPr>
          <w:trHeight w:val="620" w:hRule="exact"/>
        </w:trPr>
        <w:tc>
          <w:tcPr>
            <w:tcW w:w="1596" w:type="dxa"/>
            <w:tcBorders>
              <w:top w:val="nil" w:sz="6" w:space="0" w:color="auto"/>
              <w:left w:val="single" w:sz="4" w:space="0" w:color="000000"/>
              <w:bottom w:val="nil" w:sz="6" w:space="0" w:color="auto"/>
              <w:right w:val="single" w:sz="4" w:space="0" w:color="000000"/>
            </w:tcBorders>
          </w:tcPr>
          <w:p>
            <w:pPr>
              <w:pStyle w:val="TableParagraph"/>
              <w:spacing w:line="300" w:lineRule="auto" w:before="6"/>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年度第一次临 时股东大会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30.68%</w:t>
            </w:r>
            <w:r>
              <w:rPr>
                <w:rFonts w:ascii="Times New Roman"/>
                <w:sz w:val="18"/>
              </w:rPr>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300" w:lineRule="auto" w:before="5"/>
              <w:ind w:left="23" w:right="30"/>
              <w:jc w:val="left"/>
              <w:rPr>
                <w:rFonts w:ascii="宋体" w:hAnsi="宋体" w:cs="宋体" w:eastAsia="宋体" w:hint="default"/>
                <w:sz w:val="18"/>
                <w:szCs w:val="18"/>
              </w:rPr>
            </w:pPr>
            <w:r>
              <w:rPr>
                <w:rFonts w:ascii="宋体" w:hAnsi="宋体" w:cs="宋体" w:eastAsia="宋体" w:hint="default"/>
                <w:sz w:val="18"/>
                <w:szCs w:val="18"/>
              </w:rPr>
              <w:t>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度第一次临时股东</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大会决议（公告编</w:t>
            </w:r>
          </w:p>
        </w:tc>
      </w:tr>
      <w:tr>
        <w:trPr>
          <w:trHeight w:val="356" w:hRule="exact"/>
        </w:trPr>
        <w:tc>
          <w:tcPr>
            <w:tcW w:w="1596"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号：</w:t>
            </w:r>
            <w:r>
              <w:rPr>
                <w:rFonts w:ascii="Times New Roman" w:hAnsi="Times New Roman" w:cs="Times New Roman" w:eastAsia="Times New Roman" w:hint="default"/>
                <w:sz w:val="18"/>
                <w:szCs w:val="18"/>
              </w:rPr>
              <w:t>2019-001</w:t>
            </w:r>
            <w:r>
              <w:rPr>
                <w:rFonts w:ascii="宋体" w:hAnsi="宋体" w:cs="宋体" w:eastAsia="宋体" w:hint="default"/>
                <w:sz w:val="18"/>
                <w:szCs w:val="18"/>
              </w:rPr>
              <w:t>）</w:t>
            </w:r>
          </w:p>
        </w:tc>
      </w:tr>
      <w:tr>
        <w:trPr>
          <w:trHeight w:val="363" w:hRule="exact"/>
        </w:trPr>
        <w:tc>
          <w:tcPr>
            <w:tcW w:w="1596"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11"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日厦门安妮</w:t>
            </w:r>
          </w:p>
        </w:tc>
      </w:tr>
      <w:tr>
        <w:trPr>
          <w:trHeight w:val="620" w:hRule="exact"/>
        </w:trPr>
        <w:tc>
          <w:tcPr>
            <w:tcW w:w="1596" w:type="dxa"/>
            <w:tcBorders>
              <w:top w:val="nil" w:sz="6" w:space="0" w:color="auto"/>
              <w:left w:val="single" w:sz="4" w:space="0" w:color="000000"/>
              <w:bottom w:val="nil" w:sz="6" w:space="0" w:color="auto"/>
              <w:right w:val="single" w:sz="4" w:space="0" w:color="000000"/>
            </w:tcBorders>
          </w:tcPr>
          <w:p>
            <w:pPr>
              <w:pStyle w:val="TableParagraph"/>
              <w:spacing w:line="300" w:lineRule="auto" w:before="6"/>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 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27.64%</w:t>
            </w:r>
            <w:r>
              <w:rPr>
                <w:rFonts w:ascii="Times New Roman"/>
                <w:sz w:val="18"/>
              </w:rPr>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年度股东大会决议</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（公告编号：</w:t>
            </w:r>
          </w:p>
        </w:tc>
      </w:tr>
      <w:tr>
        <w:trPr>
          <w:trHeight w:val="357" w:hRule="exact"/>
        </w:trPr>
        <w:tc>
          <w:tcPr>
            <w:tcW w:w="1596"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2019-040</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363" w:hRule="exact"/>
        </w:trPr>
        <w:tc>
          <w:tcPr>
            <w:tcW w:w="1596"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日厦门安妮股</w:t>
            </w:r>
          </w:p>
        </w:tc>
      </w:tr>
      <w:tr>
        <w:trPr>
          <w:trHeight w:val="620" w:hRule="exact"/>
        </w:trPr>
        <w:tc>
          <w:tcPr>
            <w:tcW w:w="1596" w:type="dxa"/>
            <w:tcBorders>
              <w:top w:val="nil" w:sz="6" w:space="0" w:color="auto"/>
              <w:left w:val="single" w:sz="4" w:space="0" w:color="000000"/>
              <w:bottom w:val="nil" w:sz="6" w:space="0" w:color="auto"/>
              <w:right w:val="single" w:sz="4" w:space="0" w:color="000000"/>
            </w:tcBorders>
          </w:tcPr>
          <w:p>
            <w:pPr>
              <w:pStyle w:val="TableParagraph"/>
              <w:spacing w:line="302" w:lineRule="auto" w:before="5"/>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 时股东大会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22.10%</w:t>
            </w:r>
            <w:r>
              <w:rPr>
                <w:rFonts w:ascii="Times New Roman"/>
                <w:sz w:val="18"/>
              </w:rPr>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300" w:lineRule="auto" w:before="5"/>
              <w:ind w:left="23" w:right="30"/>
              <w:jc w:val="left"/>
              <w:rPr>
                <w:rFonts w:ascii="宋体" w:hAnsi="宋体" w:cs="宋体" w:eastAsia="宋体" w:hint="default"/>
                <w:sz w:val="18"/>
                <w:szCs w:val="18"/>
              </w:rPr>
            </w:pPr>
            <w:r>
              <w:rPr>
                <w:rFonts w:ascii="宋体" w:hAnsi="宋体" w:cs="宋体" w:eastAsia="宋体" w:hint="default"/>
                <w:sz w:val="18"/>
                <w:szCs w:val="18"/>
              </w:rPr>
              <w:t>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度第二次临时股东</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大会决议（公告编</w:t>
            </w:r>
          </w:p>
        </w:tc>
      </w:tr>
      <w:tr>
        <w:trPr>
          <w:trHeight w:val="356" w:hRule="exact"/>
        </w:trPr>
        <w:tc>
          <w:tcPr>
            <w:tcW w:w="1596"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号：</w:t>
            </w:r>
            <w:r>
              <w:rPr>
                <w:rFonts w:ascii="Times New Roman" w:hAnsi="Times New Roman" w:cs="Times New Roman" w:eastAsia="Times New Roman" w:hint="default"/>
                <w:sz w:val="18"/>
                <w:szCs w:val="18"/>
              </w:rPr>
              <w:t>2019-042</w:t>
            </w:r>
            <w:r>
              <w:rPr>
                <w:rFonts w:ascii="宋体" w:hAnsi="宋体" w:cs="宋体" w:eastAsia="宋体" w:hint="default"/>
                <w:sz w:val="18"/>
                <w:szCs w:val="18"/>
              </w:rPr>
              <w:t>）</w:t>
            </w:r>
          </w:p>
        </w:tc>
      </w:tr>
      <w:tr>
        <w:trPr>
          <w:trHeight w:val="363" w:hRule="exact"/>
        </w:trPr>
        <w:tc>
          <w:tcPr>
            <w:tcW w:w="1596"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日厦门安妮股</w:t>
            </w:r>
          </w:p>
        </w:tc>
      </w:tr>
      <w:tr>
        <w:trPr>
          <w:trHeight w:val="620" w:hRule="exact"/>
        </w:trPr>
        <w:tc>
          <w:tcPr>
            <w:tcW w:w="1596" w:type="dxa"/>
            <w:tcBorders>
              <w:top w:val="nil" w:sz="6" w:space="0" w:color="auto"/>
              <w:left w:val="single" w:sz="4" w:space="0" w:color="000000"/>
              <w:bottom w:val="nil" w:sz="6" w:space="0" w:color="auto"/>
              <w:right w:val="single" w:sz="4" w:space="0" w:color="000000"/>
            </w:tcBorders>
          </w:tcPr>
          <w:p>
            <w:pPr>
              <w:pStyle w:val="TableParagraph"/>
              <w:spacing w:line="302" w:lineRule="auto" w:before="5"/>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年度第三次临 时股东大会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22.20%</w:t>
            </w:r>
            <w:r>
              <w:rPr>
                <w:rFonts w:ascii="Times New Roman"/>
                <w:sz w:val="18"/>
              </w:rPr>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300" w:lineRule="auto" w:before="5"/>
              <w:ind w:left="23" w:right="30"/>
              <w:jc w:val="left"/>
              <w:rPr>
                <w:rFonts w:ascii="宋体" w:hAnsi="宋体" w:cs="宋体" w:eastAsia="宋体" w:hint="default"/>
                <w:sz w:val="18"/>
                <w:szCs w:val="18"/>
              </w:rPr>
            </w:pPr>
            <w:r>
              <w:rPr>
                <w:rFonts w:ascii="宋体" w:hAnsi="宋体" w:cs="宋体" w:eastAsia="宋体" w:hint="default"/>
                <w:sz w:val="18"/>
                <w:szCs w:val="18"/>
              </w:rPr>
              <w:t>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度第三次股东大会</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决议（公告编号：</w:t>
            </w:r>
          </w:p>
        </w:tc>
      </w:tr>
      <w:tr>
        <w:trPr>
          <w:trHeight w:val="356" w:hRule="exact"/>
        </w:trPr>
        <w:tc>
          <w:tcPr>
            <w:tcW w:w="1596"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2019-061</w:t>
            </w:r>
            <w:r>
              <w:rPr>
                <w:rFonts w:ascii="宋体" w:hAnsi="宋体" w:cs="宋体" w:eastAsia="宋体" w:hint="default"/>
                <w:sz w:val="18"/>
                <w:szCs w:val="18"/>
              </w:rPr>
              <w:t>）</w:t>
            </w:r>
          </w:p>
        </w:tc>
      </w:tr>
      <w:tr>
        <w:trPr>
          <w:trHeight w:val="363" w:hRule="exact"/>
        </w:trPr>
        <w:tc>
          <w:tcPr>
            <w:tcW w:w="1596"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日厦门安妮</w:t>
            </w:r>
          </w:p>
        </w:tc>
      </w:tr>
      <w:tr>
        <w:trPr>
          <w:trHeight w:val="620" w:hRule="exact"/>
        </w:trPr>
        <w:tc>
          <w:tcPr>
            <w:tcW w:w="1596" w:type="dxa"/>
            <w:tcBorders>
              <w:top w:val="nil" w:sz="6" w:space="0" w:color="auto"/>
              <w:left w:val="single" w:sz="4" w:space="0" w:color="000000"/>
              <w:bottom w:val="nil" w:sz="6" w:space="0" w:color="auto"/>
              <w:right w:val="single" w:sz="4" w:space="0" w:color="000000"/>
            </w:tcBorders>
          </w:tcPr>
          <w:p>
            <w:pPr>
              <w:pStyle w:val="TableParagraph"/>
              <w:spacing w:line="302" w:lineRule="auto" w:before="5"/>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年度第四次临 时股东大会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21.99%</w:t>
            </w:r>
            <w:r>
              <w:rPr>
                <w:rFonts w:ascii="Times New Roman"/>
                <w:sz w:val="18"/>
              </w:rPr>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年度第四次临时股</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东大会决</w:t>
            </w:r>
            <w:r>
              <w:rPr>
                <w:rFonts w:ascii="宋体" w:hAnsi="宋体" w:cs="宋体" w:eastAsia="宋体" w:hint="default"/>
                <w:spacing w:val="-82"/>
                <w:sz w:val="18"/>
                <w:szCs w:val="18"/>
              </w:rPr>
              <w:t>议</w:t>
            </w:r>
            <w:r>
              <w:rPr>
                <w:rFonts w:ascii="宋体" w:hAnsi="宋体" w:cs="宋体" w:eastAsia="宋体" w:hint="default"/>
                <w:sz w:val="18"/>
                <w:szCs w:val="18"/>
              </w:rPr>
              <w:t>（公告编</w:t>
            </w:r>
          </w:p>
        </w:tc>
      </w:tr>
      <w:tr>
        <w:trPr>
          <w:trHeight w:val="356" w:hRule="exact"/>
        </w:trPr>
        <w:tc>
          <w:tcPr>
            <w:tcW w:w="1596"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号：</w:t>
            </w:r>
            <w:r>
              <w:rPr>
                <w:rFonts w:ascii="Times New Roman" w:hAnsi="Times New Roman" w:cs="Times New Roman" w:eastAsia="Times New Roman" w:hint="default"/>
                <w:sz w:val="18"/>
                <w:szCs w:val="18"/>
              </w:rPr>
              <w:t>2019-084</w:t>
            </w:r>
            <w:r>
              <w:rPr>
                <w:rFonts w:ascii="宋体" w:hAnsi="宋体" w:cs="宋体" w:eastAsia="宋体" w:hint="default"/>
                <w:sz w:val="18"/>
                <w:szCs w:val="18"/>
              </w:rPr>
              <w:t>）</w:t>
            </w:r>
          </w:p>
        </w:tc>
      </w:tr>
    </w:tbl>
    <w:p>
      <w:pPr>
        <w:spacing w:line="240" w:lineRule="auto" w:before="2"/>
        <w:rPr>
          <w:rFonts w:ascii="宋体" w:hAnsi="宋体" w:cs="宋体" w:eastAsia="宋体" w:hint="default"/>
          <w:b/>
          <w:bCs/>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r>
        <w:rPr/>
        <w:t>五、报告期内独立董事履行职责的情况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2" w:hRule="exact"/>
        </w:trPr>
        <w:tc>
          <w:tcPr>
            <w:tcW w:w="9570" w:type="dxa"/>
            <w:gridSpan w:val="8"/>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67"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6" w:right="36"/>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5" w:right="36"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7" w:right="35"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485" w:right="35"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36" w:right="35"/>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95"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9</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9</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9</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38" w:lineRule="auto" w:before="117"/>
        <w:ind w:left="154" w:right="697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报告期内独立董事对公司有关事项未提出异议。</w:t>
      </w:r>
    </w:p>
    <w:p>
      <w:pPr>
        <w:spacing w:after="0" w:line="338"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9"/>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40" w:lineRule="auto" w:before="116"/>
        <w:ind w:left="154" w:right="67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独立董事对公司有关建议被采纳或未被采纳的说明</w:t>
      </w:r>
    </w:p>
    <w:p>
      <w:pPr>
        <w:spacing w:line="477" w:lineRule="auto" w:before="117"/>
        <w:ind w:left="154" w:right="1129" w:firstLine="420"/>
        <w:jc w:val="both"/>
        <w:rPr>
          <w:rFonts w:ascii="宋体" w:hAnsi="宋体" w:cs="宋体" w:eastAsia="宋体" w:hint="default"/>
          <w:sz w:val="18"/>
          <w:szCs w:val="18"/>
        </w:rPr>
      </w:pPr>
      <w:r>
        <w:rPr>
          <w:rFonts w:ascii="宋体" w:hAnsi="宋体" w:cs="宋体" w:eastAsia="宋体" w:hint="default"/>
          <w:sz w:val="18"/>
          <w:szCs w:val="18"/>
        </w:rPr>
        <w:t>报告期内，公司尊重独立董事提出的各项建议和意见，在信息披露、财务审计、利润分配、重大投资决策、高管人员 </w:t>
      </w:r>
      <w:r>
        <w:rPr>
          <w:rFonts w:ascii="宋体" w:hAnsi="宋体" w:cs="宋体" w:eastAsia="宋体" w:hint="default"/>
          <w:spacing w:val="-2"/>
          <w:sz w:val="18"/>
          <w:szCs w:val="18"/>
        </w:rPr>
        <w:t>任免等方面，提请独立董事审议，确保独立董事能够全面和深入了解具体内容，为公司规范化治理的提高，起到了积极地推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动作用。</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3"/>
          <w:szCs w:val="23"/>
        </w:rPr>
      </w:pPr>
    </w:p>
    <w:p>
      <w:pPr>
        <w:pStyle w:val="Heading2"/>
        <w:spacing w:line="240" w:lineRule="auto"/>
        <w:ind w:right="0"/>
        <w:jc w:val="left"/>
        <w:rPr>
          <w:b w:val="0"/>
          <w:bCs w:val="0"/>
        </w:rPr>
      </w:pPr>
      <w:r>
        <w:rPr/>
        <w:t>六、董事会下设专门委员会在报告期内履行职责情况</w:t>
      </w:r>
      <w:r>
        <w:rPr>
          <w:b w:val="0"/>
          <w:bCs w:val="0"/>
        </w:rPr>
      </w:r>
    </w:p>
    <w:p>
      <w:pPr>
        <w:spacing w:line="240" w:lineRule="auto" w:before="6"/>
        <w:rPr>
          <w:rFonts w:ascii="宋体" w:hAnsi="宋体" w:cs="宋体" w:eastAsia="宋体" w:hint="default"/>
          <w:b/>
          <w:bCs/>
          <w:sz w:val="32"/>
          <w:szCs w:val="32"/>
        </w:rPr>
      </w:pPr>
    </w:p>
    <w:p>
      <w:pPr>
        <w:spacing w:line="477" w:lineRule="auto" w:before="0"/>
        <w:ind w:left="573" w:right="1151" w:firstLine="0"/>
        <w:jc w:val="left"/>
        <w:rPr>
          <w:rFonts w:ascii="宋体" w:hAnsi="宋体" w:cs="宋体" w:eastAsia="宋体" w:hint="default"/>
          <w:sz w:val="18"/>
          <w:szCs w:val="18"/>
        </w:rPr>
      </w:pPr>
      <w:r>
        <w:rPr>
          <w:rFonts w:ascii="宋体" w:hAnsi="宋体" w:cs="宋体" w:eastAsia="宋体" w:hint="default"/>
          <w:sz w:val="18"/>
          <w:szCs w:val="18"/>
        </w:rPr>
        <w:t>（一）、战略委员会履职情况 报告期内，战略委员会对公司重大投资计划进行了研究和审议，并向董事会提出了相关议案。 </w:t>
      </w:r>
      <w:r>
        <w:rPr>
          <w:rFonts w:ascii="Times New Roman" w:hAnsi="Times New Roman" w:cs="Times New Roman" w:eastAsia="Times New Roman" w:hint="default"/>
          <w:sz w:val="18"/>
          <w:szCs w:val="18"/>
        </w:rPr>
        <w:t>2019</w:t>
      </w:r>
      <w:r>
        <w:rPr>
          <w:rFonts w:ascii="宋体" w:hAnsi="宋体" w:cs="宋体" w:eastAsia="宋体" w:hint="default"/>
          <w:sz w:val="18"/>
          <w:szCs w:val="18"/>
        </w:rPr>
        <w:t>年度，公司董事会战略委员会严格按照相关法律法规及《公司章程》《董事会战略委员会议事规则》的有关规定</w:t>
      </w:r>
    </w:p>
    <w:p>
      <w:pPr>
        <w:spacing w:line="451" w:lineRule="auto" w:before="21"/>
        <w:ind w:left="154" w:right="1120" w:firstLine="0"/>
        <w:jc w:val="left"/>
        <w:rPr>
          <w:rFonts w:ascii="宋体" w:hAnsi="宋体" w:cs="宋体" w:eastAsia="宋体" w:hint="default"/>
          <w:sz w:val="18"/>
          <w:szCs w:val="18"/>
        </w:rPr>
      </w:pPr>
      <w:r>
        <w:rPr>
          <w:rFonts w:ascii="宋体" w:hAnsi="宋体" w:cs="宋体" w:eastAsia="宋体" w:hint="default"/>
          <w:sz w:val="18"/>
          <w:szCs w:val="18"/>
        </w:rPr>
        <w:t>积极开展相关工作，结合行业发展态势和公司发展的实际情况，向董事会提出公司中长期战略规划的合理建议，共计召开</w:t>
      </w:r>
      <w:r>
        <w:rPr>
          <w:rFonts w:ascii="Times New Roman" w:hAnsi="Times New Roman" w:cs="Times New Roman" w:eastAsia="Times New Roman" w:hint="default"/>
          <w:sz w:val="18"/>
          <w:szCs w:val="18"/>
        </w:rPr>
        <w:t>2 </w:t>
      </w:r>
      <w:r>
        <w:rPr>
          <w:rFonts w:ascii="宋体" w:hAnsi="宋体" w:cs="宋体" w:eastAsia="宋体" w:hint="default"/>
          <w:sz w:val="18"/>
          <w:szCs w:val="18"/>
        </w:rPr>
        <w:t>次会议。</w:t>
      </w:r>
    </w:p>
    <w:p>
      <w:pPr>
        <w:spacing w:line="477" w:lineRule="auto" w:before="74"/>
        <w:ind w:left="573" w:right="0" w:firstLine="0"/>
        <w:jc w:val="left"/>
        <w:rPr>
          <w:rFonts w:ascii="宋体" w:hAnsi="宋体" w:cs="宋体" w:eastAsia="宋体" w:hint="default"/>
          <w:sz w:val="18"/>
          <w:szCs w:val="18"/>
        </w:rPr>
      </w:pPr>
      <w:r>
        <w:rPr>
          <w:rFonts w:ascii="宋体" w:hAnsi="宋体" w:cs="宋体" w:eastAsia="宋体" w:hint="default"/>
          <w:sz w:val="18"/>
          <w:szCs w:val="18"/>
        </w:rPr>
        <w:t>（二）、提名委员会履职情况 </w:t>
      </w:r>
      <w:r>
        <w:rPr>
          <w:rFonts w:ascii="宋体" w:hAnsi="宋体" w:cs="宋体" w:eastAsia="宋体" w:hint="default"/>
          <w:spacing w:val="-2"/>
          <w:sz w:val="18"/>
          <w:szCs w:val="18"/>
        </w:rPr>
        <w:t>报告期内，董事会提名委员会共召开会议</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次。董事会提名委员会依据公司《提名委员会工作细则》开展各项工作，研</w:t>
      </w:r>
    </w:p>
    <w:p>
      <w:pPr>
        <w:spacing w:before="21"/>
        <w:ind w:left="154" w:right="0" w:firstLine="0"/>
        <w:jc w:val="left"/>
        <w:rPr>
          <w:rFonts w:ascii="宋体" w:hAnsi="宋体" w:cs="宋体" w:eastAsia="宋体" w:hint="default"/>
          <w:sz w:val="18"/>
          <w:szCs w:val="18"/>
        </w:rPr>
      </w:pPr>
      <w:r>
        <w:rPr>
          <w:rFonts w:ascii="宋体" w:hAnsi="宋体" w:cs="宋体" w:eastAsia="宋体" w:hint="default"/>
          <w:sz w:val="18"/>
          <w:szCs w:val="18"/>
        </w:rPr>
        <w:t>究高级管理人员的选择标准和程序并提出建议；遴选合格的高级管理人员人选；对高级管理人员人选进行审核并提出建议。</w:t>
      </w:r>
    </w:p>
    <w:p>
      <w:pPr>
        <w:spacing w:line="240" w:lineRule="auto" w:before="10"/>
        <w:rPr>
          <w:rFonts w:ascii="宋体" w:hAnsi="宋体" w:cs="宋体" w:eastAsia="宋体" w:hint="default"/>
          <w:sz w:val="17"/>
          <w:szCs w:val="17"/>
        </w:rPr>
      </w:pPr>
    </w:p>
    <w:p>
      <w:pPr>
        <w:spacing w:before="0"/>
        <w:ind w:left="516" w:right="0" w:firstLine="0"/>
        <w:jc w:val="left"/>
        <w:rPr>
          <w:rFonts w:ascii="宋体" w:hAnsi="宋体" w:cs="宋体" w:eastAsia="宋体" w:hint="default"/>
          <w:sz w:val="18"/>
          <w:szCs w:val="18"/>
        </w:rPr>
      </w:pPr>
      <w:r>
        <w:rPr>
          <w:rFonts w:ascii="宋体" w:hAnsi="宋体" w:cs="宋体" w:eastAsia="宋体" w:hint="default"/>
          <w:sz w:val="18"/>
          <w:szCs w:val="18"/>
        </w:rPr>
        <w:t>（三）、薪酬与考核委员会履职情况</w:t>
      </w:r>
    </w:p>
    <w:p>
      <w:pPr>
        <w:spacing w:line="240" w:lineRule="auto" w:before="10"/>
        <w:rPr>
          <w:rFonts w:ascii="宋体" w:hAnsi="宋体" w:cs="宋体" w:eastAsia="宋体" w:hint="default"/>
          <w:sz w:val="17"/>
          <w:szCs w:val="17"/>
        </w:rPr>
      </w:pPr>
    </w:p>
    <w:p>
      <w:pPr>
        <w:spacing w:line="451" w:lineRule="auto" w:before="0"/>
        <w:ind w:left="153" w:right="1031" w:firstLine="29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2019</w:t>
      </w:r>
      <w:r>
        <w:rPr>
          <w:rFonts w:ascii="宋体" w:hAnsi="宋体" w:cs="宋体" w:eastAsia="宋体" w:hint="default"/>
          <w:spacing w:val="-2"/>
          <w:sz w:val="18"/>
          <w:szCs w:val="18"/>
        </w:rPr>
        <w:t>年度，公司董事会薪酬与考核委员会按照《公司章程》《薪酬与考核委员会议事规则》等相关要求，积极履行职责，</w:t>
      </w:r>
      <w:r>
        <w:rPr>
          <w:rFonts w:ascii="宋体" w:hAnsi="宋体" w:cs="宋体" w:eastAsia="宋体" w:hint="default"/>
          <w:sz w:val="18"/>
          <w:szCs w:val="18"/>
        </w:rPr>
        <w:t> 研究董事与高级管理人员考核的标准</w:t>
      </w:r>
      <w:r>
        <w:rPr>
          <w:rFonts w:ascii="Times New Roman" w:hAnsi="Times New Roman" w:cs="Times New Roman" w:eastAsia="Times New Roman" w:hint="default"/>
          <w:sz w:val="18"/>
          <w:szCs w:val="18"/>
        </w:rPr>
        <w:t>,</w:t>
      </w:r>
      <w:r>
        <w:rPr>
          <w:rFonts w:ascii="宋体" w:hAnsi="宋体" w:cs="宋体" w:eastAsia="宋体" w:hint="default"/>
          <w:sz w:val="18"/>
          <w:szCs w:val="18"/>
        </w:rPr>
        <w:t>并提出合理化建议，根据董事及高级管理人员的职责制定合理的薪酬考核方案，并监 </w:t>
      </w:r>
      <w:r>
        <w:rPr>
          <w:rFonts w:ascii="宋体" w:hAnsi="宋体" w:cs="宋体" w:eastAsia="宋体" w:hint="default"/>
          <w:spacing w:val="-4"/>
          <w:sz w:val="18"/>
          <w:szCs w:val="18"/>
        </w:rPr>
        <w:t>督公司薪酬制度的执行情况。报告期内，薪酬与考核委员会共召开</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次会议。审议批准了公司董事、监事及高级管理人员</w:t>
      </w:r>
      <w:r>
        <w:rPr>
          <w:rFonts w:ascii="Times New Roman" w:hAnsi="Times New Roman" w:cs="Times New Roman" w:eastAsia="Times New Roman" w:hint="default"/>
          <w:spacing w:val="-4"/>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年度薪酬状况，促进公司建立利益共享、风险共担机制，吸引与稳定更多的优秀人才。</w:t>
      </w:r>
    </w:p>
    <w:p>
      <w:pPr>
        <w:spacing w:before="74"/>
        <w:ind w:left="444" w:right="0" w:firstLine="0"/>
        <w:jc w:val="left"/>
        <w:rPr>
          <w:rFonts w:ascii="宋体" w:hAnsi="宋体" w:cs="宋体" w:eastAsia="宋体" w:hint="default"/>
          <w:sz w:val="18"/>
          <w:szCs w:val="18"/>
        </w:rPr>
      </w:pPr>
      <w:r>
        <w:rPr>
          <w:rFonts w:ascii="宋体" w:hAnsi="宋体" w:cs="宋体" w:eastAsia="宋体" w:hint="default"/>
          <w:sz w:val="18"/>
          <w:szCs w:val="18"/>
        </w:rPr>
        <w:t>（四）、审计委员会履职情况</w:t>
      </w:r>
    </w:p>
    <w:p>
      <w:pPr>
        <w:spacing w:line="240" w:lineRule="auto" w:before="10"/>
        <w:rPr>
          <w:rFonts w:ascii="宋体" w:hAnsi="宋体" w:cs="宋体" w:eastAsia="宋体" w:hint="default"/>
          <w:sz w:val="17"/>
          <w:szCs w:val="17"/>
        </w:rPr>
      </w:pPr>
    </w:p>
    <w:p>
      <w:pPr>
        <w:spacing w:line="458" w:lineRule="auto" w:before="0"/>
        <w:ind w:left="153" w:right="0" w:firstLine="42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年度，公司董事会审计委员会根据《公司章程》《董事会审计委员会议事规则》的有关要求，认真履行了监督、</w:t>
      </w:r>
      <w:r>
        <w:rPr>
          <w:rFonts w:ascii="宋体" w:hAnsi="宋体" w:cs="宋体" w:eastAsia="宋体" w:hint="default"/>
          <w:spacing w:val="1"/>
          <w:sz w:val="18"/>
          <w:szCs w:val="18"/>
        </w:rPr>
        <w:t> </w:t>
      </w:r>
      <w:r>
        <w:rPr>
          <w:rFonts w:ascii="宋体" w:hAnsi="宋体" w:cs="宋体" w:eastAsia="宋体" w:hint="default"/>
          <w:spacing w:val="-4"/>
          <w:sz w:val="18"/>
          <w:szCs w:val="18"/>
        </w:rPr>
        <w:t>检查职责。对公司财务报告、内部控制情况、内外审计机构的工作情况等事项进行审议，并将相关报告提交公司董事会审议。</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z w:val="18"/>
          <w:szCs w:val="18"/>
        </w:rPr>
        <w:t>报告期内，审计委员会以现场或通讯方式召开了</w:t>
      </w:r>
      <w:r>
        <w:rPr>
          <w:rFonts w:ascii="Times New Roman" w:hAnsi="Times New Roman" w:cs="Times New Roman" w:eastAsia="Times New Roman" w:hint="default"/>
          <w:sz w:val="18"/>
          <w:szCs w:val="18"/>
        </w:rPr>
        <w:t>3</w:t>
      </w:r>
      <w:r>
        <w:rPr>
          <w:rFonts w:ascii="宋体" w:hAnsi="宋体" w:cs="宋体" w:eastAsia="宋体" w:hint="default"/>
          <w:sz w:val="18"/>
          <w:szCs w:val="18"/>
        </w:rPr>
        <w:t>次会议，主要完成了财务报告的审计、年度审计机构的聘任、关联交易、</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监督与内部控制评价等工作，充分发挥了审计委员会的审计监督作用，推动公司治理不断规范。</w:t>
      </w:r>
    </w:p>
    <w:p>
      <w:pPr>
        <w:spacing w:after="0" w:line="458"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9"/>
        <w:rPr>
          <w:rFonts w:ascii="宋体" w:hAnsi="宋体" w:cs="宋体" w:eastAsia="宋体" w:hint="default"/>
          <w:sz w:val="19"/>
          <w:szCs w:val="19"/>
        </w:rPr>
      </w:pPr>
    </w:p>
    <w:p>
      <w:pPr>
        <w:pStyle w:val="Heading2"/>
        <w:spacing w:line="240" w:lineRule="auto" w:before="26"/>
        <w:ind w:right="0"/>
        <w:jc w:val="left"/>
        <w:rPr>
          <w:b w:val="0"/>
          <w:bCs w:val="0"/>
        </w:rPr>
      </w:pPr>
      <w:r>
        <w:rPr/>
        <w:t>七、监事会工作情况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40" w:lineRule="auto" w:before="116"/>
        <w:ind w:left="154" w:right="76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监事会对报告期内的监督事项无异议。</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r>
        <w:rPr/>
        <w:t>八、高级管理人员的考评及激励情况</w:t>
      </w:r>
      <w:r>
        <w:rPr>
          <w:b w:val="0"/>
          <w:bCs w:val="0"/>
        </w:rPr>
      </w:r>
    </w:p>
    <w:p>
      <w:pPr>
        <w:spacing w:line="240" w:lineRule="auto" w:before="7"/>
        <w:rPr>
          <w:rFonts w:ascii="宋体" w:hAnsi="宋体" w:cs="宋体" w:eastAsia="宋体" w:hint="default"/>
          <w:b/>
          <w:bCs/>
          <w:sz w:val="32"/>
          <w:szCs w:val="32"/>
        </w:rPr>
      </w:pPr>
    </w:p>
    <w:p>
      <w:pPr>
        <w:spacing w:line="451" w:lineRule="auto" w:before="0"/>
        <w:ind w:left="153" w:right="0" w:firstLine="482"/>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、考评机制：由公司董事会按年度对公司高级管理人员的业绩和履职情况进行考评，并根据工作业绩决定年度薪酬，</w:t>
      </w:r>
      <w:r>
        <w:rPr>
          <w:rFonts w:ascii="宋体" w:hAnsi="宋体" w:cs="宋体" w:eastAsia="宋体" w:hint="default"/>
          <w:sz w:val="18"/>
          <w:szCs w:val="18"/>
        </w:rPr>
        <w:t> 以考核结果作为下一年度的岗位安排、年薪档次、是否续聘及职位升降和下一届任免的依据。</w:t>
      </w:r>
    </w:p>
    <w:p>
      <w:pPr>
        <w:spacing w:before="74"/>
        <w:ind w:left="63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、激励机制：公司根据公司近几年的经营状况和个人的岗位职责，确定年度薪酬。</w:t>
      </w:r>
    </w:p>
    <w:p>
      <w:pPr>
        <w:spacing w:line="240" w:lineRule="auto" w:before="0"/>
        <w:rPr>
          <w:rFonts w:ascii="宋体" w:hAnsi="宋体" w:cs="宋体" w:eastAsia="宋体" w:hint="default"/>
          <w:sz w:val="18"/>
          <w:szCs w:val="18"/>
        </w:rPr>
      </w:pPr>
    </w:p>
    <w:p>
      <w:pPr>
        <w:pStyle w:val="Heading2"/>
        <w:spacing w:line="240" w:lineRule="auto" w:before="158"/>
        <w:ind w:right="0"/>
        <w:jc w:val="left"/>
        <w:rPr>
          <w:b w:val="0"/>
          <w:bCs w:val="0"/>
        </w:rPr>
      </w:pPr>
      <w:r>
        <w:rPr/>
        <w:t>九、内部控制评价报告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2</w:t>
      </w:r>
      <w:r>
        <w:rPr/>
        <w:t>、内控自我评价报告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spacing w:before="0"/>
        <w:ind w:left="0" w:right="1163" w:firstLine="0"/>
        <w:jc w:val="right"/>
        <w:rPr>
          <w:rFonts w:ascii="宋体" w:hAnsi="宋体" w:cs="宋体" w:eastAsia="宋体" w:hint="default"/>
          <w:sz w:val="18"/>
          <w:szCs w:val="18"/>
        </w:rPr>
      </w:pPr>
      <w:r>
        <w:rPr/>
        <w:pict>
          <v:shape style="position:absolute;margin-left:56.459999pt;margin-top:-333.287994pt;width:479.1pt;height:357.6pt;mso-position-horizontal-relative:page;mso-position-vertical-relative:paragraph;z-index:1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88"/>
                    <w:gridCol w:w="3329"/>
                    <w:gridCol w:w="305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巨潮资讯网《厦门安妮股份有限公司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年内部控制自我评价报告》</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79" w:type="dxa"/>
                        <w:gridSpan w:val="2"/>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79" w:type="dxa"/>
                        <w:gridSpan w:val="2"/>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9568"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1858" w:hRule="exact"/>
                    </w:trPr>
                    <w:tc>
                      <w:tcPr>
                        <w:tcW w:w="3188" w:type="dxa"/>
                        <w:tcBorders>
                          <w:top w:val="single" w:sz="4" w:space="0" w:color="000000"/>
                          <w:left w:val="single" w:sz="4" w:space="0" w:color="000000"/>
                          <w:bottom w:val="nil" w:sz="6" w:space="0" w:color="auto"/>
                          <w:right w:val="single" w:sz="4" w:space="0" w:color="000000"/>
                        </w:tcBorders>
                        <w:shd w:val="clear" w:color="auto" w:fill="D3D3D3"/>
                      </w:tcPr>
                      <w:p>
                        <w:pPr/>
                      </w:p>
                    </w:tc>
                    <w:tc>
                      <w:tcPr>
                        <w:tcW w:w="3329" w:type="dxa"/>
                        <w:vMerge w:val="restart"/>
                        <w:tcBorders>
                          <w:top w:val="single" w:sz="4" w:space="0" w:color="000000"/>
                          <w:left w:val="single" w:sz="4" w:space="0" w:color="000000"/>
                          <w:right w:val="single" w:sz="4" w:space="0" w:color="000000"/>
                        </w:tcBorders>
                      </w:tcPr>
                      <w:p>
                        <w:pPr>
                          <w:pStyle w:val="TableParagraph"/>
                          <w:spacing w:line="307" w:lineRule="auto" w:before="51"/>
                          <w:ind w:left="28" w:right="20"/>
                          <w:jc w:val="left"/>
                          <w:rPr>
                            <w:rFonts w:ascii="宋体" w:hAnsi="宋体" w:cs="宋体" w:eastAsia="宋体" w:hint="default"/>
                            <w:sz w:val="18"/>
                            <w:szCs w:val="18"/>
                          </w:rPr>
                        </w:pPr>
                        <w:r>
                          <w:rPr>
                            <w:rFonts w:ascii="宋体" w:hAnsi="宋体" w:cs="宋体" w:eastAsia="宋体" w:hint="default"/>
                            <w:spacing w:val="-3"/>
                            <w:sz w:val="18"/>
                            <w:szCs w:val="18"/>
                          </w:rPr>
                          <w:t>财务报告重大缺陷的迹象包括</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董事、监</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事和高级管理人员舞弊</w:t>
                        </w:r>
                        <w:r>
                          <w:rPr>
                            <w:rFonts w:ascii="Times New Roman" w:hAnsi="Times New Roman" w:cs="Times New Roman" w:eastAsia="Times New Roman" w:hint="default"/>
                            <w:sz w:val="18"/>
                            <w:szCs w:val="18"/>
                          </w:rPr>
                          <w:t>;(2)</w:t>
                        </w:r>
                        <w:r>
                          <w:rPr>
                            <w:rFonts w:ascii="宋体" w:hAnsi="宋体" w:cs="宋体" w:eastAsia="宋体" w:hint="default"/>
                            <w:sz w:val="18"/>
                            <w:szCs w:val="18"/>
                          </w:rPr>
                          <w:t>公司更正已公</w:t>
                        </w:r>
                        <w:r>
                          <w:rPr>
                            <w:rFonts w:ascii="宋体" w:hAnsi="宋体" w:cs="宋体" w:eastAsia="宋体" w:hint="default"/>
                            <w:w w:val="100"/>
                            <w:sz w:val="18"/>
                            <w:szCs w:val="18"/>
                          </w:rPr>
                          <w:t> </w:t>
                        </w:r>
                        <w:r>
                          <w:rPr>
                            <w:rFonts w:ascii="宋体" w:hAnsi="宋体" w:cs="宋体" w:eastAsia="宋体" w:hint="default"/>
                            <w:sz w:val="18"/>
                            <w:szCs w:val="18"/>
                          </w:rPr>
                          <w:t>布的财务报告</w:t>
                        </w:r>
                        <w:r>
                          <w:rPr>
                            <w:rFonts w:ascii="Times New Roman" w:hAnsi="Times New Roman" w:cs="Times New Roman" w:eastAsia="Times New Roman" w:hint="default"/>
                            <w:sz w:val="18"/>
                            <w:szCs w:val="18"/>
                          </w:rPr>
                          <w:t>;(3)</w:t>
                        </w:r>
                        <w:r>
                          <w:rPr>
                            <w:rFonts w:ascii="宋体" w:hAnsi="宋体" w:cs="宋体" w:eastAsia="宋体" w:hint="default"/>
                            <w:sz w:val="18"/>
                            <w:szCs w:val="18"/>
                          </w:rPr>
                          <w:t>注册会计师发现当期财</w:t>
                        </w:r>
                        <w:r>
                          <w:rPr>
                            <w:rFonts w:ascii="宋体" w:hAnsi="宋体" w:cs="宋体" w:eastAsia="宋体" w:hint="default"/>
                            <w:w w:val="100"/>
                            <w:sz w:val="18"/>
                            <w:szCs w:val="18"/>
                          </w:rPr>
                          <w:t> </w:t>
                        </w:r>
                        <w:r>
                          <w:rPr>
                            <w:rFonts w:ascii="宋体" w:hAnsi="宋体" w:cs="宋体" w:eastAsia="宋体" w:hint="default"/>
                            <w:sz w:val="18"/>
                            <w:szCs w:val="18"/>
                          </w:rPr>
                          <w:t>务报告存在重大错报而公司内部控制在运</w:t>
                        </w:r>
                        <w:r>
                          <w:rPr>
                            <w:rFonts w:ascii="宋体" w:hAnsi="宋体" w:cs="宋体" w:eastAsia="宋体" w:hint="default"/>
                            <w:w w:val="100"/>
                            <w:sz w:val="18"/>
                            <w:szCs w:val="18"/>
                          </w:rPr>
                          <w:t> </w:t>
                        </w:r>
                        <w:r>
                          <w:rPr>
                            <w:rFonts w:ascii="宋体" w:hAnsi="宋体" w:cs="宋体" w:eastAsia="宋体" w:hint="default"/>
                            <w:sz w:val="18"/>
                            <w:szCs w:val="18"/>
                          </w:rPr>
                          <w:t>行过程中未能发现该错报</w:t>
                        </w:r>
                        <w:r>
                          <w:rPr>
                            <w:rFonts w:ascii="Times New Roman" w:hAnsi="Times New Roman" w:cs="Times New Roman" w:eastAsia="Times New Roman" w:hint="default"/>
                            <w:sz w:val="18"/>
                            <w:szCs w:val="18"/>
                          </w:rPr>
                          <w:t>;(4)</w:t>
                        </w:r>
                        <w:r>
                          <w:rPr>
                            <w:rFonts w:ascii="宋体" w:hAnsi="宋体" w:cs="宋体" w:eastAsia="宋体" w:hint="default"/>
                            <w:sz w:val="18"/>
                            <w:szCs w:val="18"/>
                          </w:rPr>
                          <w:t>审计委员会</w:t>
                        </w:r>
                        <w:r>
                          <w:rPr>
                            <w:rFonts w:ascii="宋体" w:hAnsi="宋体" w:cs="宋体" w:eastAsia="宋体" w:hint="default"/>
                            <w:w w:val="100"/>
                            <w:sz w:val="18"/>
                            <w:szCs w:val="18"/>
                          </w:rPr>
                          <w:t> </w:t>
                        </w:r>
                        <w:r>
                          <w:rPr>
                            <w:rFonts w:ascii="宋体" w:hAnsi="宋体" w:cs="宋体" w:eastAsia="宋体" w:hint="default"/>
                            <w:sz w:val="18"/>
                            <w:szCs w:val="18"/>
                          </w:rPr>
                          <w:t>和内部审计机构对内部控制的监督无效。</w:t>
                        </w:r>
                        <w:r>
                          <w:rPr>
                            <w:rFonts w:ascii="宋体" w:hAnsi="宋体" w:cs="宋体" w:eastAsia="宋体" w:hint="default"/>
                            <w:w w:val="100"/>
                            <w:sz w:val="18"/>
                            <w:szCs w:val="18"/>
                          </w:rPr>
                          <w:t> </w:t>
                        </w:r>
                        <w:r>
                          <w:rPr>
                            <w:rFonts w:ascii="宋体" w:hAnsi="宋体" w:cs="宋体" w:eastAsia="宋体" w:hint="default"/>
                            <w:sz w:val="18"/>
                            <w:szCs w:val="18"/>
                          </w:rPr>
                          <w:t>财务报告重要缺陷的迹象包括</w:t>
                        </w:r>
                        <w:r>
                          <w:rPr>
                            <w:rFonts w:ascii="Times New Roman" w:hAnsi="Times New Roman" w:cs="Times New Roman" w:eastAsia="Times New Roman" w:hint="default"/>
                            <w:sz w:val="18"/>
                            <w:szCs w:val="18"/>
                          </w:rPr>
                          <w:t>:(1)</w:t>
                        </w:r>
                        <w:r>
                          <w:rPr>
                            <w:rFonts w:ascii="宋体" w:hAnsi="宋体" w:cs="宋体" w:eastAsia="宋体" w:hint="default"/>
                            <w:sz w:val="18"/>
                            <w:szCs w:val="18"/>
                          </w:rPr>
                          <w:t>未依照</w:t>
                        </w:r>
                        <w:r>
                          <w:rPr>
                            <w:rFonts w:ascii="宋体" w:hAnsi="宋体" w:cs="宋体" w:eastAsia="宋体" w:hint="default"/>
                            <w:w w:val="100"/>
                            <w:sz w:val="18"/>
                            <w:szCs w:val="18"/>
                          </w:rPr>
                          <w:t> </w:t>
                        </w:r>
                        <w:r>
                          <w:rPr>
                            <w:rFonts w:ascii="宋体" w:hAnsi="宋体" w:cs="宋体" w:eastAsia="宋体" w:hint="default"/>
                            <w:sz w:val="18"/>
                            <w:szCs w:val="18"/>
                          </w:rPr>
                          <w:t>公认会计准则选择和应用会计政策</w:t>
                        </w:r>
                        <w:r>
                          <w:rPr>
                            <w:rFonts w:ascii="Times New Roman" w:hAnsi="Times New Roman" w:cs="Times New Roman" w:eastAsia="Times New Roman" w:hint="default"/>
                            <w:sz w:val="18"/>
                            <w:szCs w:val="18"/>
                          </w:rPr>
                          <w:t>;(2)</w:t>
                        </w:r>
                        <w:r>
                          <w:rPr>
                            <w:rFonts w:ascii="宋体" w:hAnsi="宋体" w:cs="宋体" w:eastAsia="宋体" w:hint="default"/>
                            <w:sz w:val="18"/>
                            <w:szCs w:val="18"/>
                          </w:rPr>
                          <w:t>未</w:t>
                        </w:r>
                        <w:r>
                          <w:rPr>
                            <w:rFonts w:ascii="宋体" w:hAnsi="宋体" w:cs="宋体" w:eastAsia="宋体" w:hint="default"/>
                            <w:w w:val="100"/>
                            <w:sz w:val="18"/>
                            <w:szCs w:val="18"/>
                          </w:rPr>
                          <w:t> </w:t>
                        </w:r>
                        <w:r>
                          <w:rPr>
                            <w:rFonts w:ascii="宋体" w:hAnsi="宋体" w:cs="宋体" w:eastAsia="宋体" w:hint="default"/>
                            <w:sz w:val="18"/>
                            <w:szCs w:val="18"/>
                          </w:rPr>
                          <w:t>建立反舞弊程序和控制措施</w:t>
                        </w:r>
                        <w:r>
                          <w:rPr>
                            <w:rFonts w:ascii="Times New Roman" w:hAnsi="Times New Roman" w:cs="Times New Roman" w:eastAsia="Times New Roman" w:hint="default"/>
                            <w:sz w:val="18"/>
                            <w:szCs w:val="18"/>
                          </w:rPr>
                          <w:t>;(3)</w:t>
                        </w:r>
                        <w:r>
                          <w:rPr>
                            <w:rFonts w:ascii="宋体" w:hAnsi="宋体" w:cs="宋体" w:eastAsia="宋体" w:hint="default"/>
                            <w:sz w:val="18"/>
                            <w:szCs w:val="18"/>
                          </w:rPr>
                          <w:t>对于非常</w:t>
                        </w:r>
                        <w:r>
                          <w:rPr>
                            <w:rFonts w:ascii="宋体" w:hAnsi="宋体" w:cs="宋体" w:eastAsia="宋体" w:hint="default"/>
                            <w:w w:val="100"/>
                            <w:sz w:val="18"/>
                            <w:szCs w:val="18"/>
                          </w:rPr>
                          <w:t> </w:t>
                        </w:r>
                        <w:r>
                          <w:rPr>
                            <w:rFonts w:ascii="宋体" w:hAnsi="宋体" w:cs="宋体" w:eastAsia="宋体" w:hint="default"/>
                            <w:sz w:val="18"/>
                            <w:szCs w:val="18"/>
                          </w:rPr>
                          <w:t>规或特殊交易的账务处理没有建立相应的</w:t>
                        </w:r>
                        <w:r>
                          <w:rPr>
                            <w:rFonts w:ascii="宋体" w:hAnsi="宋体" w:cs="宋体" w:eastAsia="宋体" w:hint="default"/>
                            <w:w w:val="100"/>
                            <w:sz w:val="18"/>
                            <w:szCs w:val="18"/>
                          </w:rPr>
                          <w:t> </w:t>
                        </w:r>
                        <w:r>
                          <w:rPr>
                            <w:rFonts w:ascii="宋体" w:hAnsi="宋体" w:cs="宋体" w:eastAsia="宋体" w:hint="default"/>
                            <w:sz w:val="18"/>
                            <w:szCs w:val="18"/>
                          </w:rPr>
                          <w:t>控制机制或没有实施且没有相应的补偿性</w:t>
                        </w:r>
                        <w:r>
                          <w:rPr>
                            <w:rFonts w:ascii="宋体" w:hAnsi="宋体" w:cs="宋体" w:eastAsia="宋体" w:hint="default"/>
                            <w:w w:val="100"/>
                            <w:sz w:val="18"/>
                            <w:szCs w:val="18"/>
                          </w:rPr>
                          <w:t> </w:t>
                        </w:r>
                        <w:r>
                          <w:rPr>
                            <w:rFonts w:ascii="宋体" w:hAnsi="宋体" w:cs="宋体" w:eastAsia="宋体" w:hint="default"/>
                            <w:sz w:val="18"/>
                            <w:szCs w:val="18"/>
                          </w:rPr>
                          <w:t>控制</w:t>
                        </w:r>
                        <w:r>
                          <w:rPr>
                            <w:rFonts w:ascii="Times New Roman" w:hAnsi="Times New Roman" w:cs="Times New Roman" w:eastAsia="Times New Roman" w:hint="default"/>
                            <w:sz w:val="18"/>
                            <w:szCs w:val="18"/>
                          </w:rPr>
                          <w:t>;(4)</w:t>
                        </w:r>
                        <w:r>
                          <w:rPr>
                            <w:rFonts w:ascii="宋体" w:hAnsi="宋体" w:cs="宋体" w:eastAsia="宋体" w:hint="default"/>
                            <w:sz w:val="18"/>
                            <w:szCs w:val="18"/>
                          </w:rPr>
                          <w:t>对于期末财务报告的控制存在一</w:t>
                        </w:r>
                        <w:r>
                          <w:rPr>
                            <w:rFonts w:ascii="宋体" w:hAnsi="宋体" w:cs="宋体" w:eastAsia="宋体" w:hint="default"/>
                            <w:w w:val="100"/>
                            <w:sz w:val="18"/>
                            <w:szCs w:val="18"/>
                          </w:rPr>
                          <w:t> </w:t>
                        </w:r>
                        <w:r>
                          <w:rPr>
                            <w:rFonts w:ascii="宋体" w:hAnsi="宋体" w:cs="宋体" w:eastAsia="宋体" w:hint="default"/>
                            <w:sz w:val="18"/>
                            <w:szCs w:val="18"/>
                          </w:rPr>
                          <w:t>项或多项缺陷且不能合理保证编制的财务</w:t>
                        </w:r>
                      </w:p>
                    </w:tc>
                    <w:tc>
                      <w:tcPr>
                        <w:tcW w:w="3050"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309" w:lineRule="auto"/>
                          <w:ind w:left="22" w:right="20"/>
                          <w:jc w:val="left"/>
                          <w:rPr>
                            <w:rFonts w:ascii="宋体" w:hAnsi="宋体" w:cs="宋体" w:eastAsia="宋体" w:hint="default"/>
                            <w:sz w:val="18"/>
                            <w:szCs w:val="18"/>
                          </w:rPr>
                        </w:pPr>
                        <w:r>
                          <w:rPr>
                            <w:rFonts w:ascii="宋体" w:hAnsi="宋体" w:cs="宋体" w:eastAsia="宋体" w:hint="default"/>
                            <w:sz w:val="18"/>
                            <w:szCs w:val="18"/>
                          </w:rPr>
                          <w:t>非财务报告缺陷认定主要以缺陷对业 </w:t>
                        </w:r>
                        <w:r>
                          <w:rPr>
                            <w:rFonts w:ascii="宋体" w:hAnsi="宋体" w:cs="宋体" w:eastAsia="宋体" w:hint="default"/>
                            <w:spacing w:val="-4"/>
                            <w:sz w:val="18"/>
                            <w:szCs w:val="18"/>
                          </w:rPr>
                          <w:t>务流程有效性的影响程度、发生的可能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性作判定。 如果缺陷发生的可能性较 小</w:t>
                        </w:r>
                        <w:r>
                          <w:rPr>
                            <w:rFonts w:ascii="Times New Roman" w:hAnsi="Times New Roman" w:cs="Times New Roman" w:eastAsia="Times New Roman" w:hint="default"/>
                            <w:sz w:val="18"/>
                            <w:szCs w:val="18"/>
                          </w:rPr>
                          <w:t>,</w:t>
                        </w:r>
                        <w:r>
                          <w:rPr>
                            <w:rFonts w:ascii="宋体" w:hAnsi="宋体" w:cs="宋体" w:eastAsia="宋体" w:hint="default"/>
                            <w:sz w:val="18"/>
                            <w:szCs w:val="18"/>
                          </w:rPr>
                          <w:t>会降低工作效率或效果、或加大效 </w:t>
                        </w:r>
                        <w:r>
                          <w:rPr>
                            <w:rFonts w:ascii="宋体" w:hAnsi="宋体" w:cs="宋体" w:eastAsia="宋体" w:hint="default"/>
                            <w:spacing w:val="-4"/>
                            <w:sz w:val="18"/>
                            <w:szCs w:val="18"/>
                          </w:rPr>
                          <w:t>果的不确定性、或使之偏离预期目标的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为一般缺陷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如果缺陷发生的可能性较 高</w:t>
                        </w:r>
                        <w:r>
                          <w:rPr>
                            <w:rFonts w:ascii="Times New Roman" w:hAnsi="Times New Roman" w:cs="Times New Roman" w:eastAsia="Times New Roman" w:hint="default"/>
                            <w:sz w:val="18"/>
                            <w:szCs w:val="18"/>
                          </w:rPr>
                          <w:t>,</w:t>
                        </w:r>
                        <w:r>
                          <w:rPr>
                            <w:rFonts w:ascii="宋体" w:hAnsi="宋体" w:cs="宋体" w:eastAsia="宋体" w:hint="default"/>
                            <w:sz w:val="18"/>
                            <w:szCs w:val="18"/>
                          </w:rPr>
                          <w:t>会显著降低工作效率或效果、或显 </w:t>
                        </w:r>
                        <w:r>
                          <w:rPr>
                            <w:rFonts w:ascii="宋体" w:hAnsi="宋体" w:cs="宋体" w:eastAsia="宋体" w:hint="default"/>
                            <w:spacing w:val="-4"/>
                            <w:sz w:val="18"/>
                            <w:szCs w:val="18"/>
                          </w:rPr>
                          <w:t>著加大效果的不确定性、或使之显著偏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离预期目标的为重要缺陷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如果缺陷发 生的可能性高</w:t>
                        </w:r>
                        <w:r>
                          <w:rPr>
                            <w:rFonts w:ascii="Times New Roman" w:hAnsi="Times New Roman" w:cs="Times New Roman" w:eastAsia="Times New Roman" w:hint="default"/>
                            <w:sz w:val="18"/>
                            <w:szCs w:val="18"/>
                          </w:rPr>
                          <w:t>,</w:t>
                        </w:r>
                        <w:r>
                          <w:rPr>
                            <w:rFonts w:ascii="宋体" w:hAnsi="宋体" w:cs="宋体" w:eastAsia="宋体" w:hint="default"/>
                            <w:sz w:val="18"/>
                            <w:szCs w:val="18"/>
                          </w:rPr>
                          <w:t>会严重降低工作效率或 </w:t>
                        </w:r>
                        <w:r>
                          <w:rPr>
                            <w:rFonts w:ascii="宋体" w:hAnsi="宋体" w:cs="宋体" w:eastAsia="宋体" w:hint="default"/>
                            <w:spacing w:val="-4"/>
                            <w:sz w:val="18"/>
                            <w:szCs w:val="18"/>
                          </w:rPr>
                          <w:t>效果、或严重加大效果的不确定性、或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使之严重偏离预期目标的为重大缺陷</w:t>
                        </w:r>
                      </w:p>
                    </w:tc>
                  </w:tr>
                  <w:tr>
                    <w:trPr>
                      <w:trHeight w:val="391" w:hRule="exact"/>
                    </w:trPr>
                    <w:tc>
                      <w:tcPr>
                        <w:tcW w:w="318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9" w:type="dxa"/>
                        <w:vMerge/>
                        <w:tcBorders>
                          <w:left w:val="single" w:sz="4" w:space="0" w:color="000000"/>
                          <w:right w:val="single" w:sz="4" w:space="0" w:color="000000"/>
                        </w:tcBorders>
                      </w:tcPr>
                      <w:p>
                        <w:pPr/>
                      </w:p>
                    </w:tc>
                    <w:tc>
                      <w:tcPr>
                        <w:tcW w:w="3050" w:type="dxa"/>
                        <w:vMerge/>
                        <w:tcBorders>
                          <w:left w:val="single" w:sz="4" w:space="0" w:color="000000"/>
                          <w:right w:val="single" w:sz="4" w:space="0" w:color="000000"/>
                        </w:tcBorders>
                      </w:tcPr>
                      <w:p>
                        <w:pPr/>
                      </w:p>
                    </w:tc>
                  </w:tr>
                  <w:tr>
                    <w:trPr>
                      <w:trHeight w:val="1858" w:hRule="exact"/>
                    </w:trPr>
                    <w:tc>
                      <w:tcPr>
                        <w:tcW w:w="3188" w:type="dxa"/>
                        <w:tcBorders>
                          <w:top w:val="nil" w:sz="6" w:space="0" w:color="auto"/>
                          <w:left w:val="single" w:sz="4" w:space="0" w:color="000000"/>
                          <w:bottom w:val="single" w:sz="4" w:space="0" w:color="000000"/>
                          <w:right w:val="single" w:sz="4" w:space="0" w:color="000000"/>
                        </w:tcBorders>
                        <w:shd w:val="clear" w:color="auto" w:fill="D3D3D3"/>
                      </w:tcPr>
                      <w:p>
                        <w:pPr/>
                      </w:p>
                    </w:tc>
                    <w:tc>
                      <w:tcPr>
                        <w:tcW w:w="3329" w:type="dxa"/>
                        <w:vMerge/>
                        <w:tcBorders>
                          <w:left w:val="single" w:sz="4" w:space="0" w:color="000000"/>
                          <w:bottom w:val="single" w:sz="4" w:space="0" w:color="000000"/>
                          <w:right w:val="single" w:sz="4" w:space="0" w:color="000000"/>
                        </w:tcBorders>
                      </w:tcPr>
                      <w:p>
                        <w:pPr/>
                      </w:p>
                    </w:tc>
                    <w:tc>
                      <w:tcPr>
                        <w:tcW w:w="3050" w:type="dxa"/>
                        <w:vMerge/>
                        <w:tcBorders>
                          <w:left w:val="single" w:sz="4" w:space="0" w:color="000000"/>
                          <w:bottom w:val="single" w:sz="4" w:space="0" w:color="000000"/>
                          <w:right w:val="single" w:sz="4" w:space="0" w:color="000000"/>
                        </w:tcBorders>
                      </w:tcPr>
                      <w:p>
                        <w:pP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94"/>
        <w:gridCol w:w="3323"/>
        <w:gridCol w:w="3050"/>
      </w:tblGrid>
      <w:tr>
        <w:trPr>
          <w:trHeight w:val="986"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23"/>
              <w:jc w:val="both"/>
              <w:rPr>
                <w:rFonts w:ascii="宋体" w:hAnsi="宋体" w:cs="宋体" w:eastAsia="宋体" w:hint="default"/>
                <w:sz w:val="18"/>
                <w:szCs w:val="18"/>
              </w:rPr>
            </w:pPr>
            <w:r>
              <w:rPr>
                <w:rFonts w:ascii="宋体" w:hAnsi="宋体" w:cs="宋体" w:eastAsia="宋体" w:hint="default"/>
                <w:spacing w:val="-3"/>
                <w:sz w:val="18"/>
                <w:szCs w:val="18"/>
              </w:rPr>
              <w:t>报表达到真实、完整的目标。</w:t>
            </w:r>
            <w:r>
              <w:rPr>
                <w:rFonts w:ascii="宋体" w:hAnsi="宋体" w:cs="宋体" w:eastAsia="宋体" w:hint="default"/>
                <w:spacing w:val="-28"/>
                <w:sz w:val="18"/>
                <w:szCs w:val="18"/>
              </w:rPr>
              <w:t> </w:t>
            </w:r>
            <w:r>
              <w:rPr>
                <w:rFonts w:ascii="宋体" w:hAnsi="宋体" w:cs="宋体" w:eastAsia="宋体" w:hint="default"/>
                <w:sz w:val="18"/>
                <w:szCs w:val="18"/>
              </w:rPr>
              <w:t>一般缺陷是</w:t>
            </w:r>
            <w:r>
              <w:rPr>
                <w:rFonts w:ascii="宋体" w:hAnsi="宋体" w:cs="宋体" w:eastAsia="宋体" w:hint="default"/>
                <w:sz w:val="18"/>
                <w:szCs w:val="18"/>
              </w:rPr>
              <w:t> 指除上述重大缺陷、重要缺陷之外的其他 控制缺陷。</w:t>
            </w:r>
          </w:p>
        </w:tc>
        <w:tc>
          <w:tcPr>
            <w:tcW w:w="3050" w:type="dxa"/>
            <w:tcBorders>
              <w:top w:val="single" w:sz="4" w:space="0" w:color="000000"/>
              <w:left w:val="single" w:sz="4" w:space="0" w:color="000000"/>
              <w:bottom w:val="single" w:sz="4" w:space="0" w:color="000000"/>
              <w:right w:val="single" w:sz="4" w:space="0" w:color="000000"/>
            </w:tcBorders>
          </w:tcPr>
          <w:p>
            <w:pPr/>
          </w:p>
        </w:tc>
      </w:tr>
      <w:tr>
        <w:trPr>
          <w:trHeight w:val="357" w:hRule="exact"/>
        </w:trPr>
        <w:tc>
          <w:tcPr>
            <w:tcW w:w="3194" w:type="dxa"/>
            <w:tcBorders>
              <w:top w:val="single" w:sz="4" w:space="0" w:color="000000"/>
              <w:left w:val="single" w:sz="4" w:space="0" w:color="000000"/>
              <w:bottom w:val="nil" w:sz="6" w:space="0" w:color="auto"/>
              <w:right w:val="single" w:sz="4" w:space="0" w:color="000000"/>
            </w:tcBorders>
            <w:shd w:val="clear" w:color="auto" w:fill="D3D3D3"/>
          </w:tcPr>
          <w:p>
            <w:pPr/>
          </w:p>
        </w:tc>
        <w:tc>
          <w:tcPr>
            <w:tcW w:w="3323" w:type="dxa"/>
            <w:tcBorders>
              <w:top w:val="single" w:sz="4" w:space="0" w:color="000000"/>
              <w:left w:val="single" w:sz="4" w:space="0" w:color="000000"/>
              <w:bottom w:val="nil" w:sz="6" w:space="0" w:color="auto"/>
              <w:right w:val="single" w:sz="4" w:space="0" w:color="000000"/>
            </w:tcBorders>
          </w:tcPr>
          <w:p>
            <w:pPr/>
          </w:p>
        </w:tc>
        <w:tc>
          <w:tcPr>
            <w:tcW w:w="30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内部控制缺陷可能直接导致财产损失</w:t>
            </w:r>
          </w:p>
        </w:tc>
      </w:tr>
      <w:tr>
        <w:trPr>
          <w:trHeight w:val="316"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w:t>
            </w:r>
            <w:r>
              <w:rPr>
                <w:rFonts w:ascii="Times New Roman" w:hAnsi="Times New Roman" w:cs="Times New Roman" w:eastAsia="Times New Roman" w:hint="default"/>
                <w:sz w:val="18"/>
                <w:szCs w:val="18"/>
              </w:rPr>
              <w:t>,</w:t>
            </w:r>
            <w:r>
              <w:rPr>
                <w:rFonts w:ascii="宋体" w:hAnsi="宋体" w:cs="宋体" w:eastAsia="宋体" w:hint="default"/>
                <w:sz w:val="18"/>
                <w:szCs w:val="18"/>
              </w:rPr>
              <w:t>以直接财产损失金额指标衡量：如</w:t>
            </w:r>
          </w:p>
        </w:tc>
      </w:tr>
      <w:tr>
        <w:trPr>
          <w:trHeight w:val="307"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果该缺陷单独或连同其他缺陷可能导</w:t>
            </w:r>
          </w:p>
        </w:tc>
      </w:tr>
      <w:tr>
        <w:trPr>
          <w:trHeight w:val="313"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以营业收入、资产总额作为衡量指标。内</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致或导致的直接财产损失金额等于或</w:t>
            </w:r>
          </w:p>
        </w:tc>
      </w:tr>
      <w:tr>
        <w:trPr>
          <w:trHeight w:val="316"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部控制缺陷可能导致或导致的损失与利润</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大于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万元但小于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表相关的</w:t>
            </w:r>
            <w:r>
              <w:rPr>
                <w:rFonts w:ascii="Times New Roman" w:hAnsi="Times New Roman" w:cs="Times New Roman" w:eastAsia="Times New Roman" w:hint="default"/>
                <w:sz w:val="18"/>
                <w:szCs w:val="18"/>
              </w:rPr>
              <w:t>,</w:t>
            </w:r>
            <w:r>
              <w:rPr>
                <w:rFonts w:ascii="宋体" w:hAnsi="宋体" w:cs="宋体" w:eastAsia="宋体" w:hint="default"/>
                <w:sz w:val="18"/>
                <w:szCs w:val="18"/>
              </w:rPr>
              <w:t>以营业收入指标衡量。如果该缺</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直接财产损失金额等于或大</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陷单独或连同其他缺陷可能导致的财务报</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告错报金额小于营业收入的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则认定</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直接财产损失金额大于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为一般缺陷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但</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则认定为重大缺陷。内部控制缺</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如果超过营业</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陷可能产生重大负面影响的</w:t>
            </w:r>
            <w:r>
              <w:rPr>
                <w:rFonts w:ascii="Times New Roman" w:hAnsi="Times New Roman" w:cs="Times New Roman" w:eastAsia="Times New Roman" w:hint="default"/>
                <w:sz w:val="18"/>
                <w:szCs w:val="18"/>
              </w:rPr>
              <w:t>,</w:t>
            </w:r>
            <w:r>
              <w:rPr>
                <w:rFonts w:ascii="宋体" w:hAnsi="宋体" w:cs="宋体" w:eastAsia="宋体" w:hint="default"/>
                <w:sz w:val="18"/>
                <w:szCs w:val="18"/>
              </w:rPr>
              <w:t>以重大负</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则认定为重大缺陷。</w:t>
            </w:r>
            <w:r>
              <w:rPr>
                <w:rFonts w:ascii="宋体" w:hAnsi="宋体" w:cs="宋体" w:eastAsia="宋体" w:hint="default"/>
                <w:spacing w:val="-33"/>
                <w:sz w:val="18"/>
                <w:szCs w:val="18"/>
              </w:rPr>
              <w:t> </w:t>
            </w:r>
            <w:r>
              <w:rPr>
                <w:rFonts w:ascii="宋体" w:hAnsi="宋体" w:cs="宋体" w:eastAsia="宋体" w:hint="default"/>
                <w:sz w:val="18"/>
                <w:szCs w:val="18"/>
              </w:rPr>
              <w:t>内部控制</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pacing w:val="-4"/>
                <w:sz w:val="18"/>
                <w:szCs w:val="18"/>
              </w:rPr>
              <w:t>面影响指标衡量：如果该缺陷单独或连</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缺陷可能导致或导致的损失与资产管理相</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同其他缺陷可能导致受到省级</w:t>
            </w:r>
            <w:r>
              <w:rPr>
                <w:rFonts w:ascii="Times New Roman" w:hAnsi="Times New Roman" w:cs="Times New Roman" w:eastAsia="Times New Roman" w:hint="default"/>
                <w:sz w:val="18"/>
                <w:szCs w:val="18"/>
              </w:rPr>
              <w:t>(</w:t>
            </w:r>
            <w:r>
              <w:rPr>
                <w:rFonts w:ascii="宋体" w:hAnsi="宋体" w:cs="宋体" w:eastAsia="宋体" w:hint="default"/>
                <w:sz w:val="18"/>
                <w:szCs w:val="18"/>
              </w:rPr>
              <w:t>含省</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关的</w:t>
            </w:r>
            <w:r>
              <w:rPr>
                <w:rFonts w:ascii="Times New Roman" w:hAnsi="Times New Roman" w:cs="Times New Roman" w:eastAsia="Times New Roman" w:hint="default"/>
                <w:sz w:val="18"/>
                <w:szCs w:val="18"/>
              </w:rPr>
              <w:t>,</w:t>
            </w:r>
            <w:r>
              <w:rPr>
                <w:rFonts w:ascii="宋体" w:hAnsi="宋体" w:cs="宋体" w:eastAsia="宋体" w:hint="default"/>
                <w:sz w:val="18"/>
                <w:szCs w:val="18"/>
              </w:rPr>
              <w:t>以资产总额指标衡量。如果该缺陷单</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级</w:t>
            </w:r>
            <w:r>
              <w:rPr>
                <w:rFonts w:ascii="Times New Roman" w:hAnsi="Times New Roman" w:cs="Times New Roman" w:eastAsia="Times New Roman" w:hint="default"/>
                <w:sz w:val="18"/>
                <w:szCs w:val="18"/>
              </w:rPr>
              <w:t>)</w:t>
            </w:r>
            <w:r>
              <w:rPr>
                <w:rFonts w:ascii="宋体" w:hAnsi="宋体" w:cs="宋体" w:eastAsia="宋体" w:hint="default"/>
                <w:sz w:val="18"/>
                <w:szCs w:val="18"/>
              </w:rPr>
              <w:t>以下政府部门处罚但未对本公司定</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独或连同其他缺陷可能导致的财务报告错</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期报告披露造成负面影响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则认定为一</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报金额小于资产总额的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则认定为一</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受到省级以上政府部门或监管</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机构处罚但未对本公司定期报告披露</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如果超过资产总额</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受到</w:t>
            </w:r>
          </w:p>
        </w:tc>
      </w:tr>
      <w:tr>
        <w:trPr>
          <w:trHeight w:val="313"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则认定为重大缺陷。</w:t>
            </w: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省级以上政府部门或监管机构处罚已</w:t>
            </w:r>
          </w:p>
        </w:tc>
      </w:tr>
      <w:tr>
        <w:trPr>
          <w:trHeight w:val="306"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经对外正式披露并对本公司定期报告</w:t>
            </w:r>
          </w:p>
        </w:tc>
      </w:tr>
      <w:tr>
        <w:trPr>
          <w:trHeight w:val="318"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
        </w:tc>
        <w:tc>
          <w:tcPr>
            <w:tcW w:w="3323" w:type="dxa"/>
            <w:tcBorders>
              <w:top w:val="nil" w:sz="6" w:space="0" w:color="auto"/>
              <w:left w:val="single" w:sz="4" w:space="0" w:color="000000"/>
              <w:bottom w:val="nil" w:sz="6" w:space="0" w:color="auto"/>
              <w:right w:val="single" w:sz="4" w:space="0" w:color="000000"/>
            </w:tcBorders>
          </w:tcPr>
          <w:p>
            <w:pPr/>
          </w:p>
        </w:tc>
        <w:tc>
          <w:tcPr>
            <w:tcW w:w="3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披露造成负面影响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则认定为重大缺</w:t>
            </w:r>
          </w:p>
        </w:tc>
      </w:tr>
      <w:tr>
        <w:trPr>
          <w:trHeight w:val="352" w:hRule="exact"/>
        </w:trPr>
        <w:tc>
          <w:tcPr>
            <w:tcW w:w="3194" w:type="dxa"/>
            <w:tcBorders>
              <w:top w:val="nil" w:sz="6" w:space="0" w:color="auto"/>
              <w:left w:val="single" w:sz="4" w:space="0" w:color="000000"/>
              <w:bottom w:val="single" w:sz="4" w:space="0" w:color="000000"/>
              <w:right w:val="single" w:sz="4" w:space="0" w:color="000000"/>
            </w:tcBorders>
            <w:shd w:val="clear" w:color="auto" w:fill="D3D3D3"/>
          </w:tcPr>
          <w:p>
            <w:pPr/>
          </w:p>
        </w:tc>
        <w:tc>
          <w:tcPr>
            <w:tcW w:w="3323" w:type="dxa"/>
            <w:tcBorders>
              <w:top w:val="nil" w:sz="6" w:space="0" w:color="auto"/>
              <w:left w:val="single" w:sz="4" w:space="0" w:color="000000"/>
              <w:bottom w:val="single" w:sz="4" w:space="0" w:color="000000"/>
              <w:right w:val="single" w:sz="4" w:space="0" w:color="000000"/>
            </w:tcBorders>
          </w:tcPr>
          <w:p>
            <w:pPr/>
          </w:p>
        </w:tc>
        <w:tc>
          <w:tcPr>
            <w:tcW w:w="30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陷。</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2"/>
        <w:gridCol w:w="6906"/>
      </w:tblGrid>
      <w:tr>
        <w:trPr>
          <w:trHeight w:val="401"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4"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38"/>
              <w:jc w:val="left"/>
              <w:rPr>
                <w:rFonts w:ascii="宋体" w:hAnsi="宋体" w:cs="宋体" w:eastAsia="宋体" w:hint="default"/>
                <w:sz w:val="18"/>
                <w:szCs w:val="18"/>
              </w:rPr>
            </w:pPr>
            <w:r>
              <w:rPr>
                <w:rFonts w:ascii="宋体" w:hAnsi="宋体" w:cs="宋体" w:eastAsia="宋体" w:hint="default"/>
                <w:sz w:val="18"/>
                <w:szCs w:val="18"/>
              </w:rPr>
              <w:t>我们认为，贵公司按照财政部等五委颁发的《企业内控制基本规范》及相关定于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日在所有重大方面保 持了与财务报表相关的有效的内部控制</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巨潮资讯网《厦门安妮股份有限公司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年内部控制鉴证报告》</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标准无保留</w:t>
            </w:r>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3"/>
        <w:rPr>
          <w:rFonts w:ascii="宋体" w:hAnsi="宋体" w:cs="宋体" w:eastAsia="宋体" w:hint="default"/>
          <w:sz w:val="21"/>
          <w:szCs w:val="21"/>
        </w:rPr>
      </w:pPr>
    </w:p>
    <w:p>
      <w:pPr>
        <w:spacing w:before="44"/>
        <w:ind w:left="153" w:right="0"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40" w:lineRule="auto" w:before="116"/>
        <w:ind w:left="154" w:right="463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会计师事务所出具的内部控制鉴证报告与董事会的自我评价报告意见是否一致</w:t>
      </w:r>
    </w:p>
    <w:p>
      <w:pPr>
        <w:spacing w:before="4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3046" w:right="0"/>
        <w:jc w:val="left"/>
        <w:rPr>
          <w:b w:val="0"/>
          <w:bCs w:val="0"/>
        </w:rPr>
      </w:pPr>
      <w:bookmarkStart w:name="_TOC_250002" w:id="11"/>
      <w:r>
        <w:rPr/>
        <w:t>第十一节公司债券相关情况</w:t>
      </w:r>
      <w:bookmarkEnd w:id="11"/>
      <w:r>
        <w:rPr>
          <w:b w:val="0"/>
          <w:bCs w:val="0"/>
        </w:rPr>
      </w:r>
    </w:p>
    <w:p>
      <w:pPr>
        <w:spacing w:line="240" w:lineRule="auto" w:before="8"/>
        <w:rPr>
          <w:rFonts w:ascii="宋体" w:hAnsi="宋体" w:cs="宋体" w:eastAsia="宋体" w:hint="default"/>
          <w:b/>
          <w:bCs/>
          <w:sz w:val="42"/>
          <w:szCs w:val="42"/>
        </w:rPr>
      </w:pPr>
    </w:p>
    <w:p>
      <w:pPr>
        <w:spacing w:line="357" w:lineRule="auto" w:before="0"/>
        <w:ind w:left="153" w:right="2111"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3607" w:right="0"/>
        <w:jc w:val="left"/>
        <w:rPr>
          <w:b w:val="0"/>
          <w:bCs w:val="0"/>
        </w:rPr>
      </w:pPr>
      <w:bookmarkStart w:name="_TOC_250001" w:id="12"/>
      <w:r>
        <w:rPr/>
        <w:t>第十二节</w:t>
      </w:r>
      <w:r>
        <w:rPr>
          <w:spacing w:val="-7"/>
        </w:rPr>
        <w:t> </w:t>
      </w:r>
      <w:r>
        <w:rPr/>
        <w:t>财务报告</w:t>
      </w:r>
      <w:bookmarkEnd w:id="12"/>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4"/>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大信会计师事务所（特殊普通合伙）</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大信审字</w:t>
            </w:r>
            <w:r>
              <w:rPr>
                <w:rFonts w:ascii="Times New Roman" w:hAnsi="Times New Roman" w:cs="Times New Roman" w:eastAsia="Times New Roman" w:hint="default"/>
                <w:sz w:val="18"/>
                <w:szCs w:val="18"/>
              </w:rPr>
              <w:t>[2020]</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5-00142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陈菁佩、连伟</w:t>
            </w:r>
          </w:p>
        </w:tc>
      </w:tr>
    </w:tbl>
    <w:p>
      <w:pPr>
        <w:spacing w:line="240" w:lineRule="auto" w:before="5"/>
        <w:rPr>
          <w:rFonts w:ascii="宋体" w:hAnsi="宋体" w:cs="宋体" w:eastAsia="宋体" w:hint="default"/>
          <w:b/>
          <w:bCs/>
          <w:sz w:val="27"/>
          <w:szCs w:val="27"/>
        </w:rPr>
      </w:pPr>
    </w:p>
    <w:p>
      <w:pPr>
        <w:spacing w:before="44"/>
        <w:ind w:left="2633" w:right="3610"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8"/>
          <w:szCs w:val="18"/>
        </w:rPr>
      </w:pPr>
    </w:p>
    <w:p>
      <w:pPr>
        <w:spacing w:before="0"/>
        <w:ind w:left="2634" w:right="3610" w:firstLine="0"/>
        <w:jc w:val="center"/>
        <w:rPr>
          <w:rFonts w:ascii="宋体" w:hAnsi="宋体" w:cs="宋体" w:eastAsia="宋体" w:hint="default"/>
          <w:sz w:val="36"/>
          <w:szCs w:val="36"/>
        </w:rPr>
      </w:pPr>
      <w:r>
        <w:rPr>
          <w:rFonts w:ascii="宋体" w:hAnsi="宋体" w:cs="宋体" w:eastAsia="宋体" w:hint="default"/>
          <w:b/>
          <w:bCs/>
          <w:sz w:val="36"/>
          <w:szCs w:val="36"/>
        </w:rPr>
        <w:t>审计报告</w:t>
      </w:r>
      <w:r>
        <w:rPr>
          <w:rFonts w:ascii="宋体" w:hAnsi="宋体" w:cs="宋体" w:eastAsia="宋体" w:hint="default"/>
          <w:sz w:val="36"/>
          <w:szCs w:val="36"/>
        </w:rPr>
      </w:r>
    </w:p>
    <w:p>
      <w:pPr>
        <w:spacing w:line="240" w:lineRule="auto" w:before="0"/>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pgSz w:w="11910" w:h="16840"/>
          <w:pgMar w:header="877" w:footer="982" w:top="1100" w:bottom="1180" w:left="980" w:right="0"/>
        </w:sectPr>
      </w:pPr>
    </w:p>
    <w:p>
      <w:pPr>
        <w:spacing w:line="240" w:lineRule="auto" w:before="0"/>
        <w:rPr>
          <w:rFonts w:ascii="宋体" w:hAnsi="宋体" w:cs="宋体" w:eastAsia="宋体" w:hint="default"/>
          <w:b/>
          <w:bCs/>
          <w:sz w:val="24"/>
          <w:szCs w:val="24"/>
        </w:rPr>
      </w:pPr>
    </w:p>
    <w:p>
      <w:pPr>
        <w:spacing w:line="240" w:lineRule="auto" w:before="2"/>
        <w:rPr>
          <w:rFonts w:ascii="宋体" w:hAnsi="宋体" w:cs="宋体" w:eastAsia="宋体" w:hint="default"/>
          <w:b/>
          <w:bCs/>
          <w:sz w:val="22"/>
          <w:szCs w:val="22"/>
        </w:rPr>
      </w:pPr>
    </w:p>
    <w:p>
      <w:pPr>
        <w:pStyle w:val="Heading2"/>
        <w:spacing w:line="240" w:lineRule="auto"/>
        <w:ind w:right="0"/>
        <w:jc w:val="left"/>
        <w:rPr>
          <w:rFonts w:ascii="宋体" w:hAnsi="宋体" w:cs="宋体" w:eastAsia="宋体" w:hint="default"/>
          <w:b w:val="0"/>
          <w:bCs w:val="0"/>
          <w:sz w:val="21"/>
          <w:szCs w:val="21"/>
        </w:rPr>
      </w:pPr>
      <w:r>
        <w:rPr/>
        <w:t>厦门安妮股份有限公司全体股东：</w:t>
      </w:r>
      <w:r>
        <w:rPr>
          <w:rFonts w:ascii="宋体" w:hAnsi="宋体" w:cs="宋体" w:eastAsia="宋体" w:hint="default"/>
          <w:b w:val="0"/>
          <w:bCs w:val="0"/>
          <w:color w:val="0000FF"/>
          <w:sz w:val="21"/>
          <w:szCs w:val="21"/>
        </w:rPr>
        <w:t> </w:t>
      </w:r>
      <w:r>
        <w:rPr>
          <w:rFonts w:ascii="宋体" w:hAnsi="宋体" w:cs="宋体" w:eastAsia="宋体" w:hint="default"/>
          <w:b w:val="0"/>
          <w:bCs w:val="0"/>
          <w:sz w:val="21"/>
          <w:szCs w:val="21"/>
        </w:rPr>
      </w:r>
    </w:p>
    <w:p>
      <w:pPr>
        <w:spacing w:line="240" w:lineRule="auto" w:before="1"/>
        <w:rPr>
          <w:rFonts w:ascii="宋体" w:hAnsi="宋体" w:cs="宋体" w:eastAsia="宋体" w:hint="default"/>
          <w:sz w:val="23"/>
          <w:szCs w:val="23"/>
        </w:rPr>
      </w:pPr>
    </w:p>
    <w:p>
      <w:pPr>
        <w:pStyle w:val="Heading3"/>
        <w:spacing w:line="240" w:lineRule="auto"/>
        <w:ind w:left="634" w:right="0"/>
        <w:jc w:val="left"/>
      </w:pPr>
      <w:r>
        <w:rPr/>
        <w:t>一、审计意见</w:t>
      </w:r>
    </w:p>
    <w:p>
      <w:pPr>
        <w:pStyle w:val="BodyText"/>
        <w:spacing w:line="240" w:lineRule="auto" w:before="167"/>
        <w:ind w:left="153" w:right="0"/>
        <w:jc w:val="left"/>
      </w:pPr>
      <w:r>
        <w:rPr/>
        <w:br w:type="column"/>
      </w:r>
      <w:r>
        <w:rPr/>
        <w:t>大信审字</w:t>
      </w:r>
      <w:r>
        <w:rPr>
          <w:rFonts w:ascii="Times New Roman" w:hAnsi="Times New Roman" w:cs="Times New Roman" w:eastAsia="Times New Roman" w:hint="default"/>
        </w:rPr>
        <w:t>[2020]</w:t>
      </w:r>
      <w:r>
        <w:rPr/>
        <w:t>第</w:t>
      </w:r>
      <w:r>
        <w:rPr>
          <w:rFonts w:ascii="Times New Roman" w:hAnsi="Times New Roman" w:cs="Times New Roman" w:eastAsia="Times New Roman" w:hint="default"/>
        </w:rPr>
        <w:t>5-00142</w:t>
      </w:r>
      <w:r>
        <w:rPr/>
        <w:t>号</w:t>
      </w:r>
    </w:p>
    <w:p>
      <w:pPr>
        <w:spacing w:after="0" w:line="240" w:lineRule="auto"/>
        <w:jc w:val="left"/>
        <w:sectPr>
          <w:type w:val="continuous"/>
          <w:pgSz w:w="11910" w:h="16840"/>
          <w:pgMar w:top="1060" w:bottom="1180" w:left="980" w:right="0"/>
          <w:cols w:num="2" w:equalWidth="0">
            <w:col w:w="3874" w:space="3245"/>
            <w:col w:w="3811"/>
          </w:cols>
        </w:sectPr>
      </w:pPr>
    </w:p>
    <w:p>
      <w:pPr>
        <w:spacing w:line="240" w:lineRule="auto" w:before="11"/>
        <w:rPr>
          <w:rFonts w:ascii="宋体" w:hAnsi="宋体" w:cs="宋体" w:eastAsia="宋体" w:hint="default"/>
          <w:sz w:val="11"/>
          <w:szCs w:val="11"/>
        </w:rPr>
      </w:pPr>
    </w:p>
    <w:p>
      <w:pPr>
        <w:pStyle w:val="BodyText"/>
        <w:spacing w:line="400" w:lineRule="auto" w:before="35"/>
        <w:ind w:right="1129" w:firstLine="420"/>
        <w:jc w:val="both"/>
      </w:pPr>
      <w:r>
        <w:rPr/>
        <w:t>我们审计了厦门安妮股份有限公司（以下简称“贵公司”）的财务报表，包括</w:t>
      </w:r>
      <w:r>
        <w:rPr>
          <w:spacing w:val="-40"/>
        </w:rPr>
        <w:t> </w:t>
      </w:r>
      <w:r>
        <w:rPr/>
        <w:t>2019</w:t>
      </w:r>
      <w:r>
        <w:rPr>
          <w:spacing w:val="-40"/>
        </w:rPr>
        <w:t> </w:t>
      </w:r>
      <w:r>
        <w:rPr/>
        <w:t>年</w:t>
      </w:r>
      <w:r>
        <w:rPr>
          <w:spacing w:val="-40"/>
        </w:rPr>
        <w:t> </w:t>
      </w:r>
      <w:r>
        <w:rPr/>
        <w:t>12</w:t>
      </w:r>
      <w:r>
        <w:rPr>
          <w:spacing w:val="-40"/>
        </w:rPr>
        <w:t> </w:t>
      </w:r>
      <w:r>
        <w:rPr/>
        <w:t>月</w:t>
      </w:r>
      <w:r>
        <w:rPr>
          <w:spacing w:val="-40"/>
        </w:rPr>
        <w:t> </w:t>
      </w:r>
      <w:r>
        <w:rPr/>
        <w:t>31</w:t>
      </w:r>
      <w:r>
        <w:rPr>
          <w:spacing w:val="-40"/>
        </w:rPr>
        <w:t> </w:t>
      </w:r>
      <w:r>
        <w:rPr/>
        <w:t>日的</w:t>
      </w:r>
      <w:r>
        <w:rPr/>
        <w:t> </w:t>
      </w:r>
      <w:r>
        <w:rPr>
          <w:spacing w:val="-2"/>
        </w:rPr>
        <w:t>合并及母公司资产负债表，2019</w:t>
      </w:r>
      <w:r>
        <w:rPr>
          <w:spacing w:val="-40"/>
        </w:rPr>
        <w:t> </w:t>
      </w:r>
      <w:r>
        <w:rPr>
          <w:spacing w:val="-2"/>
        </w:rPr>
        <w:t>年度的合并及母公司利润表、合并及母公司现金流量表、合并及母公司股</w:t>
      </w:r>
      <w:r>
        <w:rPr>
          <w:spacing w:val="-102"/>
        </w:rPr>
        <w:t> </w:t>
      </w:r>
      <w:r>
        <w:rPr>
          <w:spacing w:val="-102"/>
        </w:rPr>
      </w:r>
      <w:r>
        <w:rPr/>
        <w:t>东权益变动表，以及财务报表附注。 </w:t>
      </w:r>
    </w:p>
    <w:p>
      <w:pPr>
        <w:pStyle w:val="BodyText"/>
        <w:spacing w:line="240" w:lineRule="auto" w:before="45"/>
        <w:ind w:left="574" w:right="0"/>
        <w:jc w:val="left"/>
      </w:pPr>
      <w:r>
        <w:rPr/>
        <w:t>我们认为，后附的财务报表在所有重大方面按照企业会计准则的规定编制，公允反映了贵公司</w:t>
      </w:r>
      <w:r>
        <w:rPr>
          <w:spacing w:val="68"/>
        </w:rPr>
        <w:t> </w:t>
      </w:r>
      <w:r>
        <w:rPr/>
        <w:t>2019</w:t>
      </w:r>
    </w:p>
    <w:p>
      <w:pPr>
        <w:spacing w:line="240" w:lineRule="auto" w:before="2"/>
        <w:rPr>
          <w:rFonts w:ascii="宋体" w:hAnsi="宋体" w:cs="宋体" w:eastAsia="宋体" w:hint="default"/>
          <w:sz w:val="14"/>
          <w:szCs w:val="14"/>
        </w:rPr>
      </w:pPr>
    </w:p>
    <w:p>
      <w:pPr>
        <w:pStyle w:val="BodyText"/>
        <w:spacing w:line="240" w:lineRule="auto" w:before="0"/>
        <w:ind w:right="0"/>
        <w:jc w:val="left"/>
      </w:pPr>
      <w:r>
        <w:rPr/>
        <w:t>年</w:t>
      </w:r>
      <w:r>
        <w:rPr>
          <w:spacing w:val="-60"/>
        </w:rPr>
        <w:t> </w:t>
      </w:r>
      <w:r>
        <w:rPr/>
        <w:t>12</w:t>
      </w:r>
      <w:r>
        <w:rPr>
          <w:spacing w:val="-59"/>
        </w:rPr>
        <w:t> </w:t>
      </w:r>
      <w:r>
        <w:rPr/>
        <w:t>月</w:t>
      </w:r>
      <w:r>
        <w:rPr>
          <w:spacing w:val="-60"/>
        </w:rPr>
        <w:t> </w:t>
      </w:r>
      <w:r>
        <w:rPr/>
        <w:t>31</w:t>
      </w:r>
      <w:r>
        <w:rPr>
          <w:spacing w:val="-60"/>
        </w:rPr>
        <w:t> </w:t>
      </w:r>
      <w:r>
        <w:rPr/>
        <w:t>日的合并及母公司财务状况以及</w:t>
      </w:r>
      <w:r>
        <w:rPr>
          <w:spacing w:val="-60"/>
        </w:rPr>
        <w:t> </w:t>
      </w:r>
      <w:r>
        <w:rPr/>
        <w:t>2019</w:t>
      </w:r>
      <w:r>
        <w:rPr>
          <w:spacing w:val="-59"/>
        </w:rPr>
        <w:t> </w:t>
      </w:r>
      <w:r>
        <w:rPr/>
        <w:t>年度的合并及母公司经营成果和现金流量。 </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3"/>
        <w:spacing w:line="240" w:lineRule="auto"/>
        <w:ind w:right="0"/>
        <w:jc w:val="left"/>
      </w:pPr>
      <w:r>
        <w:rPr/>
        <w:t>二、形成审计意见的基础</w:t>
      </w:r>
    </w:p>
    <w:p>
      <w:pPr>
        <w:pStyle w:val="BodyText"/>
        <w:spacing w:line="400" w:lineRule="auto" w:before="190"/>
        <w:ind w:right="1131" w:firstLine="420"/>
        <w:jc w:val="both"/>
      </w:pPr>
      <w:r>
        <w:rPr>
          <w:spacing w:val="-1"/>
        </w:rPr>
        <w:t>我们按照中国注册会计师审计准则的规定执行了审计工作。审计报告的“注册会计师对财务报表审计</w:t>
      </w:r>
      <w:r>
        <w:rPr/>
        <w:t> </w:t>
      </w:r>
      <w:r>
        <w:rPr>
          <w:spacing w:val="-1"/>
        </w:rPr>
        <w:t>的责任”部分进一步阐述了我们在这些准则下的责任。按照中国注册会计师职业道德守则，我们独立于贵</w:t>
      </w:r>
      <w:r>
        <w:rPr>
          <w:spacing w:val="-83"/>
        </w:rPr>
        <w:t> </w:t>
      </w:r>
      <w:r>
        <w:rPr>
          <w:spacing w:val="-83"/>
        </w:rPr>
      </w:r>
      <w:r>
        <w:rPr/>
        <w:t>公司，并履行了职业道德方面的其他责任。 </w:t>
      </w:r>
    </w:p>
    <w:p>
      <w:pPr>
        <w:pStyle w:val="BodyText"/>
        <w:spacing w:line="240" w:lineRule="auto" w:before="45"/>
        <w:ind w:left="574" w:right="0"/>
        <w:jc w:val="left"/>
      </w:pPr>
      <w:r>
        <w:rPr/>
        <w:t>我们相信，我们获取的审计证据是充分、适当的，为发表审计意见提供了基础。 </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3"/>
        <w:spacing w:line="240" w:lineRule="auto"/>
        <w:ind w:right="0"/>
        <w:jc w:val="left"/>
      </w:pPr>
      <w:r>
        <w:rPr/>
        <w:t>三、关键审计事项</w:t>
      </w:r>
    </w:p>
    <w:p>
      <w:pPr>
        <w:spacing w:after="0" w:line="240" w:lineRule="auto"/>
        <w:jc w:val="left"/>
        <w:sectPr>
          <w:type w:val="continuous"/>
          <w:pgSz w:w="11910" w:h="16840"/>
          <w:pgMar w:top="1060" w:bottom="1180" w:left="980" w:right="0"/>
        </w:sect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16"/>
          <w:szCs w:val="16"/>
        </w:rPr>
      </w:pPr>
    </w:p>
    <w:p>
      <w:pPr>
        <w:pStyle w:val="BodyText"/>
        <w:spacing w:line="400" w:lineRule="auto" w:before="0"/>
        <w:ind w:right="1131" w:firstLine="420"/>
        <w:jc w:val="both"/>
      </w:pPr>
      <w:r>
        <w:rPr>
          <w:spacing w:val="-1"/>
        </w:rPr>
        <w:t>关键审计事项是我们根据职业判断，认为对本期财务报表审计最为重要的事项。这些事项的应对以对</w:t>
      </w:r>
      <w:r>
        <w:rPr/>
        <w:t> 财务报表整体进行审计并形成审计意见为背景，我们不对这些事项单独发表意见。 </w:t>
      </w:r>
    </w:p>
    <w:p>
      <w:pPr>
        <w:pStyle w:val="BodyText"/>
        <w:spacing w:line="400" w:lineRule="auto" w:before="45"/>
        <w:ind w:left="574" w:right="7870"/>
        <w:jc w:val="left"/>
      </w:pPr>
      <w:r>
        <w:rPr/>
        <w:t>（一）商誉减值 1、事件描述 </w:t>
      </w:r>
    </w:p>
    <w:p>
      <w:pPr>
        <w:pStyle w:val="BodyText"/>
        <w:spacing w:line="240" w:lineRule="auto" w:before="44"/>
        <w:ind w:left="574" w:right="0"/>
        <w:jc w:val="left"/>
      </w:pPr>
      <w:r>
        <w:rPr/>
        <w:t>如财务报表附注五、（十五）条所述，截至</w:t>
      </w:r>
      <w:r>
        <w:rPr>
          <w:spacing w:val="-40"/>
        </w:rPr>
        <w:t> </w:t>
      </w:r>
      <w:r>
        <w:rPr/>
        <w:t>2019</w:t>
      </w:r>
      <w:r>
        <w:rPr>
          <w:spacing w:val="-40"/>
        </w:rPr>
        <w:t> </w:t>
      </w:r>
      <w:r>
        <w:rPr/>
        <w:t>年</w:t>
      </w:r>
      <w:r>
        <w:rPr>
          <w:spacing w:val="-40"/>
        </w:rPr>
        <w:t> </w:t>
      </w:r>
      <w:r>
        <w:rPr/>
        <w:t>12</w:t>
      </w:r>
      <w:r>
        <w:rPr>
          <w:spacing w:val="-40"/>
        </w:rPr>
        <w:t> </w:t>
      </w:r>
      <w:r>
        <w:rPr/>
        <w:t>月</w:t>
      </w:r>
      <w:r>
        <w:rPr>
          <w:spacing w:val="-40"/>
        </w:rPr>
        <w:t> </w:t>
      </w:r>
      <w:r>
        <w:rPr/>
        <w:t>31</w:t>
      </w:r>
      <w:r>
        <w:rPr>
          <w:spacing w:val="-40"/>
        </w:rPr>
        <w:t> </w:t>
      </w:r>
      <w:r>
        <w:rPr/>
        <w:t>日，贵公司合并财务报表中商誉的账面</w:t>
      </w:r>
    </w:p>
    <w:p>
      <w:pPr>
        <w:spacing w:line="240" w:lineRule="auto" w:before="3"/>
        <w:rPr>
          <w:rFonts w:ascii="宋体" w:hAnsi="宋体" w:cs="宋体" w:eastAsia="宋体" w:hint="default"/>
          <w:sz w:val="14"/>
          <w:szCs w:val="14"/>
        </w:rPr>
      </w:pPr>
    </w:p>
    <w:p>
      <w:pPr>
        <w:pStyle w:val="BodyText"/>
        <w:spacing w:line="400" w:lineRule="auto" w:before="0"/>
        <w:ind w:left="153" w:right="1121"/>
        <w:jc w:val="left"/>
      </w:pPr>
      <w:r>
        <w:rPr/>
        <w:t>原值为</w:t>
      </w:r>
      <w:r>
        <w:rPr>
          <w:spacing w:val="-27"/>
        </w:rPr>
        <w:t> </w:t>
      </w:r>
      <w:r>
        <w:rPr/>
        <w:t>1,134,291,406.24</w:t>
      </w:r>
      <w:r>
        <w:rPr>
          <w:spacing w:val="-27"/>
        </w:rPr>
        <w:t> </w:t>
      </w:r>
      <w:r>
        <w:rPr/>
        <w:t>元，商誉减值准备为</w:t>
      </w:r>
      <w:r>
        <w:rPr>
          <w:spacing w:val="-27"/>
        </w:rPr>
        <w:t> </w:t>
      </w:r>
      <w:r>
        <w:rPr/>
        <w:t>611,245,932.67</w:t>
      </w:r>
      <w:r>
        <w:rPr>
          <w:spacing w:val="-27"/>
        </w:rPr>
        <w:t> </w:t>
      </w:r>
      <w:r>
        <w:rPr/>
        <w:t>元，商誉的账面价值为</w:t>
      </w:r>
      <w:r>
        <w:rPr>
          <w:spacing w:val="-27"/>
        </w:rPr>
        <w:t> </w:t>
      </w:r>
      <w:r>
        <w:rPr/>
        <w:t>523,045,473.57</w:t>
      </w:r>
      <w:r>
        <w:rPr/>
        <w:t> 元，账面价值较高占合并财务报表资产总额的</w:t>
      </w:r>
      <w:r>
        <w:rPr>
          <w:spacing w:val="-55"/>
        </w:rPr>
        <w:t> </w:t>
      </w:r>
      <w:r>
        <w:rPr/>
        <w:t>23.19%。 </w:t>
      </w:r>
    </w:p>
    <w:p>
      <w:pPr>
        <w:pStyle w:val="BodyText"/>
        <w:spacing w:line="400" w:lineRule="auto" w:before="44"/>
        <w:ind w:left="153" w:right="1130" w:firstLine="420"/>
        <w:jc w:val="both"/>
      </w:pPr>
      <w:r>
        <w:rPr>
          <w:spacing w:val="-1"/>
        </w:rPr>
        <w:t>在财务报表中单独列示的商誉，无论是否存在减值迹象，至少每年进行减值测试。减值测试时，商誉</w:t>
      </w:r>
      <w:r>
        <w:rPr/>
        <w:t> </w:t>
      </w:r>
      <w:r>
        <w:rPr>
          <w:spacing w:val="-1"/>
        </w:rPr>
        <w:t>的账面价值分摊至预期从企业合并的协同效应中受益的资产组或资产组组合。测试结果表明包含分摊的商</w:t>
      </w:r>
      <w:r>
        <w:rPr>
          <w:spacing w:val="-81"/>
        </w:rPr>
        <w:t> </w:t>
      </w:r>
      <w:r>
        <w:rPr>
          <w:spacing w:val="-81"/>
        </w:rPr>
      </w:r>
      <w:r>
        <w:rPr/>
        <w:t>誉的资产组或资产组组合的可收回金额低于其账面价值的，确认相应的减值损失。 </w:t>
      </w:r>
    </w:p>
    <w:p>
      <w:pPr>
        <w:pStyle w:val="BodyText"/>
        <w:spacing w:line="400" w:lineRule="auto" w:before="44"/>
        <w:ind w:left="153" w:right="1130" w:firstLine="420"/>
        <w:jc w:val="both"/>
      </w:pPr>
      <w:r>
        <w:rPr>
          <w:spacing w:val="-1"/>
        </w:rPr>
        <w:t>由于商誉减值测试的结果很大程度上依赖于管理层所做的估计和采用的假设，该等假设及估计均存在</w:t>
      </w:r>
      <w:r>
        <w:rPr/>
        <w:t> </w:t>
      </w:r>
      <w:r>
        <w:rPr>
          <w:spacing w:val="-1"/>
        </w:rPr>
        <w:t>重大不确定性，受管理层对未来市场以及对经济环境判断的影响，采用不同的估计和假设会对评估的商誉</w:t>
      </w:r>
      <w:r>
        <w:rPr>
          <w:spacing w:val="-81"/>
        </w:rPr>
        <w:t> </w:t>
      </w:r>
      <w:r>
        <w:rPr>
          <w:spacing w:val="-81"/>
        </w:rPr>
      </w:r>
      <w:r>
        <w:rPr>
          <w:spacing w:val="-1"/>
        </w:rPr>
        <w:t>可收回价值有很大的影响。由于商誉金额重大，且管理层需要作出重大判断，因此我们将商誉的减值识别</w:t>
      </w:r>
      <w:r>
        <w:rPr>
          <w:spacing w:val="-83"/>
        </w:rPr>
        <w:t> </w:t>
      </w:r>
      <w:r>
        <w:rPr>
          <w:spacing w:val="-83"/>
        </w:rPr>
      </w:r>
      <w:r>
        <w:rPr/>
        <w:t>为关键审计事项。 </w:t>
      </w:r>
    </w:p>
    <w:p>
      <w:pPr>
        <w:pStyle w:val="BodyText"/>
        <w:spacing w:line="400" w:lineRule="auto" w:before="45"/>
        <w:ind w:left="573" w:right="5530"/>
        <w:jc w:val="left"/>
      </w:pPr>
      <w:r>
        <w:rPr/>
        <w:t>2、审计应对 我们针对商誉的减值执行的主要审计程序包括： </w:t>
      </w:r>
    </w:p>
    <w:p>
      <w:pPr>
        <w:pStyle w:val="BodyText"/>
        <w:spacing w:line="240" w:lineRule="auto" w:before="44"/>
        <w:ind w:left="573" w:right="0"/>
        <w:jc w:val="left"/>
      </w:pPr>
      <w:r>
        <w:rPr/>
        <w:t>（1）我们对贵公司与商誉评估相关的内部控制的设计及运行有效性进行了解、评估及测试； </w:t>
      </w:r>
    </w:p>
    <w:p>
      <w:pPr>
        <w:spacing w:line="240" w:lineRule="auto" w:before="3"/>
        <w:rPr>
          <w:rFonts w:ascii="宋体" w:hAnsi="宋体" w:cs="宋体" w:eastAsia="宋体" w:hint="default"/>
          <w:sz w:val="14"/>
          <w:szCs w:val="14"/>
        </w:rPr>
      </w:pPr>
    </w:p>
    <w:p>
      <w:pPr>
        <w:pStyle w:val="BodyText"/>
        <w:spacing w:line="400" w:lineRule="auto" w:before="0"/>
        <w:ind w:left="153" w:right="1127" w:firstLine="420"/>
        <w:jc w:val="both"/>
      </w:pPr>
      <w:r>
        <w:rPr/>
        <w:t>（2）我们与贵公司管理层讨论商誉减值测试过程中所使用的方法、关键评估的假设、参数的选择、</w:t>
      </w:r>
      <w:r>
        <w:rPr>
          <w:spacing w:val="2"/>
        </w:rPr>
        <w:t> </w:t>
      </w:r>
      <w:r>
        <w:rPr/>
        <w:t>预测未来收入及现金流折现率等的合理性，项目组内部讨论并实施独立复核程序； </w:t>
      </w:r>
    </w:p>
    <w:p>
      <w:pPr>
        <w:pStyle w:val="BodyText"/>
        <w:spacing w:line="403" w:lineRule="auto" w:before="44"/>
        <w:ind w:left="153" w:right="1127" w:firstLine="420"/>
        <w:jc w:val="both"/>
      </w:pPr>
      <w:r>
        <w:rPr/>
        <w:t>（3）评价管理层对商誉所在资产组或资产组组合的认定依据，比较与收购时点资产组的认定是否一</w:t>
      </w:r>
      <w:r>
        <w:rPr>
          <w:spacing w:val="2"/>
        </w:rPr>
        <w:t> </w:t>
      </w:r>
      <w:r>
        <w:rPr/>
        <w:t>致； </w:t>
      </w:r>
    </w:p>
    <w:p>
      <w:pPr>
        <w:pStyle w:val="BodyText"/>
        <w:spacing w:line="400" w:lineRule="auto" w:before="42"/>
        <w:ind w:left="153" w:right="1022" w:firstLine="420"/>
        <w:jc w:val="left"/>
      </w:pPr>
      <w:r>
        <w:rPr/>
        <w:t>（4）我们复核评估公司出具的关于贵公司相关标的公司以商誉减值测试为目的的评估报告，特别是</w:t>
      </w:r>
      <w:r>
        <w:rPr>
          <w:spacing w:val="2"/>
        </w:rPr>
        <w:t> </w:t>
      </w:r>
      <w:r>
        <w:rPr>
          <w:spacing w:val="-3"/>
        </w:rPr>
        <w:t>关键参数的选取方法和依据的合理性；评价由贵公司管理层聘请的外部评估机构的独立性、客观性、经验、</w:t>
      </w:r>
      <w:r>
        <w:rPr>
          <w:spacing w:val="-90"/>
        </w:rPr>
        <w:t> </w:t>
      </w:r>
      <w:r>
        <w:rPr>
          <w:spacing w:val="-90"/>
        </w:rPr>
      </w:r>
      <w:r>
        <w:rPr/>
        <w:t>资质及专业胜任能力； </w:t>
      </w:r>
    </w:p>
    <w:p>
      <w:pPr>
        <w:pStyle w:val="BodyText"/>
        <w:spacing w:line="400" w:lineRule="auto" w:before="44"/>
        <w:ind w:left="153" w:right="1127" w:firstLine="420"/>
        <w:jc w:val="both"/>
      </w:pPr>
      <w:r>
        <w:rPr/>
        <w:t>（5）我们评价估值方法及估值模型中采用的关键假设；审慎评价估值模型中的预算收入、资本性投</w:t>
      </w:r>
      <w:r>
        <w:rPr>
          <w:spacing w:val="2"/>
        </w:rPr>
        <w:t> </w:t>
      </w:r>
      <w:r>
        <w:rPr/>
        <w:t>入、营运资金追加额、永续期增长率和利润率以及采用的折现率等关键参数输入值的合理性； </w:t>
      </w:r>
    </w:p>
    <w:p>
      <w:pPr>
        <w:pStyle w:val="BodyText"/>
        <w:spacing w:line="400" w:lineRule="auto" w:before="45"/>
        <w:ind w:left="153" w:right="1127" w:firstLine="420"/>
        <w:jc w:val="both"/>
      </w:pPr>
      <w:r>
        <w:rPr/>
        <w:t>（6）我们通过实施相关程序对管理层商誉减值测试的关键假设进行了评估：包括将现金流量增长率</w:t>
      </w:r>
      <w:r>
        <w:rPr>
          <w:spacing w:val="2"/>
        </w:rPr>
        <w:t> </w:t>
      </w:r>
      <w:r>
        <w:rPr>
          <w:spacing w:val="-1"/>
        </w:rPr>
        <w:t>与历史现金流量增长率以及行业历史数据进行比较，将毛利率与以往业绩进行比较，并考虑市场趋势，复</w:t>
      </w:r>
      <w:r>
        <w:rPr>
          <w:spacing w:val="-83"/>
        </w:rPr>
        <w:t> </w:t>
      </w:r>
      <w:r>
        <w:rPr>
          <w:spacing w:val="-83"/>
        </w:rPr>
      </w:r>
      <w:r>
        <w:rPr/>
        <w:t>核现金流量预测水平和所采用折现率的合理性等； </w:t>
      </w:r>
    </w:p>
    <w:p>
      <w:pPr>
        <w:pStyle w:val="BodyText"/>
        <w:spacing w:line="240" w:lineRule="auto" w:before="45"/>
        <w:ind w:left="573" w:right="0"/>
        <w:jc w:val="left"/>
      </w:pPr>
      <w:r>
        <w:rPr/>
        <w:t>（7）复核商誉减值测试计算过程，评价商誉减值测试的影响； </w:t>
      </w:r>
    </w:p>
    <w:p>
      <w:pPr>
        <w:spacing w:after="0" w:line="240" w:lineRule="auto"/>
        <w:jc w:val="left"/>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240" w:lineRule="auto" w:before="0"/>
        <w:ind w:left="574" w:right="0"/>
        <w:jc w:val="left"/>
      </w:pPr>
      <w:r>
        <w:rPr/>
        <w:t>（8）评估贵公司管理层对商誉及其减值估计结果、财务报表的披露是否恰当。 </w:t>
      </w:r>
    </w:p>
    <w:p>
      <w:pPr>
        <w:spacing w:line="240" w:lineRule="auto" w:before="2"/>
        <w:rPr>
          <w:rFonts w:ascii="宋体" w:hAnsi="宋体" w:cs="宋体" w:eastAsia="宋体" w:hint="default"/>
          <w:sz w:val="14"/>
          <w:szCs w:val="14"/>
        </w:rPr>
      </w:pPr>
    </w:p>
    <w:p>
      <w:pPr>
        <w:pStyle w:val="BodyText"/>
        <w:spacing w:line="403" w:lineRule="auto" w:before="0"/>
        <w:ind w:left="574" w:right="6790"/>
        <w:jc w:val="left"/>
      </w:pPr>
      <w:r>
        <w:rPr/>
        <w:t>（二）销售收入的真实性和截止性 1、事件描述 </w:t>
      </w:r>
    </w:p>
    <w:p>
      <w:pPr>
        <w:pStyle w:val="BodyText"/>
        <w:spacing w:line="384" w:lineRule="auto" w:before="36"/>
        <w:ind w:right="1131" w:firstLine="420"/>
        <w:jc w:val="both"/>
      </w:pPr>
      <w:r>
        <w:rPr>
          <w:spacing w:val="-1"/>
        </w:rPr>
        <w:t>基于畅元国讯收入确认分类类型较多，且收入确认较与传统行业存在较大区别，且畅元的收入及利润</w:t>
      </w:r>
      <w:r>
        <w:rPr/>
        <w:t> </w:t>
      </w:r>
      <w:r>
        <w:rPr>
          <w:spacing w:val="-1"/>
        </w:rPr>
        <w:t>构成关键业绩指标，其业务受大环境影响较深，故本次项目组将其确认为关键审计事项；我们将安妮股份</w:t>
      </w:r>
      <w:r>
        <w:rPr>
          <w:spacing w:val="-83"/>
        </w:rPr>
        <w:t> </w:t>
      </w:r>
      <w:r>
        <w:rPr>
          <w:spacing w:val="-83"/>
        </w:rPr>
      </w:r>
      <w:r>
        <w:rPr/>
        <w:t>控股子公司畅元国讯的销售收入的真实性和截止性识别为关键审计事项。</w:t>
      </w:r>
    </w:p>
    <w:p>
      <w:pPr>
        <w:pStyle w:val="BodyText"/>
        <w:spacing w:line="420" w:lineRule="auto" w:before="79"/>
        <w:ind w:left="573" w:right="4311"/>
        <w:jc w:val="left"/>
      </w:pPr>
      <w:r>
        <w:rPr/>
        <w:t>2、审计应对 审计项目组就销售收入的真实性和截止性实施的审计程序包括： </w:t>
      </w:r>
    </w:p>
    <w:p>
      <w:pPr>
        <w:pStyle w:val="BodyText"/>
        <w:spacing w:line="240" w:lineRule="auto" w:before="47"/>
        <w:ind w:left="573" w:right="0"/>
        <w:jc w:val="left"/>
      </w:pPr>
      <w:r>
        <w:rPr/>
        <w:t>（1）了解畅元国讯与销售收款相关的内部控制制度，测试其设计是否合理，运行是否有效； </w:t>
      </w:r>
    </w:p>
    <w:p>
      <w:pPr>
        <w:spacing w:line="240" w:lineRule="auto" w:before="8"/>
        <w:rPr>
          <w:rFonts w:ascii="宋体" w:hAnsi="宋体" w:cs="宋体" w:eastAsia="宋体" w:hint="default"/>
          <w:sz w:val="15"/>
          <w:szCs w:val="15"/>
        </w:rPr>
      </w:pPr>
    </w:p>
    <w:p>
      <w:pPr>
        <w:pStyle w:val="BodyText"/>
        <w:spacing w:line="384" w:lineRule="auto" w:before="0"/>
        <w:ind w:left="153" w:right="1127" w:firstLine="420"/>
        <w:jc w:val="both"/>
      </w:pPr>
      <w:r>
        <w:rPr/>
        <w:t>（2）检查公司与合同订立相关的内控流程，核实合同签订流程的合规性、有效性，合同订立相关人</w:t>
      </w:r>
      <w:r>
        <w:rPr>
          <w:spacing w:val="2"/>
        </w:rPr>
        <w:t> </w:t>
      </w:r>
      <w:r>
        <w:rPr/>
        <w:t>员签字审批的合规性； </w:t>
      </w:r>
    </w:p>
    <w:p>
      <w:pPr>
        <w:pStyle w:val="BodyText"/>
        <w:spacing w:line="386" w:lineRule="auto" w:before="78"/>
        <w:ind w:left="153" w:right="1127" w:firstLine="420"/>
        <w:jc w:val="both"/>
      </w:pPr>
      <w:r>
        <w:rPr/>
        <w:t>（3）检查与收入相关的支持性文件，包括销售合同、版权采购确认函、版权销售接收确认函、签收</w:t>
      </w:r>
      <w:r>
        <w:rPr>
          <w:spacing w:val="2"/>
        </w:rPr>
        <w:t> </w:t>
      </w:r>
      <w:r>
        <w:rPr/>
        <w:t>验收单、销售发票、结算单等，评价收入确认的真实性； </w:t>
      </w:r>
    </w:p>
    <w:p>
      <w:pPr>
        <w:pStyle w:val="BodyText"/>
        <w:spacing w:line="386" w:lineRule="auto" w:before="76"/>
        <w:ind w:left="153" w:right="1127" w:firstLine="420"/>
        <w:jc w:val="both"/>
      </w:pPr>
      <w:r>
        <w:rPr/>
        <w:t>（4）实地和视频访谈重要客户，询问与畅元国讯的合作情况，并从客户处获取业务运营数据等外部</w:t>
      </w:r>
      <w:r>
        <w:rPr>
          <w:spacing w:val="2"/>
        </w:rPr>
        <w:t> </w:t>
      </w:r>
      <w:r>
        <w:rPr/>
        <w:t>证据确认交易的真实性； </w:t>
      </w:r>
    </w:p>
    <w:p>
      <w:pPr>
        <w:pStyle w:val="BodyText"/>
        <w:spacing w:line="384" w:lineRule="auto" w:before="76"/>
        <w:ind w:left="153" w:right="1127" w:firstLine="420"/>
        <w:jc w:val="both"/>
      </w:pPr>
      <w:r>
        <w:rPr/>
        <w:t>（5）查阅与客户相关的销售合同、对方征信系统、对方工商信息、经营范围，排查关联交易情况及</w:t>
      </w:r>
      <w:r>
        <w:rPr>
          <w:spacing w:val="2"/>
        </w:rPr>
        <w:t> </w:t>
      </w:r>
      <w:r>
        <w:rPr/>
        <w:t>评价交易对手的实力，从侧面评价交易的合理性； </w:t>
      </w:r>
    </w:p>
    <w:p>
      <w:pPr>
        <w:pStyle w:val="BodyText"/>
        <w:spacing w:line="240" w:lineRule="auto" w:before="79"/>
        <w:ind w:left="573" w:right="0"/>
        <w:jc w:val="left"/>
      </w:pPr>
      <w:r>
        <w:rPr/>
        <w:t>（6）对客户销售情况实施独立的函证程序； </w:t>
      </w:r>
    </w:p>
    <w:p>
      <w:pPr>
        <w:spacing w:line="240" w:lineRule="auto" w:before="8"/>
        <w:rPr>
          <w:rFonts w:ascii="宋体" w:hAnsi="宋体" w:cs="宋体" w:eastAsia="宋体" w:hint="default"/>
          <w:sz w:val="15"/>
          <w:szCs w:val="15"/>
        </w:rPr>
      </w:pPr>
    </w:p>
    <w:p>
      <w:pPr>
        <w:pStyle w:val="BodyText"/>
        <w:spacing w:line="386" w:lineRule="auto" w:before="0"/>
        <w:ind w:left="153" w:right="1127" w:firstLine="420"/>
        <w:jc w:val="both"/>
      </w:pPr>
      <w:r>
        <w:rPr/>
        <w:t>（7）检查销售客户的回款情况，并对期后回款情况执行核查程序，并关注收入是否被计入恰当的会</w:t>
      </w:r>
      <w:r>
        <w:rPr>
          <w:spacing w:val="2"/>
        </w:rPr>
        <w:t> </w:t>
      </w:r>
      <w:r>
        <w:rPr/>
        <w:t>计期间。 </w:t>
      </w:r>
    </w:p>
    <w:p>
      <w:pPr>
        <w:pStyle w:val="BodyText"/>
        <w:spacing w:line="420" w:lineRule="auto" w:before="77"/>
        <w:ind w:left="573" w:right="8231"/>
        <w:jc w:val="left"/>
      </w:pPr>
      <w:r>
        <w:rPr/>
        <w:t>（三）应收账款的减值 1.事件描述 </w:t>
      </w:r>
    </w:p>
    <w:p>
      <w:pPr>
        <w:pStyle w:val="BodyText"/>
        <w:spacing w:line="240" w:lineRule="auto"/>
        <w:ind w:left="573" w:right="0"/>
        <w:jc w:val="left"/>
      </w:pPr>
      <w:r>
        <w:rPr/>
        <w:t>如财务报表附注五</w:t>
      </w:r>
      <w:r>
        <w:rPr>
          <w:spacing w:val="-111"/>
        </w:rPr>
        <w:t>、</w:t>
      </w:r>
      <w:r>
        <w:rPr/>
        <w:t>（四</w:t>
      </w:r>
      <w:r>
        <w:rPr>
          <w:spacing w:val="-6"/>
        </w:rPr>
        <w:t>）</w:t>
      </w:r>
      <w:r>
        <w:rPr/>
        <w:t>所述</w:t>
      </w:r>
      <w:r>
        <w:rPr>
          <w:spacing w:val="-6"/>
        </w:rPr>
        <w:t>，</w:t>
      </w:r>
      <w:r>
        <w:rPr>
          <w:spacing w:val="1"/>
        </w:rPr>
        <w:t>截</w:t>
      </w:r>
      <w:r>
        <w:rPr/>
        <w:t>至</w:t>
      </w:r>
      <w:r>
        <w:rPr>
          <w:spacing w:val="-53"/>
        </w:rPr>
        <w:t> </w:t>
      </w:r>
      <w:r>
        <w:rPr/>
        <w:t>2019</w:t>
      </w:r>
      <w:r>
        <w:rPr>
          <w:spacing w:val="-52"/>
        </w:rPr>
        <w:t> </w:t>
      </w:r>
      <w:r>
        <w:rPr/>
        <w:t>年</w:t>
      </w:r>
      <w:r>
        <w:rPr>
          <w:spacing w:val="-53"/>
        </w:rPr>
        <w:t> </w:t>
      </w:r>
      <w:r>
        <w:rPr>
          <w:spacing w:val="-1"/>
        </w:rPr>
        <w:t>1</w:t>
      </w:r>
      <w:r>
        <w:rPr/>
        <w:t>2</w:t>
      </w:r>
      <w:r>
        <w:rPr>
          <w:spacing w:val="-52"/>
        </w:rPr>
        <w:t> </w:t>
      </w:r>
      <w:r>
        <w:rPr/>
        <w:t>月</w:t>
      </w:r>
      <w:r>
        <w:rPr>
          <w:spacing w:val="-54"/>
        </w:rPr>
        <w:t> </w:t>
      </w:r>
      <w:r>
        <w:rPr/>
        <w:t>31</w:t>
      </w:r>
      <w:r>
        <w:rPr>
          <w:spacing w:val="-52"/>
        </w:rPr>
        <w:t> </w:t>
      </w:r>
      <w:r>
        <w:rPr/>
        <w:t>日</w:t>
      </w:r>
      <w:r>
        <w:rPr>
          <w:spacing w:val="-8"/>
        </w:rPr>
        <w:t>，</w:t>
      </w:r>
      <w:r>
        <w:rPr/>
        <w:t>公司合并财务报表中应收账款账面余额为</w:t>
      </w:r>
    </w:p>
    <w:p>
      <w:pPr>
        <w:pStyle w:val="BodyText"/>
        <w:spacing w:line="384" w:lineRule="auto" w:before="165"/>
        <w:ind w:right="1028"/>
        <w:jc w:val="left"/>
      </w:pPr>
      <w:r>
        <w:rPr/>
        <w:t>人民币</w:t>
      </w:r>
      <w:r>
        <w:rPr>
          <w:spacing w:val="-24"/>
        </w:rPr>
        <w:t> </w:t>
      </w:r>
      <w:r>
        <w:rPr/>
        <w:t>300,198,175.52</w:t>
      </w:r>
      <w:r>
        <w:rPr>
          <w:spacing w:val="-25"/>
        </w:rPr>
        <w:t> </w:t>
      </w:r>
      <w:r>
        <w:rPr/>
        <w:t>元，坏账准备</w:t>
      </w:r>
      <w:r>
        <w:rPr>
          <w:spacing w:val="-25"/>
        </w:rPr>
        <w:t> </w:t>
      </w:r>
      <w:r>
        <w:rPr/>
        <w:t>34,651,076.42</w:t>
      </w:r>
      <w:r>
        <w:rPr>
          <w:spacing w:val="-24"/>
        </w:rPr>
        <w:t> </w:t>
      </w:r>
      <w:r>
        <w:rPr/>
        <w:t>元，账面价值</w:t>
      </w:r>
      <w:r>
        <w:rPr>
          <w:spacing w:val="-25"/>
        </w:rPr>
        <w:t> </w:t>
      </w:r>
      <w:r>
        <w:rPr/>
        <w:t>265,547,099.10</w:t>
      </w:r>
      <w:r>
        <w:rPr>
          <w:spacing w:val="-24"/>
        </w:rPr>
        <w:t> </w:t>
      </w:r>
      <w:r>
        <w:rPr/>
        <w:t>元，占资产总额的</w:t>
      </w:r>
      <w:r>
        <w:rPr>
          <w:spacing w:val="1"/>
        </w:rPr>
        <w:t> </w:t>
      </w:r>
      <w:r>
        <w:rPr/>
        <w:t>11.77%。 </w:t>
      </w:r>
    </w:p>
    <w:p>
      <w:pPr>
        <w:pStyle w:val="BodyText"/>
        <w:spacing w:line="384" w:lineRule="auto" w:before="78"/>
        <w:ind w:right="1128" w:firstLine="420"/>
        <w:jc w:val="both"/>
      </w:pPr>
      <w:r>
        <w:rPr>
          <w:spacing w:val="4"/>
        </w:rPr>
        <w:t>公司自 </w:t>
      </w:r>
      <w:r>
        <w:rPr/>
        <w:t>2019 </w:t>
      </w:r>
      <w:r>
        <w:rPr>
          <w:spacing w:val="3"/>
        </w:rPr>
        <w:t>年 </w:t>
      </w:r>
      <w:r>
        <w:rPr/>
        <w:t>1 </w:t>
      </w:r>
      <w:r>
        <w:rPr>
          <w:spacing w:val="3"/>
        </w:rPr>
        <w:t>月 </w:t>
      </w:r>
      <w:r>
        <w:rPr/>
        <w:t>1 </w:t>
      </w:r>
      <w:r>
        <w:rPr>
          <w:spacing w:val="3"/>
        </w:rPr>
        <w:t>日起执行财政部修订后的《企业会计准则第 </w:t>
      </w:r>
      <w:r>
        <w:rPr/>
        <w:t>22</w:t>
      </w:r>
      <w:r>
        <w:rPr>
          <w:spacing w:val="29"/>
        </w:rPr>
        <w:t> </w:t>
      </w:r>
      <w:r>
        <w:rPr>
          <w:spacing w:val="3"/>
        </w:rPr>
        <w:t>号——金融工具确认和计</w:t>
      </w:r>
      <w:r>
        <w:rPr/>
        <w:t> </w:t>
      </w:r>
      <w:r>
        <w:rPr>
          <w:spacing w:val="-20"/>
        </w:rPr>
        <w:t>量》、《企业会计准则第</w:t>
      </w:r>
      <w:r>
        <w:rPr/>
        <w:t> 23 </w:t>
      </w:r>
      <w:r>
        <w:rPr>
          <w:spacing w:val="-12"/>
        </w:rPr>
        <w:t>号——金融资产转移》、《企业会计准则第</w:t>
      </w:r>
      <w:r>
        <w:rPr/>
        <w:t> 24</w:t>
      </w:r>
      <w:r>
        <w:rPr>
          <w:spacing w:val="14"/>
        </w:rPr>
        <w:t> </w:t>
      </w:r>
      <w:r>
        <w:rPr>
          <w:spacing w:val="-1"/>
        </w:rPr>
        <w:t>号——套期保值》以及《企业会</w:t>
      </w:r>
      <w:r>
        <w:rPr/>
        <w:t> 计准则第 37</w:t>
      </w:r>
      <w:r>
        <w:rPr>
          <w:spacing w:val="-26"/>
        </w:rPr>
        <w:t> </w:t>
      </w:r>
      <w:r>
        <w:rPr/>
        <w:t>号——金融工具列报》(以下简称新金融工具准则)。根据新金融工具准则的相关规定，安妮</w:t>
      </w:r>
      <w:r>
        <w:rPr/>
        <w:t> </w:t>
      </w:r>
      <w:r>
        <w:rPr>
          <w:spacing w:val="-1"/>
        </w:rPr>
        <w:t>股份管理层（以下简称管理层）以预期信用损失为基础，对以摊余成本计量的应收账款进行减值测试并确</w:t>
      </w:r>
      <w:r>
        <w:rPr>
          <w:spacing w:val="-83"/>
        </w:rPr>
        <w:t> </w:t>
      </w:r>
      <w:r>
        <w:rPr>
          <w:spacing w:val="-83"/>
        </w:rPr>
      </w:r>
      <w:r>
        <w:rPr>
          <w:spacing w:val="-1"/>
        </w:rPr>
        <w:t>认损失准备：对于应收账款，无论是否存在重大融资成分，公司均按照整个存续期的预期信用损失计量损</w:t>
      </w:r>
    </w:p>
    <w:p>
      <w:pPr>
        <w:spacing w:after="0" w:line="384" w:lineRule="auto"/>
        <w:jc w:val="both"/>
        <w:sectPr>
          <w:pgSz w:w="11910" w:h="16840"/>
          <w:pgMar w:header="877" w:footer="982" w:top="1100" w:bottom="1180" w:left="980" w:right="0"/>
        </w:sectPr>
      </w:pPr>
    </w:p>
    <w:p>
      <w:pPr>
        <w:spacing w:line="240" w:lineRule="auto" w:before="12"/>
        <w:rPr>
          <w:rFonts w:ascii="宋体" w:hAnsi="宋体" w:cs="宋体" w:eastAsia="宋体" w:hint="default"/>
          <w:sz w:val="29"/>
          <w:szCs w:val="29"/>
        </w:rPr>
      </w:pPr>
    </w:p>
    <w:p>
      <w:pPr>
        <w:pStyle w:val="BodyText"/>
        <w:spacing w:line="384" w:lineRule="auto" w:before="35"/>
        <w:ind w:left="153" w:right="1022"/>
        <w:jc w:val="left"/>
      </w:pPr>
      <w:r>
        <w:rPr/>
        <w:t>失准备；当单项应收账款无法以合理成本评估预期信用损失的信息时，公司依据信用风险特征将应收账款 </w:t>
      </w:r>
      <w:r>
        <w:rPr>
          <w:spacing w:val="-3"/>
        </w:rPr>
        <w:t>划分为若干组合，在组合基础上计算预期信用损失；如果有客观证据表明某项应收账款已经发生信用减值，</w:t>
      </w:r>
      <w:r>
        <w:rPr>
          <w:spacing w:val="-92"/>
        </w:rPr>
        <w:t> </w:t>
      </w:r>
      <w:r>
        <w:rPr>
          <w:spacing w:val="-92"/>
        </w:rPr>
      </w:r>
      <w:r>
        <w:rPr/>
        <w:t>则公司对该应收账款单项计提坏准备并确认预期信用损失；对于划分为组合的应收账款，公司参考历史信</w:t>
      </w:r>
      <w:r>
        <w:rPr/>
        <w:t> </w:t>
      </w:r>
      <w:r>
        <w:rPr>
          <w:spacing w:val="-3"/>
        </w:rPr>
        <w:t>用损失经验，结合当前状况以及对未来经济状况的预测，通过违约风险敞口和整个存续期预期信用损失率，</w:t>
      </w:r>
      <w:r>
        <w:rPr>
          <w:spacing w:val="-92"/>
        </w:rPr>
        <w:t> </w:t>
      </w:r>
      <w:r>
        <w:rPr>
          <w:spacing w:val="-92"/>
        </w:rPr>
      </w:r>
      <w:r>
        <w:rPr/>
        <w:t>计算预期信用损失。 </w:t>
      </w:r>
    </w:p>
    <w:p>
      <w:pPr>
        <w:pStyle w:val="BodyText"/>
        <w:spacing w:line="384" w:lineRule="auto" w:before="78"/>
        <w:ind w:left="153" w:right="1130" w:firstLine="420"/>
        <w:jc w:val="both"/>
      </w:pPr>
      <w:r>
        <w:rPr>
          <w:spacing w:val="-1"/>
        </w:rPr>
        <w:t>管理层根据新金融工具准则的相关规定制定新的会计政策并经董事会审议通过了会计政策变更。同时</w:t>
      </w:r>
      <w:r>
        <w:rPr/>
        <w:t> </w:t>
      </w:r>
      <w:r>
        <w:rPr>
          <w:spacing w:val="-1"/>
        </w:rPr>
        <w:t>在估计应收账款是否存在减值时，管理层会需要结合客户的信贷记录、历史款项损失情况及市场情况进行</w:t>
      </w:r>
      <w:r>
        <w:rPr>
          <w:spacing w:val="-81"/>
        </w:rPr>
        <w:t> </w:t>
      </w:r>
      <w:r>
        <w:rPr>
          <w:spacing w:val="-81"/>
        </w:rPr>
      </w:r>
      <w:r>
        <w:rPr>
          <w:spacing w:val="-1"/>
        </w:rPr>
        <w:t>会计估计，这将涉及大量的假设和主观判断。基于存在上述会计政策变更和应收账款账面价值重大及有关</w:t>
      </w:r>
      <w:r>
        <w:rPr>
          <w:spacing w:val="-81"/>
        </w:rPr>
        <w:t> </w:t>
      </w:r>
      <w:r>
        <w:rPr>
          <w:spacing w:val="-81"/>
        </w:rPr>
      </w:r>
      <w:r>
        <w:rPr/>
        <w:t>估计的固有不确定性，因此将应收账款坏账准备确认识别为关键审计事项。 </w:t>
      </w:r>
    </w:p>
    <w:p>
      <w:pPr>
        <w:pStyle w:val="BodyText"/>
        <w:spacing w:line="240" w:lineRule="auto" w:before="79"/>
        <w:ind w:left="573" w:right="0"/>
        <w:jc w:val="left"/>
      </w:pPr>
      <w:r>
        <w:rPr/>
        <w:t>2.审计应对 </w:t>
      </w:r>
    </w:p>
    <w:p>
      <w:pPr>
        <w:spacing w:line="240" w:lineRule="auto" w:before="8"/>
        <w:rPr>
          <w:rFonts w:ascii="宋体" w:hAnsi="宋体" w:cs="宋体" w:eastAsia="宋体" w:hint="default"/>
          <w:sz w:val="15"/>
          <w:szCs w:val="15"/>
        </w:rPr>
      </w:pPr>
    </w:p>
    <w:p>
      <w:pPr>
        <w:pStyle w:val="BodyText"/>
        <w:spacing w:line="384" w:lineRule="auto" w:before="0"/>
        <w:ind w:left="153" w:right="1127" w:firstLine="420"/>
        <w:jc w:val="both"/>
      </w:pPr>
      <w:r>
        <w:rPr/>
        <w:t>（1）了解及评估了公司对客户的信用政策及与应收账款日常管理相关的内部控制设计的有效性，并</w:t>
      </w:r>
      <w:r>
        <w:rPr>
          <w:spacing w:val="2"/>
        </w:rPr>
        <w:t> </w:t>
      </w:r>
      <w:r>
        <w:rPr/>
        <w:t>测试了关键控制执行的有效性； </w:t>
      </w:r>
    </w:p>
    <w:p>
      <w:pPr>
        <w:pStyle w:val="BodyText"/>
        <w:spacing w:line="386" w:lineRule="auto" w:before="78"/>
        <w:ind w:left="153" w:right="1127" w:firstLine="420"/>
        <w:jc w:val="both"/>
      </w:pPr>
      <w:r>
        <w:rPr/>
        <w:t>（2）检查管理层制定的相关会计政策是否符合新金融工具准则的相关规定，会计政策变更是否经过</w:t>
      </w:r>
      <w:r>
        <w:rPr>
          <w:spacing w:val="2"/>
        </w:rPr>
        <w:t> </w:t>
      </w:r>
      <w:r>
        <w:rPr/>
        <w:t>董事会审议； </w:t>
      </w:r>
    </w:p>
    <w:p>
      <w:pPr>
        <w:pStyle w:val="BodyText"/>
        <w:spacing w:line="386" w:lineRule="auto" w:before="76"/>
        <w:ind w:left="153" w:right="1127" w:firstLine="420"/>
        <w:jc w:val="both"/>
      </w:pPr>
      <w:r>
        <w:rPr/>
        <w:t>（3）分析应收账款坏账准备会计估计的合理性，包括确定应收账款组合的依据、金额重大的判断、</w:t>
      </w:r>
      <w:r>
        <w:rPr>
          <w:spacing w:val="2"/>
        </w:rPr>
        <w:t> </w:t>
      </w:r>
      <w:r>
        <w:rPr/>
        <w:t>单独计提坏账准备的判断等； </w:t>
      </w:r>
    </w:p>
    <w:p>
      <w:pPr>
        <w:pStyle w:val="BodyText"/>
        <w:spacing w:line="384" w:lineRule="auto" w:before="76"/>
        <w:ind w:left="153" w:right="1127" w:firstLine="420"/>
        <w:jc w:val="both"/>
      </w:pPr>
      <w:r>
        <w:rPr/>
        <w:t>（4）获取了管理层评估应收账款是否发生减值以及确认预期损失率所依据的数据及相关资料，评价</w:t>
      </w:r>
      <w:r>
        <w:rPr>
          <w:spacing w:val="2"/>
        </w:rPr>
        <w:t> </w:t>
      </w:r>
      <w:r>
        <w:rPr>
          <w:spacing w:val="-1"/>
        </w:rPr>
        <w:t>其恰当性和充分性；通过比较前期损失准备计提数与实际发生数，并结合对期后回款的检查，评价应收账</w:t>
      </w:r>
      <w:r>
        <w:rPr>
          <w:spacing w:val="-83"/>
        </w:rPr>
        <w:t> </w:t>
      </w:r>
      <w:r>
        <w:rPr>
          <w:spacing w:val="-83"/>
        </w:rPr>
      </w:r>
      <w:r>
        <w:rPr/>
        <w:t>款损失准备计提的充分性； </w:t>
      </w:r>
    </w:p>
    <w:p>
      <w:pPr>
        <w:pStyle w:val="BodyText"/>
        <w:spacing w:line="386" w:lineRule="auto" w:before="78"/>
        <w:ind w:left="153" w:right="1127" w:firstLine="420"/>
        <w:jc w:val="both"/>
      </w:pPr>
      <w:r>
        <w:rPr/>
        <w:t>（5）抽样检查了应收账款损失准备评估所依据资料的相关性和准确性，对重要应收账款与管理层讨</w:t>
      </w:r>
      <w:r>
        <w:rPr>
          <w:spacing w:val="2"/>
        </w:rPr>
        <w:t> </w:t>
      </w:r>
      <w:r>
        <w:rPr/>
        <w:t>论其可收回性，并执行独立函证程序； </w:t>
      </w:r>
    </w:p>
    <w:p>
      <w:pPr>
        <w:pStyle w:val="BodyText"/>
        <w:spacing w:line="240" w:lineRule="auto" w:before="77"/>
        <w:ind w:left="573" w:right="0"/>
        <w:jc w:val="left"/>
      </w:pPr>
      <w:r>
        <w:rPr/>
        <w:t>（6）检查与应收账款减值相关的信息是否已在财务报表中作出恰当列报和披露。</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3"/>
        <w:spacing w:line="240" w:lineRule="auto"/>
        <w:ind w:right="0"/>
        <w:jc w:val="left"/>
      </w:pPr>
      <w:r>
        <w:rPr/>
        <w:t>四、其他信息</w:t>
      </w:r>
    </w:p>
    <w:p>
      <w:pPr>
        <w:pStyle w:val="BodyText"/>
        <w:spacing w:line="400" w:lineRule="auto" w:before="189"/>
        <w:ind w:right="1129" w:firstLine="420"/>
        <w:jc w:val="both"/>
      </w:pPr>
      <w:r>
        <w:rPr/>
        <w:t>贵公司管理层（以下简称管理层）对其他信息负责。其他信息包括贵公司 2019</w:t>
      </w:r>
      <w:r>
        <w:rPr>
          <w:spacing w:val="-24"/>
        </w:rPr>
        <w:t> </w:t>
      </w:r>
      <w:r>
        <w:rPr/>
        <w:t>年年度报告中涵盖的</w:t>
      </w:r>
      <w:r>
        <w:rPr/>
        <w:t> 信息，但不包括财务报表和我们的审计报告。 </w:t>
      </w:r>
    </w:p>
    <w:p>
      <w:pPr>
        <w:pStyle w:val="BodyText"/>
        <w:spacing w:line="403" w:lineRule="auto" w:before="44"/>
        <w:ind w:left="574" w:right="0"/>
        <w:jc w:val="left"/>
      </w:pPr>
      <w:r>
        <w:rPr/>
        <w:t>我们对财务报表发表的审计意见并不涵盖其他信息，我们也不对其他信息发表任何形式的鉴证结论。 结合我们对财务报表的审计，我们的责任是阅读其他信息，在此过程中，考虑其他信息是否与财务报</w:t>
      </w:r>
    </w:p>
    <w:p>
      <w:pPr>
        <w:pStyle w:val="BodyText"/>
        <w:spacing w:line="240" w:lineRule="auto" w:before="42"/>
        <w:ind w:right="0"/>
        <w:jc w:val="left"/>
      </w:pPr>
      <w:r>
        <w:rPr/>
        <w:t>表或我们在审计过程中了解到的情况存在重大不一致或者似乎存在重大错报。 </w:t>
      </w:r>
    </w:p>
    <w:p>
      <w:pPr>
        <w:spacing w:after="0" w:line="240" w:lineRule="auto"/>
        <w:jc w:val="left"/>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400" w:lineRule="auto" w:before="0"/>
        <w:ind w:right="0" w:firstLine="420"/>
        <w:jc w:val="left"/>
      </w:pPr>
      <w:r>
        <w:rPr>
          <w:spacing w:val="-1"/>
        </w:rPr>
        <w:t>基于我们已执行的工作，如果我们确定其他信息存在重大错报，我们应当报告该事实。在这方面，我</w:t>
      </w:r>
      <w:r>
        <w:rPr/>
        <w:t> 们无任何事项需要报告。 </w:t>
      </w:r>
    </w:p>
    <w:p>
      <w:pPr>
        <w:spacing w:line="240" w:lineRule="auto" w:before="4"/>
        <w:rPr>
          <w:rFonts w:ascii="宋体" w:hAnsi="宋体" w:cs="宋体" w:eastAsia="宋体" w:hint="default"/>
          <w:sz w:val="22"/>
          <w:szCs w:val="22"/>
        </w:rPr>
      </w:pPr>
    </w:p>
    <w:p>
      <w:pPr>
        <w:pStyle w:val="Heading3"/>
        <w:spacing w:line="240" w:lineRule="auto"/>
        <w:ind w:right="0"/>
        <w:jc w:val="left"/>
      </w:pPr>
      <w:r>
        <w:rPr/>
        <w:t>五、管理层和治理层对财务报表的责任</w:t>
      </w:r>
    </w:p>
    <w:p>
      <w:pPr>
        <w:pStyle w:val="BodyText"/>
        <w:spacing w:line="460" w:lineRule="exact" w:before="58"/>
        <w:ind w:right="0" w:firstLine="420"/>
        <w:jc w:val="left"/>
      </w:pPr>
      <w:r>
        <w:rPr>
          <w:spacing w:val="-1"/>
        </w:rPr>
        <w:t>管理层负责按照企业会计准则的规定编制财务报表，使其实现公允反映，并设计、执行和维护必要的</w:t>
      </w:r>
      <w:r>
        <w:rPr/>
        <w:t> 内部控制，以使财务报表不存在由于舞弊或错误导致的重大错报。 </w:t>
      </w:r>
    </w:p>
    <w:p>
      <w:pPr>
        <w:pStyle w:val="BodyText"/>
        <w:spacing w:line="241" w:lineRule="exact" w:before="0"/>
        <w:ind w:left="574" w:right="0"/>
        <w:jc w:val="left"/>
      </w:pPr>
      <w:r>
        <w:rPr>
          <w:spacing w:val="-3"/>
        </w:rPr>
        <w:t>在编制财务报表时，管理层负责评估贵公司的持续经营能力，披露与持续经营相关的事项（如适用），</w:t>
      </w:r>
    </w:p>
    <w:p>
      <w:pPr>
        <w:pStyle w:val="BodyText"/>
        <w:spacing w:line="357" w:lineRule="auto" w:before="133"/>
        <w:ind w:left="574" w:right="0" w:hanging="420"/>
        <w:jc w:val="left"/>
      </w:pPr>
      <w:r>
        <w:rPr/>
        <w:t>并运用持续经营假设，除非管理层计划清算贵公司、终止运营或别无其他现实的选择。 治理层负责监督贵公司的财务报告过程。 </w:t>
      </w:r>
    </w:p>
    <w:p>
      <w:pPr>
        <w:pStyle w:val="BodyText"/>
        <w:spacing w:line="408" w:lineRule="auto" w:before="127"/>
        <w:ind w:left="573" w:right="1016"/>
        <w:jc w:val="left"/>
      </w:pPr>
      <w:r>
        <w:rPr/>
        <w:t>内部控制，以使财务报表不存在由于舞弊或错误导致的重大错报。 </w:t>
      </w:r>
      <w:r>
        <w:rPr>
          <w:spacing w:val="-3"/>
        </w:rPr>
        <w:t>在编制财务报表时，管理层负责评估贵公司的持续经营能力，披露与持续经营相关的事项（如适用），</w:t>
      </w:r>
    </w:p>
    <w:p>
      <w:pPr>
        <w:spacing w:line="429" w:lineRule="auto" w:before="46"/>
        <w:ind w:left="573" w:right="2771" w:hanging="420"/>
        <w:jc w:val="left"/>
        <w:rPr>
          <w:rFonts w:ascii="黑体" w:hAnsi="黑体" w:cs="黑体" w:eastAsia="黑体" w:hint="default"/>
          <w:sz w:val="24"/>
          <w:szCs w:val="24"/>
        </w:rPr>
      </w:pPr>
      <w:r>
        <w:rPr>
          <w:rFonts w:ascii="宋体" w:hAnsi="宋体" w:cs="宋体" w:eastAsia="宋体" w:hint="default"/>
          <w:sz w:val="21"/>
          <w:szCs w:val="21"/>
        </w:rPr>
        <w:t>并运用持续经营假设，除非管理层计划清算贵公司、终止运营或别无其他现实的选择。 治理层负责监督贵公司的财务报告过程。 </w:t>
      </w:r>
      <w:r>
        <w:rPr>
          <w:rFonts w:ascii="黑体" w:hAnsi="黑体" w:cs="黑体" w:eastAsia="黑体" w:hint="default"/>
          <w:sz w:val="24"/>
          <w:szCs w:val="24"/>
        </w:rPr>
        <w:t>六、注册会计师对财务报表审计的责任</w:t>
      </w:r>
    </w:p>
    <w:p>
      <w:pPr>
        <w:pStyle w:val="BodyText"/>
        <w:spacing w:line="400" w:lineRule="auto" w:before="0"/>
        <w:ind w:right="1131" w:firstLine="420"/>
        <w:jc w:val="both"/>
      </w:pPr>
      <w:r>
        <w:rPr>
          <w:spacing w:val="-1"/>
        </w:rPr>
        <w:t>我们的目标是对财务报表整体是否不存在由于舞弊或错误导致的重大错报获取合理保证，并出具包含</w:t>
      </w:r>
      <w:r>
        <w:rPr/>
        <w:t> </w:t>
      </w:r>
      <w:r>
        <w:rPr>
          <w:spacing w:val="-1"/>
        </w:rPr>
        <w:t>审计意见的审计报告。合理保证是高水平的保证，但并不能保证按照审计准则执行的审计在某一重大错报</w:t>
      </w:r>
      <w:r>
        <w:rPr>
          <w:spacing w:val="-81"/>
        </w:rPr>
        <w:t> </w:t>
      </w:r>
      <w:r>
        <w:rPr>
          <w:spacing w:val="-81"/>
        </w:rPr>
      </w:r>
      <w:r>
        <w:rPr>
          <w:spacing w:val="-1"/>
        </w:rPr>
        <w:t>存在时总能发现。错报可能由于舞弊或错误导致，如果合理预期错报单独或汇总起来可能影响财务报表使</w:t>
      </w:r>
      <w:r>
        <w:rPr>
          <w:spacing w:val="-81"/>
        </w:rPr>
        <w:t> </w:t>
      </w:r>
      <w:r>
        <w:rPr>
          <w:spacing w:val="-81"/>
        </w:rPr>
      </w:r>
      <w:r>
        <w:rPr/>
        <w:t>用者依据财务报表作出的经济决策，则通常认为错报是重大的。 </w:t>
      </w:r>
    </w:p>
    <w:p>
      <w:pPr>
        <w:pStyle w:val="BodyText"/>
        <w:spacing w:line="400" w:lineRule="auto" w:before="45"/>
        <w:ind w:right="1117" w:firstLine="420"/>
        <w:jc w:val="left"/>
      </w:pPr>
      <w:r>
        <w:rPr>
          <w:spacing w:val="-1"/>
        </w:rPr>
        <w:t>在按照审计准则执行审计工作的过程中，我们运用职业判断，并保持职业怀疑。同时，我们也执行以</w:t>
      </w:r>
      <w:r>
        <w:rPr/>
        <w:t> 下工作： </w:t>
      </w:r>
    </w:p>
    <w:p>
      <w:pPr>
        <w:pStyle w:val="BodyText"/>
        <w:spacing w:line="400" w:lineRule="auto" w:before="44"/>
        <w:ind w:right="1021" w:firstLine="420"/>
        <w:jc w:val="left"/>
      </w:pPr>
      <w:r>
        <w:rPr/>
        <w:t>（一）识别和评估由于舞弊或错误导致的财务报表重大错报风险，设计和实施审计程序以应对这些风 </w:t>
      </w:r>
      <w:r>
        <w:rPr>
          <w:spacing w:val="-3"/>
        </w:rPr>
        <w:t>险，并获取充分、适当的审计证据，作为发表审计意见的基础。由于舞弊可能涉及串通、伪造、故意遗漏、</w:t>
      </w:r>
      <w:r>
        <w:rPr>
          <w:spacing w:val="-94"/>
        </w:rPr>
        <w:t> </w:t>
      </w:r>
      <w:r>
        <w:rPr>
          <w:spacing w:val="-94"/>
        </w:rPr>
      </w:r>
      <w:r>
        <w:rPr/>
        <w:t>虚假陈述或凌驾于内部控制之上，未能发现由于舞弊导致的重大错报的风险高于未能发现由于错误导致的</w:t>
      </w:r>
      <w:r>
        <w:rPr/>
        <w:t> 重大错报的风险。 </w:t>
      </w:r>
    </w:p>
    <w:p>
      <w:pPr>
        <w:pStyle w:val="BodyText"/>
        <w:spacing w:line="240" w:lineRule="auto" w:before="45"/>
        <w:ind w:left="574" w:right="0"/>
        <w:jc w:val="left"/>
      </w:pPr>
      <w:r>
        <w:rPr/>
        <w:t>（二）了解与审计相关的内部控制，以设计恰当的审计程序。 </w:t>
      </w:r>
    </w:p>
    <w:p>
      <w:pPr>
        <w:spacing w:line="240" w:lineRule="auto" w:before="2"/>
        <w:rPr>
          <w:rFonts w:ascii="宋体" w:hAnsi="宋体" w:cs="宋体" w:eastAsia="宋体" w:hint="default"/>
          <w:sz w:val="14"/>
          <w:szCs w:val="14"/>
        </w:rPr>
      </w:pPr>
    </w:p>
    <w:p>
      <w:pPr>
        <w:pStyle w:val="BodyText"/>
        <w:spacing w:line="240" w:lineRule="auto" w:before="0"/>
        <w:ind w:left="574" w:right="0"/>
        <w:jc w:val="left"/>
      </w:pPr>
      <w:r>
        <w:rPr/>
        <w:t>（三）评价管理层选用会计政策的恰当性和作出会计估计及相关披露的合理性。 </w:t>
      </w:r>
    </w:p>
    <w:p>
      <w:pPr>
        <w:spacing w:line="240" w:lineRule="auto" w:before="2"/>
        <w:rPr>
          <w:rFonts w:ascii="宋体" w:hAnsi="宋体" w:cs="宋体" w:eastAsia="宋体" w:hint="default"/>
          <w:sz w:val="14"/>
          <w:szCs w:val="14"/>
        </w:rPr>
      </w:pPr>
    </w:p>
    <w:p>
      <w:pPr>
        <w:pStyle w:val="BodyText"/>
        <w:spacing w:line="400" w:lineRule="auto" w:before="0"/>
        <w:ind w:right="1131" w:firstLine="420"/>
        <w:jc w:val="both"/>
      </w:pPr>
      <w:r>
        <w:rPr>
          <w:spacing w:val="-1"/>
        </w:rPr>
        <w:t>（四）对管理层使用持续经营假设的恰当性得出结论。同时，根据获取的审计证据，就可能导致对贵</w:t>
      </w:r>
      <w:r>
        <w:rPr/>
        <w:t> </w:t>
      </w:r>
      <w:r>
        <w:rPr>
          <w:spacing w:val="-1"/>
        </w:rPr>
        <w:t>公司持续经营能力产生重大疑虑的事项或情况是否存在重大不确定性得出结论。如果我们得出结论认为存</w:t>
      </w:r>
      <w:r>
        <w:rPr>
          <w:spacing w:val="-81"/>
        </w:rPr>
        <w:t> </w:t>
      </w:r>
      <w:r>
        <w:rPr>
          <w:spacing w:val="-81"/>
        </w:rPr>
      </w:r>
      <w:r>
        <w:rPr>
          <w:spacing w:val="-1"/>
        </w:rPr>
        <w:t>在重大不确定性，审计准则要求我们在审计报告中提请报表使用者注意财务报表中的相关披露；如果披露</w:t>
      </w:r>
      <w:r>
        <w:rPr>
          <w:spacing w:val="-81"/>
        </w:rPr>
        <w:t> </w:t>
      </w:r>
      <w:r>
        <w:rPr>
          <w:spacing w:val="-81"/>
        </w:rPr>
      </w:r>
      <w:r>
        <w:rPr>
          <w:spacing w:val="-1"/>
        </w:rPr>
        <w:t>不充分，我们应当发表非无保留意见。我们的结论基于截至审计报告日可获得的信息。然而，未来的事项</w:t>
      </w:r>
    </w:p>
    <w:p>
      <w:pPr>
        <w:spacing w:after="0" w:line="400" w:lineRule="auto"/>
        <w:jc w:val="both"/>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240" w:lineRule="auto" w:before="0"/>
        <w:ind w:right="0"/>
        <w:jc w:val="left"/>
      </w:pPr>
      <w:r>
        <w:rPr/>
        <w:t>或情况可能导致贵公司不能持续经营。 </w:t>
      </w:r>
    </w:p>
    <w:p>
      <w:pPr>
        <w:spacing w:line="240" w:lineRule="auto" w:before="2"/>
        <w:rPr>
          <w:rFonts w:ascii="宋体" w:hAnsi="宋体" w:cs="宋体" w:eastAsia="宋体" w:hint="default"/>
          <w:sz w:val="14"/>
          <w:szCs w:val="14"/>
        </w:rPr>
      </w:pPr>
    </w:p>
    <w:p>
      <w:pPr>
        <w:pStyle w:val="BodyText"/>
        <w:spacing w:line="403" w:lineRule="auto" w:before="0"/>
        <w:ind w:right="1131" w:firstLine="420"/>
        <w:jc w:val="both"/>
      </w:pPr>
      <w:r>
        <w:rPr>
          <w:spacing w:val="-1"/>
        </w:rPr>
        <w:t>（五）评价财务报表的总体列报、结构和内容（包括披露），并评价财务报表是否公允反映相关交易</w:t>
      </w:r>
      <w:r>
        <w:rPr/>
        <w:t> 和事项。 </w:t>
      </w:r>
    </w:p>
    <w:p>
      <w:pPr>
        <w:pStyle w:val="BodyText"/>
        <w:spacing w:line="400" w:lineRule="auto" w:before="42"/>
        <w:ind w:right="1130" w:firstLine="420"/>
        <w:jc w:val="both"/>
      </w:pPr>
      <w:r>
        <w:rPr>
          <w:spacing w:val="-1"/>
        </w:rPr>
        <w:t>（六）就贵公司中实体或业务活动的财务信息获取充分、恰当的审计证据，以对财务报表发表审计意</w:t>
      </w:r>
      <w:r>
        <w:rPr/>
        <w:t> 见。我们负责指导、监督和执行集团审计，并对审计意见承担全部责任。</w:t>
      </w:r>
      <w:r>
        <w:rPr>
          <w:color w:val="0000FF"/>
        </w:rPr>
        <w:t> </w:t>
      </w:r>
      <w:r>
        <w:rPr/>
      </w:r>
    </w:p>
    <w:p>
      <w:pPr>
        <w:pStyle w:val="BodyText"/>
        <w:spacing w:line="400" w:lineRule="auto" w:before="45"/>
        <w:ind w:left="153" w:right="1131" w:firstLine="420"/>
        <w:jc w:val="both"/>
      </w:pPr>
      <w:r>
        <w:rPr>
          <w:spacing w:val="-1"/>
        </w:rPr>
        <w:t>我们与治理层就计划的审计范围、时间安排和重大审计发现等事项进行沟通，包括沟通我们在审计中</w:t>
      </w:r>
      <w:r>
        <w:rPr/>
        <w:t> 识别出的值得关注的内部控制缺陷。 </w:t>
      </w:r>
    </w:p>
    <w:p>
      <w:pPr>
        <w:pStyle w:val="BodyText"/>
        <w:spacing w:line="403" w:lineRule="auto" w:before="44"/>
        <w:ind w:left="153" w:right="1130" w:firstLine="420"/>
        <w:jc w:val="both"/>
      </w:pPr>
      <w:r>
        <w:rPr>
          <w:spacing w:val="-1"/>
        </w:rPr>
        <w:t>我们还就遵守与独立性相关的职业道德要求向治理层提供声明，并与治理层沟通可能被合理认为影响</w:t>
      </w:r>
      <w:r>
        <w:rPr/>
        <w:t> 我们独立性的所有关系和其他事项，以及相关的防范措施（如适用）。 </w:t>
      </w:r>
    </w:p>
    <w:p>
      <w:pPr>
        <w:pStyle w:val="BodyText"/>
        <w:spacing w:line="400" w:lineRule="auto" w:before="42"/>
        <w:ind w:left="153" w:right="1131" w:firstLine="420"/>
        <w:jc w:val="both"/>
      </w:pPr>
      <w:r>
        <w:rPr>
          <w:spacing w:val="-1"/>
        </w:rPr>
        <w:t>从与治理层沟通过的事项中，我们确定哪些事项对本期财务报表审计最为重要，因而构成关键审计事</w:t>
      </w:r>
      <w:r>
        <w:rPr/>
        <w:t> </w:t>
      </w:r>
      <w:r>
        <w:rPr>
          <w:spacing w:val="-1"/>
        </w:rPr>
        <w:t>项。我们在审计报告中描述这些事项，除非法律法规禁止公开披露这些事项，或在极少数情形下，如果合</w:t>
      </w:r>
      <w:r>
        <w:rPr>
          <w:spacing w:val="-82"/>
        </w:rPr>
        <w:t> </w:t>
      </w:r>
      <w:r>
        <w:rPr>
          <w:spacing w:val="-82"/>
        </w:rPr>
      </w:r>
      <w:r>
        <w:rPr>
          <w:spacing w:val="-1"/>
        </w:rPr>
        <w:t>理预期在审计报告中沟通某事项造成的负面后果超过在公众利益方面产生的益处，我们确定不应在审计报</w:t>
      </w:r>
      <w:r>
        <w:rPr>
          <w:spacing w:val="-81"/>
        </w:rPr>
        <w:t> </w:t>
      </w:r>
      <w:r>
        <w:rPr>
          <w:spacing w:val="-81"/>
        </w:rPr>
      </w:r>
      <w:r>
        <w:rPr/>
        <w:t>告中沟通该事项。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pStyle w:val="BodyText"/>
        <w:tabs>
          <w:tab w:pos="4863" w:val="left" w:leader="none"/>
        </w:tabs>
        <w:spacing w:line="240" w:lineRule="auto" w:before="0"/>
        <w:ind w:left="577" w:right="0"/>
        <w:jc w:val="left"/>
      </w:pPr>
      <w:r>
        <w:rPr/>
        <w:t>大信会计师事务所（特殊普通合伙）</w:t>
        <w:tab/>
        <w:t>中国注册会计师：</w:t>
      </w:r>
    </w:p>
    <w:p>
      <w:pPr>
        <w:pStyle w:val="BodyText"/>
        <w:spacing w:line="240" w:lineRule="auto" w:before="37"/>
        <w:ind w:left="2856" w:right="2621"/>
        <w:jc w:val="center"/>
      </w:pPr>
      <w:r>
        <w:rPr/>
        <w:t>（项目合伙人）</w:t>
      </w:r>
    </w:p>
    <w:p>
      <w:pPr>
        <w:spacing w:line="240" w:lineRule="auto" w:before="9"/>
        <w:rPr>
          <w:rFonts w:ascii="宋体" w:hAnsi="宋体" w:cs="宋体" w:eastAsia="宋体" w:hint="default"/>
          <w:sz w:val="26"/>
          <w:szCs w:val="26"/>
        </w:rPr>
      </w:pPr>
    </w:p>
    <w:p>
      <w:pPr>
        <w:pStyle w:val="BodyText"/>
        <w:tabs>
          <w:tab w:pos="4849" w:val="left" w:leader="none"/>
        </w:tabs>
        <w:spacing w:line="240" w:lineRule="auto" w:before="0"/>
        <w:ind w:left="1413" w:right="0"/>
        <w:jc w:val="left"/>
      </w:pPr>
      <w:r>
        <w:rPr/>
        <w:t>中 国  </w:t>
      </w:r>
      <w:r>
        <w:rPr>
          <w:rFonts w:ascii="Times New Roman" w:hAnsi="Times New Roman" w:cs="Times New Roman" w:eastAsia="Times New Roman" w:hint="default"/>
        </w:rPr>
        <w:t>ꞏ   </w:t>
      </w:r>
      <w:r>
        <w:rPr/>
        <w:t>北</w:t>
      </w:r>
      <w:r>
        <w:rPr>
          <w:spacing w:val="-73"/>
        </w:rPr>
        <w:t> </w:t>
      </w:r>
      <w:r>
        <w:rPr/>
        <w:t>京</w:t>
        <w:tab/>
        <w:t>中国注册会计师：</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7"/>
          <w:szCs w:val="27"/>
        </w:rPr>
      </w:pPr>
    </w:p>
    <w:p>
      <w:pPr>
        <w:pStyle w:val="BodyText"/>
        <w:spacing w:line="240" w:lineRule="auto" w:before="0"/>
        <w:ind w:left="0" w:right="1445"/>
        <w:jc w:val="right"/>
      </w:pPr>
      <w:r>
        <w:rPr/>
        <w:t> </w:t>
      </w:r>
    </w:p>
    <w:p>
      <w:pPr>
        <w:pStyle w:val="BodyText"/>
        <w:spacing w:line="273" w:lineRule="auto" w:before="37"/>
        <w:ind w:left="7062" w:right="-883" w:firstLine="2310"/>
        <w:jc w:val="left"/>
      </w:pPr>
      <w:r>
        <w:rPr/>
        <w:t> 二○二○年四月二十八日</w:t>
      </w:r>
    </w:p>
    <w:p>
      <w:pPr>
        <w:spacing w:after="0" w:line="273" w:lineRule="auto"/>
        <w:jc w:val="left"/>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pStyle w:val="Heading2"/>
        <w:spacing w:line="240" w:lineRule="auto" w:before="26"/>
        <w:ind w:right="0"/>
        <w:jc w:val="left"/>
        <w:rPr>
          <w:b w:val="0"/>
          <w:bCs w:val="0"/>
        </w:rPr>
      </w:pPr>
      <w:r>
        <w:rPr/>
        <w:t>二、财务报表</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财务附注中报表的单位为：元</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82" w:top="1100" w:bottom="1180" w:left="980" w:right="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编制单位：厦门安妮股份有限公司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0"/>
        <w:ind w:left="153" w:right="-1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3" w:equalWidth="0">
            <w:col w:w="2855" w:space="1222"/>
            <w:col w:w="1639" w:space="3203"/>
            <w:col w:w="2011"/>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货币资金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246,277,834.10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178,447,300.74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结算备付金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拆出资金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交易性金融资产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631,118,272.22</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    以公允价值计量且其变动计入当 期损益的金融资产</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440,704,055.56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应收票据</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6,942,662.40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7,298,453.95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应收账款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265,547,099.10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322,170,665.26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应收款项融资</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预付款项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11,399,062.74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12,001,735.88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应收保费</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应收分保账款</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应收分保合同准备金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其他应收款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30,214,360.26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30,601,166.01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其中：应收利息</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568,333.33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应收股利</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买入返售金融资产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存货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45,538,396.92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43,371,626.46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合同资产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持有待售资产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298,251.14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一年内到期的非流动资产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其他流动资产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21,331,823.44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224,878,422.52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1,258,369,511.18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1,259,771,677.52</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发放贷款和垫款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211,611,337.25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42,440,282.11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31,971,496.43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其他权益工具投资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173,249,000.00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1,261,765.00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投资性房地产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42,328,459.70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43,550,736.61</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162,982,988.67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171,859,131.22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在建工程</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使用权资产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43,716,840.90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48,826,399.11</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开发支出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商誉</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523,045,473.57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743,660,272.19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1,565,140.16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3,352,276.45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递延所得税资产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2,089,399.43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2,579,874.53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4,514,185.00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4,675,772.33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997,193,534.54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1,262,087,296.12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2,255,563,045.72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2,521,858,973.64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短期借款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141,161,137.71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向中央银行借款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拆入资金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交易性金融负债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以公允价值计量且其变动计入当 期损益的金融负债</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应付票据</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70,973,323.91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49,568,333.48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68,199,617.05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66,908,556.22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23,622,184.32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23,593,003.75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合同负债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卖出回购金融资产款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吸收存款及同业存放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代理买卖证券款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代理承销证券款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13,312,042.28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11,966,291.03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10,818,245.60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12,867,803.59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53,104,234.84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49,555,511.00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其中：应付利息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70,808.34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应付手续费及佣金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应付分保账款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持有待售负债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11,008,708.34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其他流动负债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6,882,772.30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3,789,680.90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399,082,266.35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324,249,179.97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保险合同准备金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11,000,000.00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租赁负债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递延所得税负债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279,568.05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176,013.89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279,568.05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11,176,013.89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399,361,834.40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335,425,193.86</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581,744,284.00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623,964,810.00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其他权益工具</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其中：优先股</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永续债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资本公积</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1,420,361,197.76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1,767,039,312.38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减：库存股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11,151,410.00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45,615,168.20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其他综合收益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专项储备</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盈余公积</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19,602,961.52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19,602,961.52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一般风险准备</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未分配利润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-154,290,478.67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-298,489,381.22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1,856,266,554.61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2,186,643,871.73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少数股东权益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-65,343.29</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-210,091.95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1,856,201,211.32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2,186,433,779.78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2,255,563,045.72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2,521,858,973.64</w:t>
            </w:r>
          </w:p>
        </w:tc>
      </w:tr>
    </w:tbl>
    <w:p>
      <w:pPr>
        <w:spacing w:line="240" w:lineRule="auto" w:before="3"/>
        <w:rPr>
          <w:rFonts w:ascii="Times New Roman" w:hAnsi="Times New Roman" w:cs="Times New Roman" w:eastAsia="Times New Roman" w:hint="default"/>
          <w:sz w:val="23"/>
          <w:szCs w:val="23"/>
        </w:rPr>
      </w:pPr>
    </w:p>
    <w:p>
      <w:pPr>
        <w:tabs>
          <w:tab w:pos="3573" w:val="left" w:leader="none"/>
          <w:tab w:pos="7713" w:val="left" w:leader="none"/>
        </w:tabs>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法定代表人：张杰</w:t>
        <w:tab/>
        <w:t>主管会计工作负责人：张杰</w:t>
        <w:tab/>
        <w:t>会计机构负责人：许志强</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2</w:t>
      </w:r>
      <w:r>
        <w:rPr/>
        <w:t>、母公司资产负债表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货币资金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57,590,203.09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66,310,233.98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交易性金融资产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584,919,305.55</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以公允价值计量且其变动计入当 期损益的金融资产</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350,566,388.89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40,733,877.35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43,889,701.28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应收款项融资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预付款项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419,570.72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92,747.02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其他应收款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93,017,108.56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102,041,438.39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其中：应收利息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568,333.33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存货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3,607,190.77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5,761,263.86</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合同资产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持有待售资产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一年内到期的非流动资产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406,521.06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200,859,237.30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780,693,777.10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769,521,010.72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206,831,337.25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1,183,728,597.83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1,390,019,610.78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其他权益工具投资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161,969,000.00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1,261,765.00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投资性房地产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23,998,587.47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24,697,008.89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4,486,309.85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6,374,284.02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在建工程</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使用权资产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3,644,593.84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3,669,876.23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开发支出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商誉</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长期待摊费用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递延所得税资产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4,514,185.00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4,514,185.00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1,383,603,038.99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1,636,106,302.17</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2,164,296,816.09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2,405,627,312.89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短期借款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20,005,625.24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交易性金融负债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以公允价值计量且其变动计入当 期损益的金融负债</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18,817,876.89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24,142,944.86</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1,369,888.74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1,148,606.90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合同负债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1,082,313.81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534,374.19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322,188.05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1,365,105.16</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242,233,003.63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131,939,790.38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其中：应付利息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1,092,212.50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1,494,986.30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持有待售负债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11,008,708.34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其他流动负债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565,694.95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1,492,409.49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295,405,299.65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196,623,230.98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11,000,000.00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租赁负债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递延所得税负债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229,826.38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141,597.22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229,826.38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11,141,597.22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295,635,126.03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207,764,828.20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581,744,284.00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623,964,810.00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资本公积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1,420,988,198.23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1,767,666,312.88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减：库存股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11,151,410.00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45,615,168.20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16,741,846.44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16,741,846.44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-139,661,228.61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-285,036,653.68</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1,868,661,690.06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2,197,862,484.69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2,164,296,816.09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2,405,627,312.89</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7"/>
        <w:rPr>
          <w:rFonts w:ascii="Times New Roman" w:hAnsi="Times New Roman" w:cs="Times New Roman" w:eastAsia="Times New Roman" w:hint="default"/>
          <w:sz w:val="23"/>
          <w:szCs w:val="23"/>
        </w:rPr>
      </w:pPr>
      <w:r>
        <w:rPr/>
        <w:pict>
          <v:group style="position:absolute;margin-left:210.960007pt;margin-top:705.780029pt;width:160pt;height:19.6pt;mso-position-horizontal-relative:page;mso-position-vertical-relative:page;z-index:-962992" coordorigin="4219,14116" coordsize="3200,392">
            <v:group style="position:absolute;left:7396;top:14116;width:23;height:392" coordorigin="7396,14116" coordsize="23,392">
              <v:shape style="position:absolute;left:7396;top:14116;width:23;height:392" coordorigin="7396,14116" coordsize="23,392" path="m7396,14507l7418,14507,7418,14116,7396,14116,7396,14507xe" filled="true" fillcolor="#ffffff" stroked="false">
                <v:path arrowok="t"/>
                <v:fill type="solid"/>
              </v:shape>
            </v:group>
            <v:group style="position:absolute;left:4219;top:14116;width:23;height:392" coordorigin="4219,14116" coordsize="23,392">
              <v:shape style="position:absolute;left:4219;top:14116;width:23;height:392" coordorigin="4219,14116" coordsize="23,392" path="m4219,14507l4242,14507,4242,14116,4219,14116,4219,14507xe" filled="true" fillcolor="#ffffff" stroked="false">
                <v:path arrowok="t"/>
                <v:fill type="solid"/>
              </v:shape>
            </v:group>
            <v:group style="position:absolute;left:4242;top:14116;width:3154;height:392" coordorigin="4242,14116" coordsize="3154,392">
              <v:shape style="position:absolute;left:4242;top:14116;width:3154;height:392" coordorigin="4242,14116" coordsize="3154,392" path="m4242,14507l7396,14507,7396,14116,4242,14116,4242,14507xe" filled="true" fillcolor="#ffffff" stroked="false">
                <v:path arrowok="t"/>
                <v:fill type="solid"/>
              </v:shape>
            </v:group>
            <w10:wrap type="none"/>
          </v:group>
        </w:pict>
      </w:r>
    </w:p>
    <w:p>
      <w:pPr>
        <w:pStyle w:val="Heading4"/>
        <w:spacing w:line="240" w:lineRule="auto" w:before="35"/>
        <w:ind w:right="0"/>
        <w:jc w:val="left"/>
        <w:rPr>
          <w:b w:val="0"/>
          <w:bCs w:val="0"/>
        </w:rPr>
      </w:pP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080"/>
        <w:gridCol w:w="3210"/>
        <w:gridCol w:w="3277"/>
      </w:tblGrid>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432,752,748.83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714,872,486.11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其中：营业收入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432,752,748.83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714,872,486.11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利息收入</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已赚保费</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手续费及佣金收入</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431,353,080.12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690,554,158.24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其中：营业成本</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294,135,915.85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530,214,772.98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利息支出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手续费及佣金支出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退保金</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赔付支出净额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167"/>
              <w:jc w:val="left"/>
              <w:rPr>
                <w:rFonts w:ascii="宋体" w:hAnsi="宋体" w:cs="宋体" w:eastAsia="宋体" w:hint="default"/>
                <w:sz w:val="18"/>
                <w:szCs w:val="18"/>
              </w:rPr>
            </w:pPr>
            <w:r>
              <w:rPr>
                <w:rFonts w:ascii="宋体" w:hAnsi="宋体" w:cs="宋体" w:eastAsia="宋体" w:hint="default"/>
                <w:sz w:val="18"/>
                <w:szCs w:val="18"/>
              </w:rPr>
              <w:t>          提取保险责任合同准备金 净额</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保单红利支出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分保费用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税金及附加</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4,036,813.48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4,435,590.03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销售费用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45,705,712.02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61,019,489.80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管理费用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59,216,500.25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66,425,567.13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研发费用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22,134,614.72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27,030,291.64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财务费用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6,123,523.80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1,428,446.66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其中：利息费用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8,472,829.45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3,595,945.86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利息收入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2,734,953.72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2,681,398.03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加：其他收益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1,389,940.48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2,345,739.11</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2"/>
              <w:ind w:left="22" w:right="185"/>
              <w:jc w:val="left"/>
              <w:rPr>
                <w:rFonts w:ascii="宋体" w:hAnsi="宋体" w:cs="宋体" w:eastAsia="宋体" w:hint="default"/>
                <w:sz w:val="18"/>
                <w:szCs w:val="18"/>
              </w:rPr>
            </w:pPr>
            <w:r>
              <w:rPr>
                <w:rFonts w:ascii="宋体" w:hAnsi="宋体" w:cs="宋体" w:eastAsia="宋体" w:hint="default"/>
                <w:sz w:val="18"/>
                <w:szCs w:val="18"/>
              </w:rPr>
              <w:t>        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21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27,723,188.22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34,003,156.82</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23"/>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3"/>
                <w:sz w:val="18"/>
                <w:szCs w:val="18"/>
              </w:rPr>
              <w:t>其中：对联营企业和合营企业</w:t>
            </w:r>
            <w:r>
              <w:rPr>
                <w:rFonts w:ascii="宋体" w:hAnsi="宋体" w:cs="宋体" w:eastAsia="宋体" w:hint="default"/>
                <w:sz w:val="18"/>
                <w:szCs w:val="18"/>
              </w:rPr>
              <w:t> 的投资收益</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167"/>
              <w:jc w:val="left"/>
              <w:rPr>
                <w:rFonts w:ascii="宋体" w:hAnsi="宋体" w:cs="宋体" w:eastAsia="宋体" w:hint="default"/>
                <w:sz w:val="18"/>
                <w:szCs w:val="18"/>
              </w:rPr>
            </w:pPr>
            <w:r>
              <w:rPr>
                <w:rFonts w:ascii="宋体" w:hAnsi="宋体" w:cs="宋体" w:eastAsia="宋体" w:hint="default"/>
                <w:sz w:val="18"/>
                <w:szCs w:val="18"/>
              </w:rPr>
              <w:t>            以摊余成本计量的金融 资产终止确认收益</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39" w:right="0"/>
              <w:jc w:val="left"/>
              <w:rPr>
                <w:rFonts w:ascii="宋体" w:hAnsi="宋体" w:cs="宋体" w:eastAsia="宋体" w:hint="default"/>
                <w:sz w:val="18"/>
                <w:szCs w:val="18"/>
              </w:rPr>
            </w:pPr>
            <w:r>
              <w:rPr>
                <w:rFonts w:ascii="宋体" w:hAnsi="宋体" w:cs="宋体" w:eastAsia="宋体" w:hint="default"/>
                <w:sz w:val="18"/>
                <w:szCs w:val="18"/>
              </w:rPr>
              <w:t>）</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2"/>
              <w:ind w:left="22" w:right="22"/>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2"/>
                <w:sz w:val="18"/>
                <w:szCs w:val="18"/>
              </w:rPr>
              <w:t>净敞口套期收益（损失以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r>
        <w:rPr/>
        <w:pict>
          <v:shape style="position:absolute;margin-left:177.841202pt;margin-top:275.579987pt;width:193.1pt;height:19.650pt;mso-position-horizontal-relative:page;mso-position-vertical-relative:page;z-index:-962968"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号填列）</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3080"/>
        <w:gridCol w:w="3210"/>
        <w:gridCol w:w="3277"/>
      </w:tblGrid>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1,118,272.22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172,680.47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6"/>
                <w:w w:val="100"/>
                <w:sz w:val="18"/>
                <w:szCs w:val="18"/>
              </w:rPr>
              <w:t>信用减值损失（损失以</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号填</w:t>
            </w:r>
            <w:r>
              <w:rPr>
                <w:rFonts w:ascii="宋体" w:hAnsi="宋体" w:cs="宋体" w:eastAsia="宋体" w:hint="default"/>
                <w:sz w:val="18"/>
                <w:szCs w:val="18"/>
              </w:rPr>
              <w:t> 列）</w:t>
            </w:r>
          </w:p>
        </w:tc>
        <w:tc>
          <w:tcPr>
            <w:tcW w:w="321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-16,245,117.66</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6"/>
                <w:w w:val="100"/>
                <w:sz w:val="18"/>
                <w:szCs w:val="18"/>
              </w:rPr>
              <w:t>资产减值损失（损失以</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号填</w:t>
            </w:r>
            <w:r>
              <w:rPr>
                <w:rFonts w:ascii="宋体" w:hAnsi="宋体" w:cs="宋体" w:eastAsia="宋体" w:hint="default"/>
                <w:sz w:val="18"/>
                <w:szCs w:val="18"/>
              </w:rPr>
              <w:t> 列）</w:t>
            </w:r>
          </w:p>
        </w:tc>
        <w:tc>
          <w:tcPr>
            <w:tcW w:w="321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-224,330,400.68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-13,522,357.33</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6"/>
                <w:w w:val="100"/>
                <w:sz w:val="18"/>
                <w:szCs w:val="18"/>
              </w:rPr>
              <w:t>资产处置收益（损失以</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号填</w:t>
            </w:r>
            <w:r>
              <w:rPr>
                <w:rFonts w:ascii="宋体" w:hAnsi="宋体" w:cs="宋体" w:eastAsia="宋体" w:hint="default"/>
                <w:sz w:val="18"/>
                <w:szCs w:val="18"/>
              </w:rPr>
              <w:t> 列）</w:t>
            </w:r>
          </w:p>
        </w:tc>
        <w:tc>
          <w:tcPr>
            <w:tcW w:w="321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6,838,274.51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58,335.34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-202,106,174.20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47,375,882.28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加：营业外收入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235,802,067.74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28,930,238.72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减：营业外支出</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8,043,142.28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641,582.86</w:t>
            </w:r>
          </w:p>
        </w:tc>
      </w:tr>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3D3D3"/>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四、利润总额（亏损总额以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w:t>
            </w:r>
          </w:p>
        </w:tc>
        <w:tc>
          <w:tcPr>
            <w:tcW w:w="3210" w:type="dxa"/>
            <w:tcBorders>
              <w:top w:val="single" w:sz="4" w:space="0" w:color="000000"/>
              <w:left w:val="single" w:sz="9" w:space="0" w:color="FFFFFF"/>
              <w:bottom w:val="single" w:sz="4" w:space="0" w:color="000000"/>
              <w:right w:val="single" w:sz="13" w:space="0" w:color="FFFFFF"/>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25,652,751.26</w:t>
            </w:r>
          </w:p>
        </w:tc>
        <w:tc>
          <w:tcPr>
            <w:tcW w:w="3277"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75,664,538.14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减：所得税费用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1,695,437.30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74,143.17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23,957,313.96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75,590,394.97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（一）按经营持续性分类</w:t>
            </w:r>
          </w:p>
        </w:tc>
        <w:tc>
          <w:tcPr>
            <w:tcW w:w="321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21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23,957,313.96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75,610,762.36</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-20,367.39</w:t>
            </w:r>
            <w:r>
              <w:rPr>
                <w:rFonts w:ascii="Times New Roman"/>
                <w:sz w:val="18"/>
              </w:rPr>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（二）按所有权归属分类</w:t>
            </w:r>
          </w:p>
        </w:tc>
        <w:tc>
          <w:tcPr>
            <w:tcW w:w="321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归属于母公司所有者的净利润</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24,057,565.30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75,525,209.45</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-100,251.34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65,185.52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-77,101,027.27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67"/>
              <w:jc w:val="left"/>
              <w:rPr>
                <w:rFonts w:ascii="宋体" w:hAnsi="宋体" w:cs="宋体" w:eastAsia="宋体" w:hint="default"/>
                <w:sz w:val="18"/>
                <w:szCs w:val="18"/>
              </w:rPr>
            </w:pPr>
            <w:r>
              <w:rPr>
                <w:rFonts w:ascii="宋体" w:hAnsi="宋体" w:cs="宋体" w:eastAsia="宋体" w:hint="default"/>
                <w:sz w:val="18"/>
                <w:szCs w:val="18"/>
              </w:rPr>
              <w:t>  归属母公司所有者的其他综合收益 的税后净额</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-77,101,027.27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8"/>
                <w:sz w:val="18"/>
                <w:szCs w:val="18"/>
              </w:rPr>
              <w:t> </w:t>
            </w:r>
            <w:r>
              <w:rPr>
                <w:rFonts w:ascii="宋体" w:hAnsi="宋体" w:cs="宋体" w:eastAsia="宋体" w:hint="default"/>
                <w:spacing w:val="-2"/>
                <w:sz w:val="18"/>
                <w:szCs w:val="18"/>
              </w:rPr>
              <w:t>（一）不能重分类进损益的其他综</w:t>
            </w:r>
            <w:r>
              <w:rPr>
                <w:rFonts w:ascii="宋体" w:hAnsi="宋体" w:cs="宋体" w:eastAsia="宋体" w:hint="default"/>
                <w:sz w:val="18"/>
                <w:szCs w:val="18"/>
              </w:rPr>
              <w:t> 合收益</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 动额</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 他综合收益</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 值变动</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 值变动</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8"/>
                <w:sz w:val="18"/>
                <w:szCs w:val="18"/>
              </w:rPr>
              <w:t> </w:t>
            </w:r>
            <w:r>
              <w:rPr>
                <w:rFonts w:ascii="宋体" w:hAnsi="宋体" w:cs="宋体" w:eastAsia="宋体" w:hint="default"/>
                <w:sz w:val="18"/>
                <w:szCs w:val="18"/>
              </w:rPr>
              <w:t>（二）将重分类进损益的其他综合</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-77,101,027.27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3080"/>
        <w:gridCol w:w="3210"/>
        <w:gridCol w:w="3277"/>
      </w:tblGrid>
      <w:tr>
        <w:trPr>
          <w:trHeight w:val="36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 综合收益</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 动</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 值变动损益</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-77,101,027.27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 综合收益的金额</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 可供出售金融资产损益</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31"/>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 备</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67"/>
              <w:jc w:val="left"/>
              <w:rPr>
                <w:rFonts w:ascii="宋体" w:hAnsi="宋体" w:cs="宋体" w:eastAsia="宋体" w:hint="default"/>
                <w:sz w:val="18"/>
                <w:szCs w:val="18"/>
              </w:rPr>
            </w:pPr>
            <w:r>
              <w:rPr>
                <w:rFonts w:ascii="宋体" w:hAnsi="宋体" w:cs="宋体" w:eastAsia="宋体" w:hint="default"/>
                <w:sz w:val="18"/>
                <w:szCs w:val="18"/>
              </w:rPr>
              <w:t>  归属于少数股东的其他综合收益的 税后净额</w:t>
            </w:r>
          </w:p>
        </w:tc>
        <w:tc>
          <w:tcPr>
            <w:tcW w:w="3210" w:type="dxa"/>
            <w:tcBorders>
              <w:top w:val="single" w:sz="4" w:space="0" w:color="000000"/>
              <w:left w:val="single" w:sz="13" w:space="0" w:color="D3D3D3"/>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23,957,313.96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-1,510,632.30</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67"/>
              <w:jc w:val="left"/>
              <w:rPr>
                <w:rFonts w:ascii="宋体" w:hAnsi="宋体" w:cs="宋体" w:eastAsia="宋体" w:hint="default"/>
                <w:sz w:val="18"/>
                <w:szCs w:val="18"/>
              </w:rPr>
            </w:pPr>
            <w:r>
              <w:rPr>
                <w:rFonts w:ascii="宋体" w:hAnsi="宋体" w:cs="宋体" w:eastAsia="宋体" w:hint="default"/>
                <w:sz w:val="18"/>
                <w:szCs w:val="18"/>
              </w:rPr>
              <w:t>    归属于母公司所有者的综合收益 总额</w:t>
            </w:r>
          </w:p>
        </w:tc>
        <w:tc>
          <w:tcPr>
            <w:tcW w:w="321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24,057,565.30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-1,575,817.82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归属于少数股东的综合收益总额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-100,251.34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65,185.52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1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（一）基本每股收益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0.0388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0.1211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（二）稀释每股收益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0.0388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0.1211</w:t>
            </w:r>
          </w:p>
        </w:tc>
      </w:tr>
    </w:tbl>
    <w:p>
      <w:pPr>
        <w:tabs>
          <w:tab w:pos="3573" w:val="left" w:leader="none"/>
          <w:tab w:pos="7713" w:val="left" w:leader="none"/>
        </w:tabs>
        <w:spacing w:line="590" w:lineRule="auto" w:before="51"/>
        <w:ind w:left="154" w:right="1228"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w:t>
      </w:r>
      <w:r>
        <w:rPr>
          <w:rFonts w:ascii="Times New Roman" w:hAnsi="Times New Roman" w:cs="Times New Roman" w:eastAsia="Times New Roman" w:hint="default"/>
          <w:sz w:val="18"/>
          <w:szCs w:val="18"/>
        </w:rPr>
        <w:t>0 </w:t>
      </w:r>
      <w:r>
        <w:rPr>
          <w:rFonts w:ascii="宋体" w:hAnsi="宋体" w:cs="宋体" w:eastAsia="宋体" w:hint="default"/>
          <w:sz w:val="18"/>
          <w:szCs w:val="18"/>
        </w:rPr>
        <w:t>元，上期被合并方实现的净利润为：</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法定代表人：张杰</w:t>
        <w:tab/>
        <w:t>主管会计工作负责人：张杰</w:t>
        <w:tab/>
        <w:t>会计机构负责人：许志强</w:t>
      </w:r>
    </w:p>
    <w:p>
      <w:pPr>
        <w:spacing w:after="0" w:line="59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4</w:t>
      </w:r>
      <w:r>
        <w:rPr/>
        <w:t>、母公司利润表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49,501,878.03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57,498,966.44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减：营业成本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43,831,512.70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46,883,595.63</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税金及附加</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701,529.54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441,821.29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1,720,854.25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2,495,732.09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9,618,231.33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11,549,943.42</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研发费用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1,632,077.76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-158,095.39</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其中：利息费用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利息收入</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7,883.85</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        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25,515,564.99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65,298,436.27</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其中：对联营企业和合营企 业的投资收益</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以摊余成本计量的金融 资产终止确认收益（损失以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净敞口套期收益（损失以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919,305.55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147,166.58</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
                <w:sz w:val="18"/>
                <w:szCs w:val="18"/>
              </w:rPr>
              <w:t>信用减值损失（损失以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w:t>
            </w:r>
            <w:r>
              <w:rPr>
                <w:rFonts w:ascii="宋体" w:hAnsi="宋体" w:cs="宋体" w:eastAsia="宋体" w:hint="default"/>
                <w:sz w:val="18"/>
                <w:szCs w:val="18"/>
              </w:rPr>
              <w:t> 填列）</w:t>
            </w:r>
          </w:p>
        </w:tc>
        <w:tc>
          <w:tcPr>
            <w:tcW w:w="330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50,508.77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-123,827.72</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
                <w:sz w:val="18"/>
                <w:szCs w:val="18"/>
              </w:rPr>
              <w:t>资产减值损失（损失以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w:t>
            </w:r>
            <w:r>
              <w:rPr>
                <w:rFonts w:ascii="宋体" w:hAnsi="宋体" w:cs="宋体" w:eastAsia="宋体" w:hint="default"/>
                <w:sz w:val="18"/>
                <w:szCs w:val="18"/>
              </w:rPr>
              <w:t> 填列）</w:t>
            </w:r>
          </w:p>
        </w:tc>
        <w:tc>
          <w:tcPr>
            <w:tcW w:w="330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-220,730,960.57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-2,387,186.62</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
                <w:sz w:val="18"/>
                <w:szCs w:val="18"/>
              </w:rPr>
              <w:t>资产处置收益（损失以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w:t>
            </w:r>
            <w:r>
              <w:rPr>
                <w:rFonts w:ascii="宋体" w:hAnsi="宋体" w:cs="宋体" w:eastAsia="宋体" w:hint="default"/>
                <w:sz w:val="18"/>
                <w:szCs w:val="18"/>
              </w:rPr>
              <w:t> 填列）</w:t>
            </w:r>
          </w:p>
        </w:tc>
        <w:tc>
          <w:tcPr>
            <w:tcW w:w="330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-3,900.20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23,444.40</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-202,243,925.16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59,244,002.31</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234,481,745.20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28,406,024.85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7,022,595.42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525,488.20</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25,215,224.62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87,124,538.96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-18,863.20</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147,191.85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25,234,087.82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86,977,347.11</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25,234,087.82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86,977,347.11</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-77,101,027.27</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（一）不能重分类进损益的其他 综合收益</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变动额</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 价值变动</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 价值变动</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（二）将重分类进损益的其他综 合收益</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-77,101,027.27</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 他综合收益</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 变动</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 价值变动损益</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-77,101,027.27</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 他综合收益的金额</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 为可供出售金融资产损益</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98"/>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 准备</w:t>
            </w:r>
          </w:p>
        </w:tc>
        <w:tc>
          <w:tcPr>
            <w:tcW w:w="3300"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25,234,087.82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9,876,319.84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（一）基本每股收益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（二）稀释每股收益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7"/>
        <w:rPr>
          <w:rFonts w:ascii="Times New Roman" w:hAnsi="Times New Roman" w:cs="Times New Roman" w:eastAsia="Times New Roman" w:hint="default"/>
          <w:sz w:val="23"/>
          <w:szCs w:val="23"/>
        </w:rPr>
      </w:pPr>
    </w:p>
    <w:p>
      <w:pPr>
        <w:pStyle w:val="Heading4"/>
        <w:spacing w:line="240" w:lineRule="auto" w:before="35"/>
        <w:ind w:right="0"/>
        <w:jc w:val="left"/>
        <w:rPr>
          <w:b w:val="0"/>
          <w:bCs w:val="0"/>
        </w:rPr>
      </w:pP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6"/>
        <w:gridCol w:w="3301"/>
        <w:gridCol w:w="3300"/>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销售商品、提供劳务收到的现金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547,998,281.84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553,507,883.99</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客户存款和同业存放款项净增加 额</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向中央银行借款净增加额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向其他金融机构拆入资金净增加 额</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收到原保险合同保费取得的现金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收到再保业务现金净额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保户储金及投资款净增加额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收取利息、手续费及佣金的现金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拆入资金净增加额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回购业务资金净增加额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代理买卖证券收到的现金净额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收到的税费返还</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2,437,611.85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收到其他与经营活动有关的现金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37,623,404.49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48,201,026.74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585,621,686.33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604,146,522.58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购买商品、接受劳务支付的现金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336,096,278.58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426,414,577.35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客户贷款及垫款净增加额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存放中央银行和同业款项净增加 额</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支付原保险合同赔付款项的现金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拆出资金净增加额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支付利息、手续费及佣金的现金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支付保单红利的现金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支付给职工以及为职工支付的现 金</w:t>
            </w:r>
          </w:p>
        </w:tc>
        <w:tc>
          <w:tcPr>
            <w:tcW w:w="330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80,951,304.30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89,518,081.29</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支付的各项税费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14,680,132.24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32,750,846.53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支付其他与经营活动有关的现金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83,938,937.03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193,203,802.90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515,666,652.15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741,887,308.07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69,955,034.18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-137,740,785.49</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6"/>
        <w:gridCol w:w="3301"/>
        <w:gridCol w:w="3300"/>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收回投资收到的现金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7,209,414.91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1,275,891,050.09</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取得投资收益收到的现金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23,287,566.73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33,727,431.79</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处置固定资产、无形资产和其他 长期资产收回的现金净额</w:t>
            </w:r>
          </w:p>
        </w:tc>
        <w:tc>
          <w:tcPr>
            <w:tcW w:w="330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8,009,000.00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1,137,041.52</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处置子公司及其他营业单位收到 的现金净额</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收到其他与投资活动有关的现金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1,205,704,055.56</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1,244,210,037.20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1,310,755,523.40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购建固定资产、无形资产和其他 长期资产支付的现金</w:t>
            </w:r>
          </w:p>
        </w:tc>
        <w:tc>
          <w:tcPr>
            <w:tcW w:w="330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694,765.64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15,380,365.97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投资支付的现金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91,117,000.00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1,355,206,172.00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质押贷款净增加额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取得子公司及其他营业单位支付 的现金净额</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支付其他与投资活动有关的现金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1,195,000,000.00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1,286,811,765.64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1,370,586,537.97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-42,601,728.44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-59,831,014.57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吸收投资收到的现金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245,000.00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其中：子公司吸收少数股东投资 收到的现金</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取得借款收到的现金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收到其他与筹资活动有关的现金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195,245,000.00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偿还债务支付的现金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33,000,000.00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分配股利、利润或偿付利息支付 的现金</w:t>
            </w:r>
          </w:p>
        </w:tc>
        <w:tc>
          <w:tcPr>
            <w:tcW w:w="330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7,303,580.17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5,035,887.52</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其中：子公司支付给少数股东的 股利、利润</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支付其他与筹资活动有关的现金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5,201,820.00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14,900,010.00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172,505,400.17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52,935,897.52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22,739,599.83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67,064,102.48</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-49,038.13</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71,016.52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50,043,867.44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-130,436,681.06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加：期初现金及现金等价物余额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169,814,227.69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300,250,908.75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6"/>
        <w:gridCol w:w="3301"/>
        <w:gridCol w:w="3300"/>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219,858,095.13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169,814,227.69</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7"/>
        <w:rPr>
          <w:rFonts w:ascii="Times New Roman" w:hAnsi="Times New Roman" w:cs="Times New Roman" w:eastAsia="Times New Roman" w:hint="default"/>
          <w:sz w:val="23"/>
          <w:szCs w:val="23"/>
        </w:rPr>
      </w:pPr>
    </w:p>
    <w:p>
      <w:pPr>
        <w:pStyle w:val="Heading4"/>
        <w:spacing w:line="240" w:lineRule="auto" w:before="35"/>
        <w:ind w:right="0"/>
        <w:jc w:val="left"/>
        <w:rPr>
          <w:b w:val="0"/>
          <w:bCs w:val="0"/>
        </w:rPr>
      </w:pPr>
      <w:r>
        <w:rPr>
          <w:rFonts w:ascii="Times New Roman" w:hAnsi="Times New Roman" w:cs="Times New Roman" w:eastAsia="Times New Roman" w:hint="default"/>
        </w:rPr>
        <w:t>6</w:t>
      </w:r>
      <w:r>
        <w:rPr/>
        <w:t>、母公司现金流量表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6"/>
        <w:gridCol w:w="3301"/>
        <w:gridCol w:w="3300"/>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销售商品、提供劳务收到的现金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43,850,449.15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48,599,721.88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收到的税费返还</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收到其他与经营活动有关的现金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308,775,389.10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280,085,371.36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352,625,838.25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328,685,093.24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购买商品、接受劳务支付的现金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38,775,689.61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41,889,114.23</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支付给职工以及为职工支付的现 金</w:t>
            </w:r>
          </w:p>
        </w:tc>
        <w:tc>
          <w:tcPr>
            <w:tcW w:w="330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2,856,274.77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3,253,997.43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支付的各项税费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2,102,351.12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1,651,916.84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支付其他与经营活动有关的现金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200,037,190.45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193,297,408.57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243,771,505.95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240,092,437.07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108,854,332.30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88,592,656.17</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收回投资收到的现金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1,066,160,000.00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取得投资收益收到的现金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23,287,566.73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31,981,531.87</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处置固定资产、无形资产和其他 长期资产收回的现金净额</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11,404.40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处置子公司及其他营业单位收到 的现金净额</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收到其他与投资活动有关的现金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932,566,388.89</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955,853,955.62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1,098,152,936.27</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购建固定资产、无形资产和其他 长期资产支付的现金</w:t>
            </w:r>
          </w:p>
        </w:tc>
        <w:tc>
          <w:tcPr>
            <w:tcW w:w="330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676,099.44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4,533,981.82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投资支付的现金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83,772,000.00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1,244,696,172.00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取得子公司及其他营业单位支付 的现金净额</w:t>
            </w:r>
          </w:p>
        </w:tc>
        <w:tc>
          <w:tcPr>
            <w:tcW w:w="3301" w:type="dxa"/>
            <w:tcBorders>
              <w:top w:val="single" w:sz="4" w:space="0" w:color="000000"/>
              <w:left w:val="single" w:sz="13" w:space="0" w:color="D3D3D3"/>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支付其他与投资活动有关的现金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966,000,000.00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1,050,448,099.44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1,249,230,153.82</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-94,594,143.82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-151,077,217.55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吸收投资收到的现金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取得借款收到的现金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50,000,000.00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966"/>
        <w:gridCol w:w="3301"/>
        <w:gridCol w:w="3300"/>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收到其他与筹资活动有关的现金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偿还债务支付的现金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23,000,000.00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    分配股利、利润或偿付利息支付 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1,729,319.48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1,692,750.02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支付其他与筹资活动有关的现金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5,201,820.00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14,900,010.00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56,931,139.48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39,592,760.02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-22,931,139.48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10,407,239.98</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53"/>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-49,079.89</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70,940.43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-8,720,030.89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-52,006,380.97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加：期初现金及现金等价物余额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66,310,233.98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118,316,614.95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57,590,203.09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66,310,233.98</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4"/>
        <w:rPr>
          <w:rFonts w:ascii="Times New Roman" w:hAnsi="Times New Roman" w:cs="Times New Roman" w:eastAsia="Times New Roman" w:hint="default"/>
          <w:sz w:val="3"/>
          <w:szCs w:val="3"/>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Times New Roman" w:hAnsi="Times New Roman" w:cs="Times New Roman" w:eastAsia="Times New Roman" w:hint="default"/>
          <w:sz w:val="2"/>
          <w:szCs w:val="2"/>
        </w:rPr>
      </w:r>
    </w:p>
    <w:p>
      <w:pPr>
        <w:pStyle w:val="Heading4"/>
        <w:spacing w:line="240" w:lineRule="auto"/>
        <w:ind w:left="139" w:right="0"/>
        <w:jc w:val="left"/>
        <w:rPr>
          <w:b w:val="0"/>
          <w:bCs w:val="0"/>
        </w:rPr>
      </w:pPr>
      <w:r>
        <w:rPr>
          <w:rFonts w:ascii="Times New Roman" w:hAnsi="Times New Roman" w:cs="Times New Roman" w:eastAsia="Times New Roman" w:hint="default"/>
        </w:rPr>
        <w:t>7</w:t>
      </w:r>
      <w:r>
        <w:rPr/>
        <w:t>、合并所有者权益变动表</w:t>
      </w:r>
      <w:r>
        <w:rPr>
          <w:b w:val="0"/>
          <w:bCs w:val="0"/>
        </w:rPr>
      </w:r>
    </w:p>
    <w:p>
      <w:pPr>
        <w:spacing w:line="240" w:lineRule="auto" w:before="3"/>
        <w:rPr>
          <w:rFonts w:ascii="宋体" w:hAnsi="宋体" w:cs="宋体" w:eastAsia="宋体" w:hint="default"/>
          <w:b/>
          <w:bCs/>
          <w:sz w:val="23"/>
          <w:szCs w:val="23"/>
        </w:rPr>
      </w:pPr>
    </w:p>
    <w:p>
      <w:pPr>
        <w:spacing w:before="44"/>
        <w:ind w:left="139"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6"/>
        <w:ind w:left="0" w:right="29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1253"/>
        <w:gridCol w:w="493"/>
        <w:gridCol w:w="466"/>
        <w:gridCol w:w="468"/>
        <w:gridCol w:w="468"/>
        <w:gridCol w:w="582"/>
        <w:gridCol w:w="948"/>
        <w:gridCol w:w="1277"/>
        <w:gridCol w:w="566"/>
        <w:gridCol w:w="1134"/>
        <w:gridCol w:w="709"/>
        <w:gridCol w:w="1276"/>
        <w:gridCol w:w="566"/>
        <w:gridCol w:w="1418"/>
        <w:gridCol w:w="991"/>
        <w:gridCol w:w="1418"/>
      </w:tblGrid>
      <w:tr>
        <w:trPr>
          <w:trHeight w:val="402" w:hRule="exact"/>
        </w:trPr>
        <w:tc>
          <w:tcPr>
            <w:tcW w:w="125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781" w:type="dxa"/>
            <w:gridSpan w:val="1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1253" w:type="dxa"/>
            <w:vMerge/>
            <w:tcBorders>
              <w:left w:val="single" w:sz="4" w:space="0" w:color="000000"/>
              <w:right w:val="single" w:sz="4" w:space="0" w:color="000000"/>
            </w:tcBorders>
            <w:shd w:val="clear" w:color="auto" w:fill="D3D3D3"/>
          </w:tcPr>
          <w:p>
            <w:pPr/>
          </w:p>
        </w:tc>
        <w:tc>
          <w:tcPr>
            <w:tcW w:w="10372" w:type="dxa"/>
            <w:gridSpan w:val="1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99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316" w:lineRule="auto"/>
              <w:ind w:left="400" w:right="38"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1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02" w:hRule="exact"/>
        </w:trPr>
        <w:tc>
          <w:tcPr>
            <w:tcW w:w="1253" w:type="dxa"/>
            <w:vMerge/>
            <w:tcBorders>
              <w:left w:val="single" w:sz="4" w:space="0" w:color="000000"/>
              <w:right w:val="single" w:sz="4" w:space="0" w:color="000000"/>
            </w:tcBorders>
            <w:shd w:val="clear" w:color="auto" w:fill="D3D3D3"/>
          </w:tcPr>
          <w:p>
            <w:pPr/>
          </w:p>
        </w:tc>
        <w:tc>
          <w:tcPr>
            <w:tcW w:w="49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6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54"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05" w:right="104"/>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94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5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13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0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79" w:right="78"/>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127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5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991" w:type="dxa"/>
            <w:vMerge/>
            <w:tcBorders>
              <w:left w:val="single" w:sz="4" w:space="0" w:color="000000"/>
              <w:right w:val="single" w:sz="4" w:space="0" w:color="000000"/>
            </w:tcBorders>
            <w:shd w:val="clear" w:color="auto" w:fill="D3D3D3"/>
          </w:tcPr>
          <w:p>
            <w:pPr/>
          </w:p>
        </w:tc>
        <w:tc>
          <w:tcPr>
            <w:tcW w:w="1418" w:type="dxa"/>
            <w:vMerge/>
            <w:tcBorders>
              <w:left w:val="single" w:sz="4" w:space="0" w:color="000000"/>
              <w:right w:val="single" w:sz="4" w:space="0" w:color="000000"/>
            </w:tcBorders>
            <w:shd w:val="clear" w:color="auto" w:fill="D3D3D3"/>
          </w:tcPr>
          <w:p>
            <w:pPr/>
          </w:p>
        </w:tc>
      </w:tr>
      <w:tr>
        <w:trPr>
          <w:trHeight w:val="714" w:hRule="exact"/>
        </w:trPr>
        <w:tc>
          <w:tcPr>
            <w:tcW w:w="1253" w:type="dxa"/>
            <w:vMerge/>
            <w:tcBorders>
              <w:left w:val="single" w:sz="4" w:space="0" w:color="000000"/>
              <w:bottom w:val="single" w:sz="4" w:space="0" w:color="000000"/>
              <w:right w:val="single" w:sz="4" w:space="0" w:color="000000"/>
            </w:tcBorders>
            <w:shd w:val="clear" w:color="auto" w:fill="D3D3D3"/>
          </w:tcPr>
          <w:p>
            <w:pPr/>
          </w:p>
        </w:tc>
        <w:tc>
          <w:tcPr>
            <w:tcW w:w="493" w:type="dxa"/>
            <w:vMerge/>
            <w:tcBorders>
              <w:left w:val="single" w:sz="4" w:space="0" w:color="000000"/>
              <w:bottom w:val="single" w:sz="4" w:space="0" w:color="000000"/>
              <w:right w:val="single" w:sz="4" w:space="0" w:color="000000"/>
            </w:tcBorders>
            <w:shd w:val="clear" w:color="auto" w:fill="D3D3D3"/>
          </w:tcPr>
          <w:p>
            <w:pPr/>
          </w:p>
        </w:tc>
        <w:tc>
          <w:tcPr>
            <w:tcW w:w="4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37" w:right="46"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4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39" w:right="4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4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2" w:type="dxa"/>
            <w:vMerge/>
            <w:tcBorders>
              <w:left w:val="single" w:sz="4" w:space="0" w:color="000000"/>
              <w:bottom w:val="single" w:sz="4" w:space="0" w:color="000000"/>
              <w:right w:val="single" w:sz="4" w:space="0" w:color="000000"/>
            </w:tcBorders>
            <w:shd w:val="clear" w:color="auto" w:fill="D3D3D3"/>
          </w:tcPr>
          <w:p>
            <w:pPr/>
          </w:p>
        </w:tc>
        <w:tc>
          <w:tcPr>
            <w:tcW w:w="948" w:type="dxa"/>
            <w:vMerge/>
            <w:tcBorders>
              <w:left w:val="single" w:sz="4" w:space="0" w:color="000000"/>
              <w:bottom w:val="single" w:sz="4" w:space="0" w:color="000000"/>
              <w:right w:val="single" w:sz="4" w:space="0" w:color="000000"/>
            </w:tcBorders>
            <w:shd w:val="clear" w:color="auto" w:fill="D3D3D3"/>
          </w:tcPr>
          <w:p>
            <w:pPr/>
          </w:p>
        </w:tc>
        <w:tc>
          <w:tcPr>
            <w:tcW w:w="1277" w:type="dxa"/>
            <w:vMerge/>
            <w:tcBorders>
              <w:left w:val="single" w:sz="4" w:space="0" w:color="000000"/>
              <w:bottom w:val="single" w:sz="4" w:space="0" w:color="000000"/>
              <w:right w:val="single" w:sz="4" w:space="0" w:color="000000"/>
            </w:tcBorders>
            <w:shd w:val="clear" w:color="auto" w:fill="D3D3D3"/>
          </w:tcPr>
          <w:p>
            <w:pPr/>
          </w:p>
        </w:tc>
        <w:tc>
          <w:tcPr>
            <w:tcW w:w="566" w:type="dxa"/>
            <w:vMerge/>
            <w:tcBorders>
              <w:left w:val="single" w:sz="4" w:space="0" w:color="000000"/>
              <w:bottom w:val="single" w:sz="4" w:space="0" w:color="000000"/>
              <w:right w:val="single" w:sz="4" w:space="0" w:color="000000"/>
            </w:tcBorders>
            <w:shd w:val="clear" w:color="auto" w:fill="D3D3D3"/>
          </w:tcPr>
          <w:p>
            <w:pPr/>
          </w:p>
        </w:tc>
        <w:tc>
          <w:tcPr>
            <w:tcW w:w="1134" w:type="dxa"/>
            <w:vMerge/>
            <w:tcBorders>
              <w:left w:val="single" w:sz="4" w:space="0" w:color="000000"/>
              <w:bottom w:val="single" w:sz="4" w:space="0" w:color="000000"/>
              <w:right w:val="single" w:sz="4" w:space="0" w:color="000000"/>
            </w:tcBorders>
            <w:shd w:val="clear" w:color="auto" w:fill="D3D3D3"/>
          </w:tcPr>
          <w:p>
            <w:pPr/>
          </w:p>
        </w:tc>
        <w:tc>
          <w:tcPr>
            <w:tcW w:w="709" w:type="dxa"/>
            <w:vMerge/>
            <w:tcBorders>
              <w:left w:val="single" w:sz="4" w:space="0" w:color="000000"/>
              <w:bottom w:val="single" w:sz="4" w:space="0" w:color="000000"/>
              <w:right w:val="single" w:sz="4" w:space="0" w:color="000000"/>
            </w:tcBorders>
            <w:shd w:val="clear" w:color="auto" w:fill="D3D3D3"/>
          </w:tcPr>
          <w:p>
            <w:pPr/>
          </w:p>
        </w:tc>
        <w:tc>
          <w:tcPr>
            <w:tcW w:w="1276" w:type="dxa"/>
            <w:vMerge/>
            <w:tcBorders>
              <w:left w:val="single" w:sz="4" w:space="0" w:color="000000"/>
              <w:bottom w:val="single" w:sz="4" w:space="0" w:color="000000"/>
              <w:right w:val="single" w:sz="4" w:space="0" w:color="000000"/>
            </w:tcBorders>
            <w:shd w:val="clear" w:color="auto" w:fill="D3D3D3"/>
          </w:tcPr>
          <w:p>
            <w:pPr/>
          </w:p>
        </w:tc>
        <w:tc>
          <w:tcPr>
            <w:tcW w:w="566" w:type="dxa"/>
            <w:vMerge/>
            <w:tcBorders>
              <w:left w:val="single" w:sz="4" w:space="0" w:color="000000"/>
              <w:bottom w:val="single" w:sz="4" w:space="0" w:color="000000"/>
              <w:right w:val="single" w:sz="4" w:space="0" w:color="000000"/>
            </w:tcBorders>
            <w:shd w:val="clear" w:color="auto" w:fill="D3D3D3"/>
          </w:tcPr>
          <w:p>
            <w:pPr/>
          </w:p>
        </w:tc>
        <w:tc>
          <w:tcPr>
            <w:tcW w:w="1418" w:type="dxa"/>
            <w:vMerge/>
            <w:tcBorders>
              <w:left w:val="single" w:sz="4" w:space="0" w:color="000000"/>
              <w:bottom w:val="single" w:sz="4" w:space="0" w:color="000000"/>
              <w:right w:val="single" w:sz="4" w:space="0" w:color="000000"/>
            </w:tcBorders>
            <w:shd w:val="clear" w:color="auto" w:fill="D3D3D3"/>
          </w:tcPr>
          <w:p>
            <w:pPr/>
          </w:p>
        </w:tc>
        <w:tc>
          <w:tcPr>
            <w:tcW w:w="991" w:type="dxa"/>
            <w:vMerge/>
            <w:tcBorders>
              <w:left w:val="single" w:sz="4" w:space="0" w:color="000000"/>
              <w:bottom w:val="single" w:sz="4" w:space="0" w:color="000000"/>
              <w:right w:val="single" w:sz="4" w:space="0" w:color="000000"/>
            </w:tcBorders>
            <w:shd w:val="clear" w:color="auto" w:fill="D3D3D3"/>
          </w:tcPr>
          <w:p>
            <w:pPr/>
          </w:p>
        </w:tc>
        <w:tc>
          <w:tcPr>
            <w:tcW w:w="1418" w:type="dxa"/>
            <w:vMerge/>
            <w:tcBorders>
              <w:left w:val="single" w:sz="4" w:space="0" w:color="000000"/>
              <w:bottom w:val="single" w:sz="4" w:space="0" w:color="000000"/>
              <w:right w:val="single" w:sz="4" w:space="0" w:color="000000"/>
            </w:tcBorders>
            <w:shd w:val="clear" w:color="auto" w:fill="D3D3D3"/>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20"/>
              <w:jc w:val="left"/>
              <w:rPr>
                <w:rFonts w:ascii="宋体" w:hAnsi="宋体" w:cs="宋体" w:eastAsia="宋体" w:hint="default"/>
                <w:sz w:val="18"/>
                <w:szCs w:val="18"/>
              </w:rPr>
            </w:pPr>
            <w:r>
              <w:rPr>
                <w:rFonts w:ascii="宋体" w:hAnsi="宋体" w:cs="宋体" w:eastAsia="宋体" w:hint="default"/>
                <w:spacing w:val="-9"/>
                <w:sz w:val="18"/>
                <w:szCs w:val="18"/>
              </w:rPr>
              <w:t>一、上年期末余</w:t>
            </w:r>
            <w:r>
              <w:rPr>
                <w:rFonts w:ascii="宋体" w:hAnsi="宋体" w:cs="宋体" w:eastAsia="宋体" w:hint="default"/>
                <w:sz w:val="18"/>
                <w:szCs w:val="18"/>
              </w:rPr>
              <w:t> 额</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left"/>
              <w:rPr>
                <w:rFonts w:ascii="Times New Roman" w:hAnsi="Times New Roman" w:cs="Times New Roman" w:eastAsia="Times New Roman" w:hint="default"/>
                <w:sz w:val="18"/>
                <w:szCs w:val="18"/>
              </w:rPr>
            </w:pPr>
            <w:r>
              <w:rPr>
                <w:rFonts w:ascii="Times New Roman"/>
                <w:sz w:val="18"/>
              </w:rPr>
              <w:t>623,9</w:t>
            </w:r>
          </w:p>
          <w:p>
            <w:pPr>
              <w:pStyle w:val="TableParagraph"/>
              <w:spacing w:line="240" w:lineRule="auto" w:before="104"/>
              <w:ind w:left="55" w:right="0"/>
              <w:jc w:val="left"/>
              <w:rPr>
                <w:rFonts w:ascii="Times New Roman" w:hAnsi="Times New Roman" w:cs="Times New Roman" w:eastAsia="Times New Roman" w:hint="default"/>
                <w:sz w:val="18"/>
                <w:szCs w:val="18"/>
              </w:rPr>
            </w:pPr>
            <w:r>
              <w:rPr>
                <w:rFonts w:ascii="Times New Roman"/>
                <w:sz w:val="18"/>
              </w:rPr>
              <w:t>64,81</w:t>
            </w:r>
          </w:p>
          <w:p>
            <w:pPr>
              <w:pStyle w:val="TableParagraph"/>
              <w:spacing w:line="240" w:lineRule="auto" w:before="106"/>
              <w:ind w:left="145" w:right="0"/>
              <w:jc w:val="left"/>
              <w:rPr>
                <w:rFonts w:ascii="Times New Roman" w:hAnsi="Times New Roman" w:cs="Times New Roman" w:eastAsia="Times New Roman" w:hint="default"/>
                <w:sz w:val="18"/>
                <w:szCs w:val="18"/>
              </w:rPr>
            </w:pPr>
            <w:r>
              <w:rPr>
                <w:rFonts w:ascii="Times New Roman"/>
                <w:sz w:val="18"/>
              </w:rPr>
              <w:t>0.00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 w:right="0"/>
              <w:jc w:val="center"/>
              <w:rPr>
                <w:rFonts w:ascii="Times New Roman" w:hAnsi="Times New Roman" w:cs="Times New Roman" w:eastAsia="Times New Roman" w:hint="default"/>
                <w:sz w:val="18"/>
                <w:szCs w:val="18"/>
              </w:rPr>
            </w:pPr>
            <w:r>
              <w:rPr>
                <w:rFonts w:ascii="Times New Roman"/>
                <w:sz w:val="18"/>
              </w:rPr>
              <w:t>1,767,</w:t>
            </w:r>
          </w:p>
          <w:p>
            <w:pPr>
              <w:pStyle w:val="TableParagraph"/>
              <w:spacing w:line="240" w:lineRule="auto" w:before="104"/>
              <w:ind w:left="33" w:right="0"/>
              <w:jc w:val="center"/>
              <w:rPr>
                <w:rFonts w:ascii="Times New Roman" w:hAnsi="Times New Roman" w:cs="Times New Roman" w:eastAsia="Times New Roman" w:hint="default"/>
                <w:sz w:val="18"/>
                <w:szCs w:val="18"/>
              </w:rPr>
            </w:pPr>
            <w:r>
              <w:rPr>
                <w:rFonts w:ascii="Times New Roman"/>
                <w:sz w:val="18"/>
              </w:rPr>
              <w:t>039,31</w:t>
            </w:r>
          </w:p>
          <w:p>
            <w:pPr>
              <w:pStyle w:val="TableParagraph"/>
              <w:spacing w:line="240" w:lineRule="auto" w:before="106"/>
              <w:ind w:left="213" w:right="0"/>
              <w:jc w:val="center"/>
              <w:rPr>
                <w:rFonts w:ascii="Times New Roman" w:hAnsi="Times New Roman" w:cs="Times New Roman" w:eastAsia="Times New Roman" w:hint="default"/>
                <w:sz w:val="18"/>
                <w:szCs w:val="18"/>
              </w:rPr>
            </w:pPr>
            <w:r>
              <w:rPr>
                <w:rFonts w:ascii="Times New Roman"/>
                <w:sz w:val="18"/>
              </w:rPr>
              <w:t>2.38</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45,615,168.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120,141,337.25</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19,602,961.52</w:t>
            </w: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-298,489,381.22</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2,186,643,871.73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-210,091.95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2,186,433,779.78</w:t>
            </w: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3"/>
                <w:sz w:val="18"/>
                <w:szCs w:val="18"/>
              </w:rPr>
              <w:t>加：会计政</w:t>
            </w:r>
            <w:r>
              <w:rPr>
                <w:rFonts w:ascii="宋体" w:hAnsi="宋体" w:cs="宋体" w:eastAsia="宋体" w:hint="default"/>
                <w:sz w:val="18"/>
                <w:szCs w:val="18"/>
              </w:rPr>
              <w:t> 策变更</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-120,141,337.25</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4" w:right="0"/>
              <w:jc w:val="center"/>
              <w:rPr>
                <w:rFonts w:ascii="Times New Roman" w:hAnsi="Times New Roman" w:cs="Times New Roman" w:eastAsia="Times New Roman" w:hint="default"/>
                <w:sz w:val="18"/>
                <w:szCs w:val="18"/>
              </w:rPr>
            </w:pPr>
            <w:r>
              <w:rPr>
                <w:rFonts w:ascii="Times New Roman"/>
                <w:sz w:val="18"/>
              </w:rPr>
              <w:t>120,141,337.25</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38"/>
              <w:jc w:val="left"/>
              <w:rPr>
                <w:rFonts w:ascii="宋体" w:hAnsi="宋体" w:cs="宋体" w:eastAsia="宋体" w:hint="default"/>
                <w:sz w:val="18"/>
                <w:szCs w:val="18"/>
              </w:rPr>
            </w:pPr>
            <w:r>
              <w:rPr>
                <w:rFonts w:ascii="宋体" w:hAnsi="宋体" w:cs="宋体" w:eastAsia="宋体" w:hint="default"/>
                <w:sz w:val="18"/>
                <w:szCs w:val="18"/>
              </w:rPr>
              <w:t>        前期 差错更正</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38"/>
              <w:jc w:val="both"/>
              <w:rPr>
                <w:rFonts w:ascii="宋体" w:hAnsi="宋体" w:cs="宋体" w:eastAsia="宋体" w:hint="default"/>
                <w:sz w:val="18"/>
                <w:szCs w:val="18"/>
              </w:rPr>
            </w:pPr>
            <w:r>
              <w:rPr>
                <w:rFonts w:ascii="宋体" w:hAnsi="宋体" w:cs="宋体" w:eastAsia="宋体" w:hint="default"/>
                <w:sz w:val="18"/>
                <w:szCs w:val="18"/>
              </w:rPr>
              <w:t>        同一 控制下企业合 并</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20"/>
              <w:jc w:val="left"/>
              <w:rPr>
                <w:rFonts w:ascii="宋体" w:hAnsi="宋体" w:cs="宋体" w:eastAsia="宋体" w:hint="default"/>
                <w:sz w:val="18"/>
                <w:szCs w:val="18"/>
              </w:rPr>
            </w:pPr>
            <w:r>
              <w:rPr>
                <w:rFonts w:ascii="宋体" w:hAnsi="宋体" w:cs="宋体" w:eastAsia="宋体" w:hint="default"/>
                <w:spacing w:val="-9"/>
                <w:sz w:val="18"/>
                <w:szCs w:val="18"/>
              </w:rPr>
              <w:t>二、本年期初余</w:t>
            </w:r>
            <w:r>
              <w:rPr>
                <w:rFonts w:ascii="宋体" w:hAnsi="宋体" w:cs="宋体" w:eastAsia="宋体" w:hint="default"/>
                <w:sz w:val="18"/>
                <w:szCs w:val="18"/>
              </w:rPr>
              <w:t> 额</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left"/>
              <w:rPr>
                <w:rFonts w:ascii="Times New Roman" w:hAnsi="Times New Roman" w:cs="Times New Roman" w:eastAsia="Times New Roman" w:hint="default"/>
                <w:sz w:val="18"/>
                <w:szCs w:val="18"/>
              </w:rPr>
            </w:pPr>
            <w:r>
              <w:rPr>
                <w:rFonts w:ascii="Times New Roman"/>
                <w:sz w:val="18"/>
              </w:rPr>
              <w:t>623,9</w:t>
            </w:r>
          </w:p>
          <w:p>
            <w:pPr>
              <w:pStyle w:val="TableParagraph"/>
              <w:spacing w:line="240" w:lineRule="auto" w:before="104"/>
              <w:ind w:left="55" w:right="0"/>
              <w:jc w:val="left"/>
              <w:rPr>
                <w:rFonts w:ascii="Times New Roman" w:hAnsi="Times New Roman" w:cs="Times New Roman" w:eastAsia="Times New Roman" w:hint="default"/>
                <w:sz w:val="18"/>
                <w:szCs w:val="18"/>
              </w:rPr>
            </w:pPr>
            <w:r>
              <w:rPr>
                <w:rFonts w:ascii="Times New Roman"/>
                <w:sz w:val="18"/>
              </w:rPr>
              <w:t>64,81</w:t>
            </w:r>
          </w:p>
          <w:p>
            <w:pPr>
              <w:pStyle w:val="TableParagraph"/>
              <w:spacing w:line="240" w:lineRule="auto" w:before="106"/>
              <w:ind w:left="145" w:right="0"/>
              <w:jc w:val="left"/>
              <w:rPr>
                <w:rFonts w:ascii="Times New Roman" w:hAnsi="Times New Roman" w:cs="Times New Roman" w:eastAsia="Times New Roman" w:hint="default"/>
                <w:sz w:val="18"/>
                <w:szCs w:val="18"/>
              </w:rPr>
            </w:pPr>
            <w:r>
              <w:rPr>
                <w:rFonts w:ascii="Times New Roman"/>
                <w:sz w:val="18"/>
              </w:rPr>
              <w:t>0.00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 w:right="0"/>
              <w:jc w:val="center"/>
              <w:rPr>
                <w:rFonts w:ascii="Times New Roman" w:hAnsi="Times New Roman" w:cs="Times New Roman" w:eastAsia="Times New Roman" w:hint="default"/>
                <w:sz w:val="18"/>
                <w:szCs w:val="18"/>
              </w:rPr>
            </w:pPr>
            <w:r>
              <w:rPr>
                <w:rFonts w:ascii="Times New Roman"/>
                <w:sz w:val="18"/>
              </w:rPr>
              <w:t>1,767,</w:t>
            </w:r>
          </w:p>
          <w:p>
            <w:pPr>
              <w:pStyle w:val="TableParagraph"/>
              <w:spacing w:line="240" w:lineRule="auto" w:before="104"/>
              <w:ind w:left="33" w:right="0"/>
              <w:jc w:val="center"/>
              <w:rPr>
                <w:rFonts w:ascii="Times New Roman" w:hAnsi="Times New Roman" w:cs="Times New Roman" w:eastAsia="Times New Roman" w:hint="default"/>
                <w:sz w:val="18"/>
                <w:szCs w:val="18"/>
              </w:rPr>
            </w:pPr>
            <w:r>
              <w:rPr>
                <w:rFonts w:ascii="Times New Roman"/>
                <w:sz w:val="18"/>
              </w:rPr>
              <w:t>039,31</w:t>
            </w:r>
          </w:p>
          <w:p>
            <w:pPr>
              <w:pStyle w:val="TableParagraph"/>
              <w:spacing w:line="240" w:lineRule="auto" w:before="106"/>
              <w:ind w:left="213" w:right="0"/>
              <w:jc w:val="center"/>
              <w:rPr>
                <w:rFonts w:ascii="Times New Roman" w:hAnsi="Times New Roman" w:cs="Times New Roman" w:eastAsia="Times New Roman" w:hint="default"/>
                <w:sz w:val="18"/>
                <w:szCs w:val="18"/>
              </w:rPr>
            </w:pPr>
            <w:r>
              <w:rPr>
                <w:rFonts w:ascii="Times New Roman"/>
                <w:sz w:val="18"/>
              </w:rPr>
              <w:t>2.38</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45,615,168.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19,602,961.52</w:t>
            </w: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-178,348,043.97</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2,186,643,871.73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-210,091.95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2,186,433,779.78</w:t>
            </w: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both"/>
              <w:rPr>
                <w:rFonts w:ascii="宋体" w:hAnsi="宋体" w:cs="宋体" w:eastAsia="宋体" w:hint="default"/>
                <w:sz w:val="18"/>
                <w:szCs w:val="18"/>
              </w:rPr>
            </w:pPr>
            <w:r>
              <w:rPr>
                <w:rFonts w:ascii="宋体" w:hAnsi="宋体" w:cs="宋体" w:eastAsia="宋体" w:hint="default"/>
                <w:spacing w:val="-9"/>
                <w:sz w:val="18"/>
                <w:szCs w:val="18"/>
              </w:rPr>
              <w:t>三、本期增减变</w:t>
            </w:r>
            <w:r>
              <w:rPr>
                <w:rFonts w:ascii="宋体" w:hAnsi="宋体" w:cs="宋体" w:eastAsia="宋体" w:hint="default"/>
                <w:sz w:val="18"/>
                <w:szCs w:val="18"/>
              </w:rPr>
              <w:t> </w:t>
            </w:r>
            <w:r>
              <w:rPr>
                <w:rFonts w:ascii="宋体" w:hAnsi="宋体" w:cs="宋体" w:eastAsia="宋体" w:hint="default"/>
                <w:spacing w:val="-9"/>
                <w:sz w:val="18"/>
                <w:szCs w:val="18"/>
              </w:rPr>
              <w:t>动金额（减少以</w:t>
            </w: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-42,2</w:t>
            </w:r>
          </w:p>
          <w:p>
            <w:pPr>
              <w:pStyle w:val="TableParagraph"/>
              <w:spacing w:line="240" w:lineRule="auto" w:before="104"/>
              <w:ind w:left="55" w:right="0"/>
              <w:jc w:val="left"/>
              <w:rPr>
                <w:rFonts w:ascii="Times New Roman" w:hAnsi="Times New Roman" w:cs="Times New Roman" w:eastAsia="Times New Roman" w:hint="default"/>
                <w:sz w:val="18"/>
                <w:szCs w:val="18"/>
              </w:rPr>
            </w:pPr>
            <w:r>
              <w:rPr>
                <w:rFonts w:ascii="Times New Roman"/>
                <w:sz w:val="18"/>
              </w:rPr>
              <w:t>20,52</w:t>
            </w:r>
          </w:p>
          <w:p>
            <w:pPr>
              <w:pStyle w:val="TableParagraph"/>
              <w:spacing w:line="240" w:lineRule="auto" w:before="106"/>
              <w:ind w:left="145" w:right="0"/>
              <w:jc w:val="left"/>
              <w:rPr>
                <w:rFonts w:ascii="Times New Roman" w:hAnsi="Times New Roman" w:cs="Times New Roman" w:eastAsia="Times New Roman" w:hint="default"/>
                <w:sz w:val="18"/>
                <w:szCs w:val="18"/>
              </w:rPr>
            </w:pPr>
            <w:r>
              <w:rPr>
                <w:rFonts w:ascii="Times New Roman"/>
                <w:sz w:val="18"/>
              </w:rPr>
              <w:t>6.00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-346,6</w:t>
            </w:r>
          </w:p>
          <w:p>
            <w:pPr>
              <w:pStyle w:val="TableParagraph"/>
              <w:spacing w:line="240" w:lineRule="auto" w:before="104"/>
              <w:ind w:left="61" w:right="0"/>
              <w:jc w:val="left"/>
              <w:rPr>
                <w:rFonts w:ascii="Times New Roman" w:hAnsi="Times New Roman" w:cs="Times New Roman" w:eastAsia="Times New Roman" w:hint="default"/>
                <w:sz w:val="18"/>
                <w:szCs w:val="18"/>
              </w:rPr>
            </w:pPr>
            <w:r>
              <w:rPr>
                <w:rFonts w:ascii="Times New Roman"/>
                <w:sz w:val="18"/>
              </w:rPr>
              <w:t>78,114</w:t>
            </w:r>
          </w:p>
          <w:p>
            <w:pPr>
              <w:pStyle w:val="TableParagraph"/>
              <w:spacing w:line="240" w:lineRule="auto" w:before="106"/>
              <w:ind w:left="325" w:right="0"/>
              <w:jc w:val="left"/>
              <w:rPr>
                <w:rFonts w:ascii="Times New Roman" w:hAnsi="Times New Roman" w:cs="Times New Roman" w:eastAsia="Times New Roman" w:hint="default"/>
                <w:sz w:val="18"/>
                <w:szCs w:val="18"/>
              </w:rPr>
            </w:pPr>
            <w:r>
              <w:rPr>
                <w:rFonts w:ascii="Times New Roman"/>
                <w:sz w:val="18"/>
              </w:rPr>
              <w:t>.62</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-34,463,758</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center"/>
              <w:rPr>
                <w:rFonts w:ascii="Times New Roman" w:hAnsi="Times New Roman" w:cs="Times New Roman" w:eastAsia="Times New Roman" w:hint="default"/>
                <w:sz w:val="18"/>
                <w:szCs w:val="18"/>
              </w:rPr>
            </w:pPr>
            <w:r>
              <w:rPr>
                <w:rFonts w:ascii="Times New Roman"/>
                <w:sz w:val="18"/>
              </w:rPr>
              <w:t>24,057,565.30</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-330,377,317.12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27" w:right="0"/>
              <w:jc w:val="center"/>
              <w:rPr>
                <w:rFonts w:ascii="Times New Roman" w:hAnsi="Times New Roman" w:cs="Times New Roman" w:eastAsia="Times New Roman" w:hint="default"/>
                <w:sz w:val="18"/>
                <w:szCs w:val="18"/>
              </w:rPr>
            </w:pPr>
            <w:r>
              <w:rPr>
                <w:rFonts w:ascii="Times New Roman"/>
                <w:sz w:val="18"/>
              </w:rPr>
              <w:t>144,748.66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-330,232,568.46</w:t>
            </w:r>
          </w:p>
        </w:tc>
      </w:tr>
    </w:tbl>
    <w:p>
      <w:pPr>
        <w:spacing w:after="0" w:line="240" w:lineRule="auto"/>
        <w:jc w:val="right"/>
        <w:rPr>
          <w:rFonts w:ascii="Times New Roman" w:hAnsi="Times New Roman" w:cs="Times New Roman" w:eastAsia="Times New Roman" w:hint="default"/>
          <w:sz w:val="18"/>
          <w:szCs w:val="18"/>
        </w:rPr>
        <w:sectPr>
          <w:headerReference w:type="default" r:id="rId32"/>
          <w:footerReference w:type="default" r:id="rId33"/>
          <w:pgSz w:w="16840" w:h="11910" w:orient="landscape"/>
          <w:pgMar w:header="867" w:footer="978" w:top="1060" w:bottom="1160" w:left="1300" w:right="1240"/>
          <w:pgNumType w:start="104"/>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253"/>
        <w:gridCol w:w="493"/>
        <w:gridCol w:w="466"/>
        <w:gridCol w:w="468"/>
        <w:gridCol w:w="468"/>
        <w:gridCol w:w="582"/>
        <w:gridCol w:w="948"/>
        <w:gridCol w:w="1277"/>
        <w:gridCol w:w="566"/>
        <w:gridCol w:w="1134"/>
        <w:gridCol w:w="709"/>
        <w:gridCol w:w="1276"/>
        <w:gridCol w:w="566"/>
        <w:gridCol w:w="1418"/>
        <w:gridCol w:w="991"/>
        <w:gridCol w:w="1418"/>
      </w:tblGrid>
      <w:tr>
        <w:trPr>
          <w:trHeight w:val="728" w:hRule="exact"/>
        </w:trPr>
        <w:tc>
          <w:tcPr>
            <w:tcW w:w="1253"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0"/>
              <w:jc w:val="left"/>
              <w:rPr>
                <w:rFonts w:ascii="宋体" w:hAnsi="宋体" w:cs="宋体" w:eastAsia="宋体" w:hint="default"/>
                <w:sz w:val="18"/>
                <w:szCs w:val="18"/>
              </w:rPr>
            </w:pPr>
            <w:r>
              <w:rPr>
                <w:rFonts w:ascii="宋体" w:hAnsi="宋体" w:cs="宋体" w:eastAsia="宋体" w:hint="default"/>
                <w:spacing w:val="-9"/>
                <w:sz w:val="18"/>
                <w:szCs w:val="18"/>
              </w:rPr>
              <w:t>（一）综合收益</w:t>
            </w:r>
            <w:r>
              <w:rPr>
                <w:rFonts w:ascii="宋体" w:hAnsi="宋体" w:cs="宋体" w:eastAsia="宋体" w:hint="default"/>
                <w:sz w:val="18"/>
                <w:szCs w:val="18"/>
              </w:rPr>
              <w:t> 总额</w:t>
            </w:r>
          </w:p>
        </w:tc>
        <w:tc>
          <w:tcPr>
            <w:tcW w:w="493" w:type="dxa"/>
            <w:tcBorders>
              <w:top w:val="single" w:sz="15" w:space="0" w:color="000000"/>
              <w:left w:val="single" w:sz="4" w:space="0" w:color="000000"/>
              <w:bottom w:val="single" w:sz="4" w:space="0" w:color="000000"/>
              <w:right w:val="single" w:sz="4" w:space="0" w:color="000000"/>
            </w:tcBorders>
          </w:tcPr>
          <w:p>
            <w:pPr/>
          </w:p>
        </w:tc>
        <w:tc>
          <w:tcPr>
            <w:tcW w:w="466" w:type="dxa"/>
            <w:tcBorders>
              <w:top w:val="single" w:sz="15" w:space="0" w:color="000000"/>
              <w:left w:val="single" w:sz="4" w:space="0" w:color="000000"/>
              <w:bottom w:val="single" w:sz="4" w:space="0" w:color="000000"/>
              <w:right w:val="single" w:sz="4" w:space="0" w:color="000000"/>
            </w:tcBorders>
          </w:tcPr>
          <w:p>
            <w:pPr/>
          </w:p>
        </w:tc>
        <w:tc>
          <w:tcPr>
            <w:tcW w:w="468" w:type="dxa"/>
            <w:tcBorders>
              <w:top w:val="single" w:sz="15" w:space="0" w:color="000000"/>
              <w:left w:val="single" w:sz="4" w:space="0" w:color="000000"/>
              <w:bottom w:val="single" w:sz="4" w:space="0" w:color="000000"/>
              <w:right w:val="single" w:sz="4" w:space="0" w:color="000000"/>
            </w:tcBorders>
          </w:tcPr>
          <w:p>
            <w:pPr/>
          </w:p>
        </w:tc>
        <w:tc>
          <w:tcPr>
            <w:tcW w:w="468" w:type="dxa"/>
            <w:tcBorders>
              <w:top w:val="single" w:sz="15" w:space="0" w:color="000000"/>
              <w:left w:val="single" w:sz="4" w:space="0" w:color="000000"/>
              <w:bottom w:val="single" w:sz="4" w:space="0" w:color="000000"/>
              <w:right w:val="single" w:sz="4" w:space="0" w:color="000000"/>
            </w:tcBorders>
          </w:tcPr>
          <w:p>
            <w:pPr/>
          </w:p>
        </w:tc>
        <w:tc>
          <w:tcPr>
            <w:tcW w:w="582" w:type="dxa"/>
            <w:tcBorders>
              <w:top w:val="single" w:sz="15" w:space="0" w:color="000000"/>
              <w:left w:val="single" w:sz="4" w:space="0" w:color="000000"/>
              <w:bottom w:val="single" w:sz="4" w:space="0" w:color="000000"/>
              <w:right w:val="single" w:sz="4" w:space="0" w:color="000000"/>
            </w:tcBorders>
          </w:tcPr>
          <w:p>
            <w:pPr/>
          </w:p>
        </w:tc>
        <w:tc>
          <w:tcPr>
            <w:tcW w:w="948"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7" w:right="0"/>
              <w:jc w:val="left"/>
              <w:rPr>
                <w:rFonts w:ascii="Times New Roman" w:hAnsi="Times New Roman" w:cs="Times New Roman" w:eastAsia="Times New Roman" w:hint="default"/>
                <w:sz w:val="18"/>
                <w:szCs w:val="18"/>
              </w:rPr>
            </w:pPr>
            <w:r>
              <w:rPr>
                <w:rFonts w:ascii="Times New Roman"/>
                <w:sz w:val="18"/>
              </w:rPr>
              <w:t>24,057,565.30</w:t>
            </w:r>
          </w:p>
        </w:tc>
        <w:tc>
          <w:tcPr>
            <w:tcW w:w="56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24,057,565.30</w:t>
            </w:r>
          </w:p>
        </w:tc>
        <w:tc>
          <w:tcPr>
            <w:tcW w:w="99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144,748.66</w:t>
            </w:r>
          </w:p>
        </w:tc>
        <w:tc>
          <w:tcPr>
            <w:tcW w:w="141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24,202,313.96</w:t>
            </w: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0"/>
              <w:jc w:val="left"/>
              <w:rPr>
                <w:rFonts w:ascii="宋体" w:hAnsi="宋体" w:cs="宋体" w:eastAsia="宋体" w:hint="default"/>
                <w:sz w:val="18"/>
                <w:szCs w:val="18"/>
              </w:rPr>
            </w:pPr>
            <w:r>
              <w:rPr>
                <w:rFonts w:ascii="宋体" w:hAnsi="宋体" w:cs="宋体" w:eastAsia="宋体" w:hint="default"/>
                <w:spacing w:val="-9"/>
                <w:sz w:val="18"/>
                <w:szCs w:val="18"/>
              </w:rPr>
              <w:t>（二）所有者投</w:t>
            </w:r>
            <w:r>
              <w:rPr>
                <w:rFonts w:ascii="宋体" w:hAnsi="宋体" w:cs="宋体" w:eastAsia="宋体" w:hint="default"/>
                <w:sz w:val="18"/>
                <w:szCs w:val="18"/>
              </w:rPr>
              <w:t> 入和减少资本</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-42,2</w:t>
            </w:r>
          </w:p>
          <w:p>
            <w:pPr>
              <w:pStyle w:val="TableParagraph"/>
              <w:spacing w:line="240" w:lineRule="auto" w:before="105"/>
              <w:ind w:left="55" w:right="0"/>
              <w:jc w:val="left"/>
              <w:rPr>
                <w:rFonts w:ascii="Times New Roman" w:hAnsi="Times New Roman" w:cs="Times New Roman" w:eastAsia="Times New Roman" w:hint="default"/>
                <w:sz w:val="18"/>
                <w:szCs w:val="18"/>
              </w:rPr>
            </w:pPr>
            <w:r>
              <w:rPr>
                <w:rFonts w:ascii="Times New Roman"/>
                <w:sz w:val="18"/>
              </w:rPr>
              <w:t>20,52</w:t>
            </w:r>
          </w:p>
          <w:p>
            <w:pPr>
              <w:pStyle w:val="TableParagraph"/>
              <w:spacing w:line="240" w:lineRule="auto" w:before="106"/>
              <w:ind w:left="145" w:right="0"/>
              <w:jc w:val="left"/>
              <w:rPr>
                <w:rFonts w:ascii="Times New Roman" w:hAnsi="Times New Roman" w:cs="Times New Roman" w:eastAsia="Times New Roman" w:hint="default"/>
                <w:sz w:val="18"/>
                <w:szCs w:val="18"/>
              </w:rPr>
            </w:pPr>
            <w:r>
              <w:rPr>
                <w:rFonts w:ascii="Times New Roman"/>
                <w:sz w:val="18"/>
              </w:rPr>
              <w:t>6.00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-346,6</w:t>
            </w:r>
          </w:p>
          <w:p>
            <w:pPr>
              <w:pStyle w:val="TableParagraph"/>
              <w:spacing w:line="240" w:lineRule="auto" w:before="105"/>
              <w:ind w:left="61" w:right="0"/>
              <w:jc w:val="left"/>
              <w:rPr>
                <w:rFonts w:ascii="Times New Roman" w:hAnsi="Times New Roman" w:cs="Times New Roman" w:eastAsia="Times New Roman" w:hint="default"/>
                <w:sz w:val="18"/>
                <w:szCs w:val="18"/>
              </w:rPr>
            </w:pPr>
            <w:r>
              <w:rPr>
                <w:rFonts w:ascii="Times New Roman"/>
                <w:sz w:val="18"/>
              </w:rPr>
              <w:t>78,114</w:t>
            </w:r>
          </w:p>
          <w:p>
            <w:pPr>
              <w:pStyle w:val="TableParagraph"/>
              <w:spacing w:line="240" w:lineRule="auto" w:before="106"/>
              <w:ind w:left="325" w:right="0"/>
              <w:jc w:val="left"/>
              <w:rPr>
                <w:rFonts w:ascii="Times New Roman" w:hAnsi="Times New Roman" w:cs="Times New Roman" w:eastAsia="Times New Roman" w:hint="default"/>
                <w:sz w:val="18"/>
                <w:szCs w:val="18"/>
              </w:rPr>
            </w:pPr>
            <w:r>
              <w:rPr>
                <w:rFonts w:ascii="Times New Roman"/>
                <w:sz w:val="18"/>
              </w:rPr>
              <w:t>.62</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-34,463,758</w:t>
            </w:r>
            <w:r>
              <w:rPr>
                <w:rFonts w:ascii="Times New Roman"/>
                <w:sz w:val="18"/>
              </w:rPr>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.20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-354,434,882.42</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-354,434,882.42</w:t>
            </w: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-42,2</w:t>
            </w:r>
          </w:p>
          <w:p>
            <w:pPr>
              <w:pStyle w:val="TableParagraph"/>
              <w:spacing w:line="240" w:lineRule="auto" w:before="105"/>
              <w:ind w:left="55" w:right="0"/>
              <w:jc w:val="left"/>
              <w:rPr>
                <w:rFonts w:ascii="Times New Roman" w:hAnsi="Times New Roman" w:cs="Times New Roman" w:eastAsia="Times New Roman" w:hint="default"/>
                <w:sz w:val="18"/>
                <w:szCs w:val="18"/>
              </w:rPr>
            </w:pPr>
            <w:r>
              <w:rPr>
                <w:rFonts w:ascii="Times New Roman"/>
                <w:sz w:val="18"/>
              </w:rPr>
              <w:t>20,52</w:t>
            </w:r>
          </w:p>
          <w:p>
            <w:pPr>
              <w:pStyle w:val="TableParagraph"/>
              <w:spacing w:line="240" w:lineRule="auto" w:before="106"/>
              <w:ind w:left="145" w:right="0"/>
              <w:jc w:val="left"/>
              <w:rPr>
                <w:rFonts w:ascii="Times New Roman" w:hAnsi="Times New Roman" w:cs="Times New Roman" w:eastAsia="Times New Roman" w:hint="default"/>
                <w:sz w:val="18"/>
                <w:szCs w:val="18"/>
              </w:rPr>
            </w:pPr>
            <w:r>
              <w:rPr>
                <w:rFonts w:ascii="Times New Roman"/>
                <w:sz w:val="18"/>
              </w:rPr>
              <w:t>6.00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-346,6</w:t>
            </w:r>
          </w:p>
          <w:p>
            <w:pPr>
              <w:pStyle w:val="TableParagraph"/>
              <w:spacing w:line="240" w:lineRule="auto" w:before="105"/>
              <w:ind w:left="61" w:right="0"/>
              <w:jc w:val="left"/>
              <w:rPr>
                <w:rFonts w:ascii="Times New Roman" w:hAnsi="Times New Roman" w:cs="Times New Roman" w:eastAsia="Times New Roman" w:hint="default"/>
                <w:sz w:val="18"/>
                <w:szCs w:val="18"/>
              </w:rPr>
            </w:pPr>
            <w:r>
              <w:rPr>
                <w:rFonts w:ascii="Times New Roman"/>
                <w:sz w:val="18"/>
              </w:rPr>
              <w:t>78,114</w:t>
            </w:r>
          </w:p>
          <w:p>
            <w:pPr>
              <w:pStyle w:val="TableParagraph"/>
              <w:spacing w:line="240" w:lineRule="auto" w:before="106"/>
              <w:ind w:left="325" w:right="0"/>
              <w:jc w:val="left"/>
              <w:rPr>
                <w:rFonts w:ascii="Times New Roman" w:hAnsi="Times New Roman" w:cs="Times New Roman" w:eastAsia="Times New Roman" w:hint="default"/>
                <w:sz w:val="18"/>
                <w:szCs w:val="18"/>
              </w:rPr>
            </w:pPr>
            <w:r>
              <w:rPr>
                <w:rFonts w:ascii="Times New Roman"/>
                <w:sz w:val="18"/>
              </w:rPr>
              <w:t>.62</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-34,463,758</w:t>
            </w:r>
            <w:r>
              <w:rPr>
                <w:rFonts w:ascii="Times New Roman"/>
                <w:sz w:val="18"/>
              </w:rPr>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.20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-354,434,882.42</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-354,434,882.42</w:t>
            </w: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
                <w:sz w:val="18"/>
                <w:szCs w:val="18"/>
              </w:rPr>
              <w:t>（三）利润分配</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20"/>
                <w:sz w:val="18"/>
                <w:szCs w:val="18"/>
              </w:rPr>
              <w:t>3</w:t>
            </w:r>
            <w:r>
              <w:rPr>
                <w:rFonts w:ascii="宋体" w:hAnsi="宋体" w:cs="宋体" w:eastAsia="宋体" w:hint="default"/>
                <w:spacing w:val="-20"/>
                <w:sz w:val="18"/>
                <w:szCs w:val="18"/>
              </w:rPr>
              <w:t>．对所有者（或</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股东）的分配</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0"/>
              <w:jc w:val="left"/>
              <w:rPr>
                <w:rFonts w:ascii="宋体" w:hAnsi="宋体" w:cs="宋体" w:eastAsia="宋体" w:hint="default"/>
                <w:sz w:val="18"/>
                <w:szCs w:val="18"/>
              </w:rPr>
            </w:pPr>
            <w:r>
              <w:rPr>
                <w:rFonts w:ascii="宋体" w:hAnsi="宋体" w:cs="宋体" w:eastAsia="宋体" w:hint="default"/>
                <w:spacing w:val="-9"/>
                <w:sz w:val="18"/>
                <w:szCs w:val="18"/>
              </w:rPr>
              <w:t>（四）所有者权</w:t>
            </w:r>
            <w:r>
              <w:rPr>
                <w:rFonts w:ascii="宋体" w:hAnsi="宋体" w:cs="宋体" w:eastAsia="宋体" w:hint="default"/>
                <w:sz w:val="18"/>
                <w:szCs w:val="18"/>
              </w:rPr>
              <w:t> 益内部结转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8" w:top="1060" w:bottom="1160" w:left="1320" w:right="124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253"/>
        <w:gridCol w:w="493"/>
        <w:gridCol w:w="466"/>
        <w:gridCol w:w="468"/>
        <w:gridCol w:w="468"/>
        <w:gridCol w:w="582"/>
        <w:gridCol w:w="948"/>
        <w:gridCol w:w="1277"/>
        <w:gridCol w:w="566"/>
        <w:gridCol w:w="1134"/>
        <w:gridCol w:w="709"/>
        <w:gridCol w:w="1276"/>
        <w:gridCol w:w="566"/>
        <w:gridCol w:w="1418"/>
        <w:gridCol w:w="991"/>
        <w:gridCol w:w="1418"/>
      </w:tblGrid>
      <w:tr>
        <w:trPr>
          <w:trHeight w:val="1040" w:hRule="exact"/>
        </w:trPr>
        <w:tc>
          <w:tcPr>
            <w:tcW w:w="1253"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493" w:type="dxa"/>
            <w:tcBorders>
              <w:top w:val="single" w:sz="15" w:space="0" w:color="000000"/>
              <w:left w:val="single" w:sz="4" w:space="0" w:color="000000"/>
              <w:bottom w:val="single" w:sz="4" w:space="0" w:color="000000"/>
              <w:right w:val="single" w:sz="4" w:space="0" w:color="000000"/>
            </w:tcBorders>
          </w:tcPr>
          <w:p>
            <w:pPr/>
          </w:p>
        </w:tc>
        <w:tc>
          <w:tcPr>
            <w:tcW w:w="466" w:type="dxa"/>
            <w:tcBorders>
              <w:top w:val="single" w:sz="15" w:space="0" w:color="000000"/>
              <w:left w:val="single" w:sz="4" w:space="0" w:color="000000"/>
              <w:bottom w:val="single" w:sz="4" w:space="0" w:color="000000"/>
              <w:right w:val="single" w:sz="4" w:space="0" w:color="000000"/>
            </w:tcBorders>
          </w:tcPr>
          <w:p>
            <w:pPr/>
          </w:p>
        </w:tc>
        <w:tc>
          <w:tcPr>
            <w:tcW w:w="468" w:type="dxa"/>
            <w:tcBorders>
              <w:top w:val="single" w:sz="15" w:space="0" w:color="000000"/>
              <w:left w:val="single" w:sz="4" w:space="0" w:color="000000"/>
              <w:bottom w:val="single" w:sz="4" w:space="0" w:color="000000"/>
              <w:right w:val="single" w:sz="4" w:space="0" w:color="000000"/>
            </w:tcBorders>
          </w:tcPr>
          <w:p>
            <w:pPr/>
          </w:p>
        </w:tc>
        <w:tc>
          <w:tcPr>
            <w:tcW w:w="468" w:type="dxa"/>
            <w:tcBorders>
              <w:top w:val="single" w:sz="15" w:space="0" w:color="000000"/>
              <w:left w:val="single" w:sz="4" w:space="0" w:color="000000"/>
              <w:bottom w:val="single" w:sz="4" w:space="0" w:color="000000"/>
              <w:right w:val="single" w:sz="4" w:space="0" w:color="000000"/>
            </w:tcBorders>
          </w:tcPr>
          <w:p>
            <w:pPr/>
          </w:p>
        </w:tc>
        <w:tc>
          <w:tcPr>
            <w:tcW w:w="582" w:type="dxa"/>
            <w:tcBorders>
              <w:top w:val="single" w:sz="15" w:space="0" w:color="000000"/>
              <w:left w:val="single" w:sz="4" w:space="0" w:color="000000"/>
              <w:bottom w:val="single" w:sz="4" w:space="0" w:color="000000"/>
              <w:right w:val="single" w:sz="4" w:space="0" w:color="000000"/>
            </w:tcBorders>
          </w:tcPr>
          <w:p>
            <w:pPr/>
          </w:p>
        </w:tc>
        <w:tc>
          <w:tcPr>
            <w:tcW w:w="948"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
                <w:sz w:val="18"/>
                <w:szCs w:val="18"/>
              </w:rPr>
              <w:t>（五）专项储备</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0"/>
              <w:jc w:val="left"/>
              <w:rPr>
                <w:rFonts w:ascii="宋体" w:hAnsi="宋体" w:cs="宋体" w:eastAsia="宋体" w:hint="default"/>
                <w:sz w:val="18"/>
                <w:szCs w:val="18"/>
              </w:rPr>
            </w:pPr>
            <w:r>
              <w:rPr>
                <w:rFonts w:ascii="宋体" w:hAnsi="宋体" w:cs="宋体" w:eastAsia="宋体" w:hint="default"/>
                <w:spacing w:val="-9"/>
                <w:sz w:val="18"/>
                <w:szCs w:val="18"/>
              </w:rPr>
              <w:t>四、本期期末余</w:t>
            </w:r>
            <w:r>
              <w:rPr>
                <w:rFonts w:ascii="宋体" w:hAnsi="宋体" w:cs="宋体" w:eastAsia="宋体" w:hint="default"/>
                <w:sz w:val="18"/>
                <w:szCs w:val="18"/>
              </w:rPr>
              <w:t> 额</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left"/>
              <w:rPr>
                <w:rFonts w:ascii="Times New Roman" w:hAnsi="Times New Roman" w:cs="Times New Roman" w:eastAsia="Times New Roman" w:hint="default"/>
                <w:sz w:val="18"/>
                <w:szCs w:val="18"/>
              </w:rPr>
            </w:pPr>
            <w:r>
              <w:rPr>
                <w:rFonts w:ascii="Times New Roman"/>
                <w:sz w:val="18"/>
              </w:rPr>
              <w:t>581,7</w:t>
            </w:r>
          </w:p>
          <w:p>
            <w:pPr>
              <w:pStyle w:val="TableParagraph"/>
              <w:spacing w:line="240" w:lineRule="auto" w:before="105"/>
              <w:ind w:left="55" w:right="0"/>
              <w:jc w:val="left"/>
              <w:rPr>
                <w:rFonts w:ascii="Times New Roman" w:hAnsi="Times New Roman" w:cs="Times New Roman" w:eastAsia="Times New Roman" w:hint="default"/>
                <w:sz w:val="18"/>
                <w:szCs w:val="18"/>
              </w:rPr>
            </w:pPr>
            <w:r>
              <w:rPr>
                <w:rFonts w:ascii="Times New Roman"/>
                <w:sz w:val="18"/>
              </w:rPr>
              <w:t>44,28</w:t>
            </w:r>
          </w:p>
          <w:p>
            <w:pPr>
              <w:pStyle w:val="TableParagraph"/>
              <w:spacing w:line="240" w:lineRule="auto" w:before="106"/>
              <w:ind w:left="145" w:right="0"/>
              <w:jc w:val="left"/>
              <w:rPr>
                <w:rFonts w:ascii="Times New Roman" w:hAnsi="Times New Roman" w:cs="Times New Roman" w:eastAsia="Times New Roman" w:hint="default"/>
                <w:sz w:val="18"/>
                <w:szCs w:val="18"/>
              </w:rPr>
            </w:pPr>
            <w:r>
              <w:rPr>
                <w:rFonts w:ascii="Times New Roman"/>
                <w:sz w:val="18"/>
              </w:rPr>
              <w:t>4.00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 w:right="0"/>
              <w:jc w:val="center"/>
              <w:rPr>
                <w:rFonts w:ascii="Times New Roman" w:hAnsi="Times New Roman" w:cs="Times New Roman" w:eastAsia="Times New Roman" w:hint="default"/>
                <w:sz w:val="18"/>
                <w:szCs w:val="18"/>
              </w:rPr>
            </w:pPr>
            <w:r>
              <w:rPr>
                <w:rFonts w:ascii="Times New Roman"/>
                <w:sz w:val="18"/>
              </w:rPr>
              <w:t>1,420,</w:t>
            </w:r>
          </w:p>
          <w:p>
            <w:pPr>
              <w:pStyle w:val="TableParagraph"/>
              <w:spacing w:line="240" w:lineRule="auto" w:before="105"/>
              <w:ind w:left="33" w:right="0"/>
              <w:jc w:val="center"/>
              <w:rPr>
                <w:rFonts w:ascii="Times New Roman" w:hAnsi="Times New Roman" w:cs="Times New Roman" w:eastAsia="Times New Roman" w:hint="default"/>
                <w:sz w:val="18"/>
                <w:szCs w:val="18"/>
              </w:rPr>
            </w:pPr>
            <w:r>
              <w:rPr>
                <w:rFonts w:ascii="Times New Roman"/>
                <w:sz w:val="18"/>
              </w:rPr>
              <w:t>361,19</w:t>
            </w:r>
          </w:p>
          <w:p>
            <w:pPr>
              <w:pStyle w:val="TableParagraph"/>
              <w:spacing w:line="240" w:lineRule="auto" w:before="106"/>
              <w:ind w:left="213" w:right="0"/>
              <w:jc w:val="center"/>
              <w:rPr>
                <w:rFonts w:ascii="Times New Roman" w:hAnsi="Times New Roman" w:cs="Times New Roman" w:eastAsia="Times New Roman" w:hint="default"/>
                <w:sz w:val="18"/>
                <w:szCs w:val="18"/>
              </w:rPr>
            </w:pPr>
            <w:r>
              <w:rPr>
                <w:rFonts w:ascii="Times New Roman"/>
                <w:sz w:val="18"/>
              </w:rPr>
              <w:t>7.76</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11,151,410.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19,602,961.52</w:t>
            </w: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-154,290,478.67</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1,856,266,554.61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78" w:right="0"/>
              <w:jc w:val="left"/>
              <w:rPr>
                <w:rFonts w:ascii="Times New Roman" w:hAnsi="Times New Roman" w:cs="Times New Roman" w:eastAsia="Times New Roman" w:hint="default"/>
                <w:sz w:val="18"/>
                <w:szCs w:val="18"/>
              </w:rPr>
            </w:pPr>
            <w:r>
              <w:rPr>
                <w:rFonts w:ascii="Times New Roman"/>
                <w:sz w:val="18"/>
              </w:rPr>
              <w:t>-65,343.29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1,856,201,211.32</w:t>
            </w:r>
          </w:p>
        </w:tc>
      </w:tr>
    </w:tbl>
    <w:p>
      <w:pPr>
        <w:spacing w:before="51"/>
        <w:ind w:left="119" w:right="10181"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29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15" w:type="dxa"/>
        <w:tblLayout w:type="fixed"/>
        <w:tblCellMar>
          <w:top w:w="0" w:type="dxa"/>
          <w:left w:w="0" w:type="dxa"/>
          <w:bottom w:w="0" w:type="dxa"/>
          <w:right w:w="0" w:type="dxa"/>
        </w:tblCellMar>
        <w:tblLook w:val="01E0"/>
      </w:tblPr>
      <w:tblGrid>
        <w:gridCol w:w="1212"/>
        <w:gridCol w:w="10412"/>
        <w:gridCol w:w="991"/>
        <w:gridCol w:w="1418"/>
      </w:tblGrid>
      <w:tr>
        <w:trPr>
          <w:trHeight w:val="402" w:hRule="exact"/>
        </w:trPr>
        <w:tc>
          <w:tcPr>
            <w:tcW w:w="12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82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w:t>
            </w:r>
          </w:p>
        </w:tc>
      </w:tr>
      <w:tr>
        <w:trPr>
          <w:trHeight w:val="402" w:hRule="exact"/>
        </w:trPr>
        <w:tc>
          <w:tcPr>
            <w:tcW w:w="1212" w:type="dxa"/>
            <w:vMerge/>
            <w:tcBorders>
              <w:left w:val="single" w:sz="4" w:space="0" w:color="000000"/>
              <w:bottom w:val="single" w:sz="4" w:space="0" w:color="000000"/>
              <w:right w:val="single" w:sz="4" w:space="0" w:color="000000"/>
            </w:tcBorders>
            <w:shd w:val="clear" w:color="auto" w:fill="D3D3D3"/>
          </w:tcPr>
          <w:p>
            <w:pPr/>
          </w:p>
        </w:tc>
        <w:tc>
          <w:tcPr>
            <w:tcW w:w="104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40" w:right="0"/>
              <w:jc w:val="left"/>
              <w:rPr>
                <w:rFonts w:ascii="宋体" w:hAnsi="宋体" w:cs="宋体" w:eastAsia="宋体" w:hint="default"/>
                <w:sz w:val="18"/>
                <w:szCs w:val="18"/>
              </w:rPr>
            </w:pPr>
            <w:r>
              <w:rPr>
                <w:rFonts w:ascii="宋体" w:hAnsi="宋体" w:cs="宋体" w:eastAsia="宋体" w:hint="default"/>
                <w:sz w:val="18"/>
                <w:szCs w:val="18"/>
              </w:rPr>
              <w:t>少数股东权</w:t>
            </w:r>
          </w:p>
        </w:tc>
        <w:tc>
          <w:tcPr>
            <w:tcW w:w="1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bl>
    <w:p>
      <w:pPr>
        <w:spacing w:after="0" w:line="240" w:lineRule="auto"/>
        <w:jc w:val="left"/>
        <w:rPr>
          <w:rFonts w:ascii="宋体" w:hAnsi="宋体" w:cs="宋体" w:eastAsia="宋体" w:hint="default"/>
          <w:sz w:val="18"/>
          <w:szCs w:val="18"/>
        </w:rPr>
        <w:sectPr>
          <w:pgSz w:w="16840" w:h="11910" w:orient="landscape"/>
          <w:pgMar w:header="867" w:footer="978" w:top="1060" w:bottom="1160" w:left="1320" w:right="1240"/>
        </w:sectPr>
      </w:pPr>
    </w:p>
    <w:p>
      <w:pPr>
        <w:spacing w:line="240" w:lineRule="auto" w:before="5"/>
        <w:rPr>
          <w:rFonts w:ascii="Times New Roman" w:hAnsi="Times New Roman" w:cs="Times New Roman" w:eastAsia="Times New Roman"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1212"/>
        <w:gridCol w:w="490"/>
        <w:gridCol w:w="450"/>
        <w:gridCol w:w="449"/>
        <w:gridCol w:w="491"/>
        <w:gridCol w:w="737"/>
        <w:gridCol w:w="850"/>
        <w:gridCol w:w="1277"/>
        <w:gridCol w:w="566"/>
        <w:gridCol w:w="1134"/>
        <w:gridCol w:w="709"/>
        <w:gridCol w:w="1276"/>
        <w:gridCol w:w="566"/>
        <w:gridCol w:w="1418"/>
        <w:gridCol w:w="991"/>
        <w:gridCol w:w="1418"/>
      </w:tblGrid>
      <w:tr>
        <w:trPr>
          <w:trHeight w:val="416" w:hRule="exact"/>
        </w:trPr>
        <w:tc>
          <w:tcPr>
            <w:tcW w:w="1212" w:type="dxa"/>
            <w:vMerge w:val="restart"/>
            <w:tcBorders>
              <w:top w:val="single" w:sz="15" w:space="0" w:color="000000"/>
              <w:left w:val="single" w:sz="4" w:space="0" w:color="000000"/>
              <w:right w:val="single" w:sz="4" w:space="0" w:color="000000"/>
            </w:tcBorders>
            <w:shd w:val="clear" w:color="auto" w:fill="D3D3D3"/>
          </w:tcPr>
          <w:p>
            <w:pPr/>
          </w:p>
        </w:tc>
        <w:tc>
          <w:tcPr>
            <w:tcW w:w="490"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390" w:type="dxa"/>
            <w:gridSpan w:val="3"/>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1"/>
              <w:ind w:left="14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37"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6" w:lineRule="auto"/>
              <w:ind w:left="273" w:right="91"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850"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6" w:lineRule="auto"/>
              <w:ind w:left="329" w:right="58"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1277"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566"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134"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09"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6" w:lineRule="auto"/>
              <w:ind w:left="79" w:right="78"/>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1276"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566"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8" w:type="dxa"/>
            <w:vMerge w:val="restart"/>
            <w:tcBorders>
              <w:top w:val="single" w:sz="15" w:space="0" w:color="000000"/>
              <w:left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991" w:type="dxa"/>
            <w:vMerge w:val="restart"/>
            <w:tcBorders>
              <w:top w:val="single" w:sz="15" w:space="0" w:color="000000"/>
              <w:left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益</w:t>
            </w:r>
          </w:p>
        </w:tc>
        <w:tc>
          <w:tcPr>
            <w:tcW w:w="1418" w:type="dxa"/>
            <w:vMerge w:val="restart"/>
            <w:tcBorders>
              <w:top w:val="single" w:sz="15" w:space="0" w:color="000000"/>
              <w:left w:val="single" w:sz="4" w:space="0" w:color="000000"/>
              <w:right w:val="single" w:sz="4" w:space="0" w:color="000000"/>
            </w:tcBorders>
            <w:shd w:val="clear" w:color="auto" w:fill="D3D3D3"/>
          </w:tcPr>
          <w:p>
            <w:pPr/>
          </w:p>
        </w:tc>
      </w:tr>
      <w:tr>
        <w:trPr>
          <w:trHeight w:val="714" w:hRule="exact"/>
        </w:trPr>
        <w:tc>
          <w:tcPr>
            <w:tcW w:w="1212" w:type="dxa"/>
            <w:vMerge/>
            <w:tcBorders>
              <w:left w:val="single" w:sz="4" w:space="0" w:color="000000"/>
              <w:bottom w:val="single" w:sz="4" w:space="0" w:color="000000"/>
              <w:right w:val="single" w:sz="4" w:space="0" w:color="000000"/>
            </w:tcBorders>
            <w:shd w:val="clear" w:color="auto" w:fill="D3D3D3"/>
          </w:tcPr>
          <w:p>
            <w:pPr/>
          </w:p>
        </w:tc>
        <w:tc>
          <w:tcPr>
            <w:tcW w:w="490" w:type="dxa"/>
            <w:vMerge/>
            <w:tcBorders>
              <w:left w:val="single" w:sz="4" w:space="0" w:color="000000"/>
              <w:bottom w:val="single" w:sz="4" w:space="0" w:color="000000"/>
              <w:right w:val="single" w:sz="4" w:space="0" w:color="000000"/>
            </w:tcBorders>
            <w:shd w:val="clear" w:color="auto" w:fill="D3D3D3"/>
          </w:tcPr>
          <w:p>
            <w:pPr/>
          </w:p>
        </w:tc>
        <w:tc>
          <w:tcPr>
            <w:tcW w:w="4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61"/>
              <w:ind w:left="129" w:right="3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4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61"/>
              <w:ind w:left="128" w:right="3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4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37" w:type="dxa"/>
            <w:vMerge/>
            <w:tcBorders>
              <w:left w:val="single" w:sz="4" w:space="0" w:color="000000"/>
              <w:bottom w:val="single" w:sz="4" w:space="0" w:color="000000"/>
              <w:right w:val="single" w:sz="4" w:space="0" w:color="000000"/>
            </w:tcBorders>
            <w:shd w:val="clear" w:color="auto" w:fill="D3D3D3"/>
          </w:tcPr>
          <w:p>
            <w:pPr/>
          </w:p>
        </w:tc>
        <w:tc>
          <w:tcPr>
            <w:tcW w:w="850" w:type="dxa"/>
            <w:vMerge/>
            <w:tcBorders>
              <w:left w:val="single" w:sz="4" w:space="0" w:color="000000"/>
              <w:bottom w:val="single" w:sz="4" w:space="0" w:color="000000"/>
              <w:right w:val="single" w:sz="4" w:space="0" w:color="000000"/>
            </w:tcBorders>
            <w:shd w:val="clear" w:color="auto" w:fill="D3D3D3"/>
          </w:tcPr>
          <w:p>
            <w:pPr/>
          </w:p>
        </w:tc>
        <w:tc>
          <w:tcPr>
            <w:tcW w:w="1277" w:type="dxa"/>
            <w:vMerge/>
            <w:tcBorders>
              <w:left w:val="single" w:sz="4" w:space="0" w:color="000000"/>
              <w:bottom w:val="single" w:sz="4" w:space="0" w:color="000000"/>
              <w:right w:val="single" w:sz="4" w:space="0" w:color="000000"/>
            </w:tcBorders>
            <w:shd w:val="clear" w:color="auto" w:fill="D3D3D3"/>
          </w:tcPr>
          <w:p>
            <w:pPr/>
          </w:p>
        </w:tc>
        <w:tc>
          <w:tcPr>
            <w:tcW w:w="566" w:type="dxa"/>
            <w:vMerge/>
            <w:tcBorders>
              <w:left w:val="single" w:sz="4" w:space="0" w:color="000000"/>
              <w:bottom w:val="single" w:sz="4" w:space="0" w:color="000000"/>
              <w:right w:val="single" w:sz="4" w:space="0" w:color="000000"/>
            </w:tcBorders>
            <w:shd w:val="clear" w:color="auto" w:fill="D3D3D3"/>
          </w:tcPr>
          <w:p>
            <w:pPr/>
          </w:p>
        </w:tc>
        <w:tc>
          <w:tcPr>
            <w:tcW w:w="1134" w:type="dxa"/>
            <w:vMerge/>
            <w:tcBorders>
              <w:left w:val="single" w:sz="4" w:space="0" w:color="000000"/>
              <w:bottom w:val="single" w:sz="4" w:space="0" w:color="000000"/>
              <w:right w:val="single" w:sz="4" w:space="0" w:color="000000"/>
            </w:tcBorders>
            <w:shd w:val="clear" w:color="auto" w:fill="D3D3D3"/>
          </w:tcPr>
          <w:p>
            <w:pPr/>
          </w:p>
        </w:tc>
        <w:tc>
          <w:tcPr>
            <w:tcW w:w="709" w:type="dxa"/>
            <w:vMerge/>
            <w:tcBorders>
              <w:left w:val="single" w:sz="4" w:space="0" w:color="000000"/>
              <w:bottom w:val="single" w:sz="4" w:space="0" w:color="000000"/>
              <w:right w:val="single" w:sz="4" w:space="0" w:color="000000"/>
            </w:tcBorders>
            <w:shd w:val="clear" w:color="auto" w:fill="D3D3D3"/>
          </w:tcPr>
          <w:p>
            <w:pPr/>
          </w:p>
        </w:tc>
        <w:tc>
          <w:tcPr>
            <w:tcW w:w="1276" w:type="dxa"/>
            <w:vMerge/>
            <w:tcBorders>
              <w:left w:val="single" w:sz="4" w:space="0" w:color="000000"/>
              <w:bottom w:val="single" w:sz="4" w:space="0" w:color="000000"/>
              <w:right w:val="single" w:sz="4" w:space="0" w:color="000000"/>
            </w:tcBorders>
            <w:shd w:val="clear" w:color="auto" w:fill="D3D3D3"/>
          </w:tcPr>
          <w:p>
            <w:pPr/>
          </w:p>
        </w:tc>
        <w:tc>
          <w:tcPr>
            <w:tcW w:w="566" w:type="dxa"/>
            <w:vMerge/>
            <w:tcBorders>
              <w:left w:val="single" w:sz="4" w:space="0" w:color="000000"/>
              <w:bottom w:val="single" w:sz="4" w:space="0" w:color="000000"/>
              <w:right w:val="single" w:sz="4" w:space="0" w:color="000000"/>
            </w:tcBorders>
            <w:shd w:val="clear" w:color="auto" w:fill="D3D3D3"/>
          </w:tcPr>
          <w:p>
            <w:pPr/>
          </w:p>
        </w:tc>
        <w:tc>
          <w:tcPr>
            <w:tcW w:w="1418" w:type="dxa"/>
            <w:vMerge/>
            <w:tcBorders>
              <w:left w:val="single" w:sz="4" w:space="0" w:color="000000"/>
              <w:bottom w:val="single" w:sz="4" w:space="0" w:color="000000"/>
              <w:right w:val="single" w:sz="4" w:space="0" w:color="000000"/>
            </w:tcBorders>
            <w:shd w:val="clear" w:color="auto" w:fill="D3D3D3"/>
          </w:tcPr>
          <w:p>
            <w:pPr/>
          </w:p>
        </w:tc>
        <w:tc>
          <w:tcPr>
            <w:tcW w:w="991"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shd w:val="clear" w:color="auto" w:fill="D3D3D3"/>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319" w:lineRule="auto"/>
              <w:ind w:left="22" w:right="97"/>
              <w:jc w:val="left"/>
              <w:rPr>
                <w:rFonts w:ascii="宋体" w:hAnsi="宋体" w:cs="宋体" w:eastAsia="宋体" w:hint="default"/>
                <w:sz w:val="18"/>
                <w:szCs w:val="18"/>
              </w:rPr>
            </w:pPr>
            <w:r>
              <w:rPr>
                <w:rFonts w:ascii="宋体" w:hAnsi="宋体" w:cs="宋体" w:eastAsia="宋体" w:hint="default"/>
                <w:sz w:val="18"/>
                <w:szCs w:val="18"/>
              </w:rPr>
              <w:t>一、上年期末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52" w:right="0"/>
              <w:jc w:val="left"/>
              <w:rPr>
                <w:rFonts w:ascii="Times New Roman" w:hAnsi="Times New Roman" w:cs="Times New Roman" w:eastAsia="Times New Roman" w:hint="default"/>
                <w:sz w:val="18"/>
                <w:szCs w:val="18"/>
              </w:rPr>
            </w:pPr>
            <w:r>
              <w:rPr>
                <w:rFonts w:ascii="Times New Roman"/>
                <w:sz w:val="18"/>
              </w:rPr>
              <w:t>415,9</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76,54</w:t>
            </w:r>
          </w:p>
          <w:p>
            <w:pPr>
              <w:pStyle w:val="TableParagraph"/>
              <w:spacing w:line="240" w:lineRule="auto" w:before="106"/>
              <w:ind w:left="142" w:right="0"/>
              <w:jc w:val="left"/>
              <w:rPr>
                <w:rFonts w:ascii="Times New Roman" w:hAnsi="Times New Roman" w:cs="Times New Roman" w:eastAsia="Times New Roman" w:hint="default"/>
                <w:sz w:val="18"/>
                <w:szCs w:val="18"/>
              </w:rPr>
            </w:pPr>
            <w:r>
              <w:rPr>
                <w:rFonts w:ascii="Times New Roman"/>
                <w:sz w:val="18"/>
              </w:rPr>
              <w:t>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1,976,13</w:t>
            </w:r>
          </w:p>
          <w:p>
            <w:pPr>
              <w:pStyle w:val="TableParagraph"/>
              <w:spacing w:line="240" w:lineRule="auto" w:before="106"/>
              <w:ind w:left="74" w:right="0"/>
              <w:jc w:val="left"/>
              <w:rPr>
                <w:rFonts w:ascii="Times New Roman" w:hAnsi="Times New Roman" w:cs="Times New Roman" w:eastAsia="Times New Roman" w:hint="default"/>
                <w:sz w:val="18"/>
                <w:szCs w:val="18"/>
              </w:rPr>
            </w:pPr>
            <w:r>
              <w:rPr>
                <w:rFonts w:ascii="Times New Roman"/>
                <w:sz w:val="18"/>
              </w:rPr>
              <w:t>6,023.10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17,248,00</w:t>
            </w:r>
          </w:p>
          <w:p>
            <w:pPr>
              <w:pStyle w:val="TableParagraph"/>
              <w:spacing w:line="240" w:lineRule="auto" w:before="106"/>
              <w:ind w:left="502" w:right="0"/>
              <w:jc w:val="lef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197,242,364.52</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19,602,961.52</w:t>
            </w: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-374,014,590.67</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2,217,695,298.47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5,539,437.8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2,223,234,736.27</w:t>
            </w: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61"/>
              <w:ind w:left="22" w:right="97"/>
              <w:jc w:val="left"/>
              <w:rPr>
                <w:rFonts w:ascii="宋体" w:hAnsi="宋体" w:cs="宋体" w:eastAsia="宋体" w:hint="default"/>
                <w:sz w:val="18"/>
                <w:szCs w:val="18"/>
              </w:rPr>
            </w:pPr>
            <w:r>
              <w:rPr>
                <w:rFonts w:ascii="宋体" w:hAnsi="宋体" w:cs="宋体" w:eastAsia="宋体" w:hint="default"/>
                <w:sz w:val="18"/>
                <w:szCs w:val="18"/>
              </w:rPr>
              <w:t>    加：会计 政策变更</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61"/>
              <w:ind w:left="22" w:right="97"/>
              <w:jc w:val="left"/>
              <w:rPr>
                <w:rFonts w:ascii="宋体" w:hAnsi="宋体" w:cs="宋体" w:eastAsia="宋体" w:hint="default"/>
                <w:sz w:val="18"/>
                <w:szCs w:val="18"/>
              </w:rPr>
            </w:pPr>
            <w:r>
              <w:rPr>
                <w:rFonts w:ascii="宋体" w:hAnsi="宋体" w:cs="宋体" w:eastAsia="宋体" w:hint="default"/>
                <w:sz w:val="18"/>
                <w:szCs w:val="18"/>
              </w:rPr>
              <w:t>        前期 差错更正</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61"/>
              <w:ind w:left="22" w:right="97"/>
              <w:jc w:val="both"/>
              <w:rPr>
                <w:rFonts w:ascii="宋体" w:hAnsi="宋体" w:cs="宋体" w:eastAsia="宋体" w:hint="default"/>
                <w:sz w:val="18"/>
                <w:szCs w:val="18"/>
              </w:rPr>
            </w:pPr>
            <w:r>
              <w:rPr>
                <w:rFonts w:ascii="宋体" w:hAnsi="宋体" w:cs="宋体" w:eastAsia="宋体" w:hint="default"/>
                <w:sz w:val="18"/>
                <w:szCs w:val="18"/>
              </w:rPr>
              <w:t>        同一 控制下企业合 并</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1"/>
              <w:ind w:right="74"/>
              <w:jc w:val="center"/>
              <w:rPr>
                <w:rFonts w:ascii="宋体" w:hAnsi="宋体" w:cs="宋体" w:eastAsia="宋体" w:hint="default"/>
                <w:sz w:val="18"/>
                <w:szCs w:val="18"/>
              </w:rPr>
            </w:pPr>
            <w:r>
              <w:rPr>
                <w:rFonts w:ascii="宋体" w:hAnsi="宋体" w:cs="宋体" w:eastAsia="宋体" w:hint="default"/>
                <w:sz w:val="18"/>
                <w:szCs w:val="18"/>
              </w:rPr>
              <w:t>        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319" w:lineRule="auto"/>
              <w:ind w:left="22" w:right="97"/>
              <w:jc w:val="left"/>
              <w:rPr>
                <w:rFonts w:ascii="宋体" w:hAnsi="宋体" w:cs="宋体" w:eastAsia="宋体" w:hint="default"/>
                <w:sz w:val="18"/>
                <w:szCs w:val="18"/>
              </w:rPr>
            </w:pPr>
            <w:r>
              <w:rPr>
                <w:rFonts w:ascii="宋体" w:hAnsi="宋体" w:cs="宋体" w:eastAsia="宋体" w:hint="default"/>
                <w:sz w:val="18"/>
                <w:szCs w:val="18"/>
              </w:rPr>
              <w:t>二、本年期初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52" w:right="0"/>
              <w:jc w:val="left"/>
              <w:rPr>
                <w:rFonts w:ascii="Times New Roman" w:hAnsi="Times New Roman" w:cs="Times New Roman" w:eastAsia="Times New Roman" w:hint="default"/>
                <w:sz w:val="18"/>
                <w:szCs w:val="18"/>
              </w:rPr>
            </w:pPr>
            <w:r>
              <w:rPr>
                <w:rFonts w:ascii="Times New Roman"/>
                <w:sz w:val="18"/>
              </w:rPr>
              <w:t>415,9</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76,54</w:t>
            </w:r>
          </w:p>
          <w:p>
            <w:pPr>
              <w:pStyle w:val="TableParagraph"/>
              <w:spacing w:line="240" w:lineRule="auto" w:before="106"/>
              <w:ind w:left="142" w:right="0"/>
              <w:jc w:val="left"/>
              <w:rPr>
                <w:rFonts w:ascii="Times New Roman" w:hAnsi="Times New Roman" w:cs="Times New Roman" w:eastAsia="Times New Roman" w:hint="default"/>
                <w:sz w:val="18"/>
                <w:szCs w:val="18"/>
              </w:rPr>
            </w:pPr>
            <w:r>
              <w:rPr>
                <w:rFonts w:ascii="Times New Roman"/>
                <w:sz w:val="18"/>
              </w:rPr>
              <w:t>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1,976,13</w:t>
            </w:r>
          </w:p>
          <w:p>
            <w:pPr>
              <w:pStyle w:val="TableParagraph"/>
              <w:spacing w:line="240" w:lineRule="auto" w:before="106"/>
              <w:ind w:left="74" w:right="0"/>
              <w:jc w:val="left"/>
              <w:rPr>
                <w:rFonts w:ascii="Times New Roman" w:hAnsi="Times New Roman" w:cs="Times New Roman" w:eastAsia="Times New Roman" w:hint="default"/>
                <w:sz w:val="18"/>
                <w:szCs w:val="18"/>
              </w:rPr>
            </w:pPr>
            <w:r>
              <w:rPr>
                <w:rFonts w:ascii="Times New Roman"/>
                <w:sz w:val="18"/>
              </w:rPr>
              <w:t>6,023.10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17,248,00</w:t>
            </w:r>
          </w:p>
          <w:p>
            <w:pPr>
              <w:pStyle w:val="TableParagraph"/>
              <w:spacing w:line="240" w:lineRule="auto" w:before="106"/>
              <w:ind w:left="502" w:right="0"/>
              <w:jc w:val="lef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197,242,364.52</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19,602,961.52</w:t>
            </w: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-374,014,590.67</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2,217,695,298.47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5,539,437.8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2,223,234,736.27</w:t>
            </w: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2" w:lineRule="auto" w:before="61"/>
              <w:ind w:left="22" w:right="97"/>
              <w:jc w:val="both"/>
              <w:rPr>
                <w:rFonts w:ascii="宋体" w:hAnsi="宋体" w:cs="宋体" w:eastAsia="宋体" w:hint="default"/>
                <w:sz w:val="18"/>
                <w:szCs w:val="18"/>
              </w:rPr>
            </w:pPr>
            <w:r>
              <w:rPr>
                <w:rFonts w:ascii="宋体" w:hAnsi="宋体" w:cs="宋体" w:eastAsia="宋体" w:hint="default"/>
                <w:sz w:val="18"/>
                <w:szCs w:val="18"/>
              </w:rPr>
              <w:t>三、本期增减 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207,9</w:t>
            </w:r>
          </w:p>
          <w:p>
            <w:pPr>
              <w:pStyle w:val="TableParagraph"/>
              <w:spacing w:line="240" w:lineRule="auto" w:before="105"/>
              <w:ind w:left="52" w:right="0"/>
              <w:jc w:val="left"/>
              <w:rPr>
                <w:rFonts w:ascii="Times New Roman" w:hAnsi="Times New Roman" w:cs="Times New Roman" w:eastAsia="Times New Roman" w:hint="default"/>
                <w:sz w:val="18"/>
                <w:szCs w:val="18"/>
              </w:rPr>
            </w:pPr>
            <w:r>
              <w:rPr>
                <w:rFonts w:ascii="Times New Roman"/>
                <w:sz w:val="18"/>
              </w:rPr>
              <w:t>88,27</w:t>
            </w:r>
          </w:p>
          <w:p>
            <w:pPr>
              <w:pStyle w:val="TableParagraph"/>
              <w:spacing w:line="240" w:lineRule="auto" w:before="106"/>
              <w:ind w:left="142" w:right="0"/>
              <w:jc w:val="left"/>
              <w:rPr>
                <w:rFonts w:ascii="Times New Roman" w:hAnsi="Times New Roman" w:cs="Times New Roman" w:eastAsia="Times New Roman" w:hint="default"/>
                <w:sz w:val="18"/>
                <w:szCs w:val="18"/>
              </w:rPr>
            </w:pPr>
            <w:r>
              <w:rPr>
                <w:rFonts w:ascii="Times New Roman"/>
                <w:sz w:val="18"/>
              </w:rPr>
              <w:t>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-209,096</w:t>
            </w:r>
          </w:p>
          <w:p>
            <w:pPr>
              <w:pStyle w:val="TableParagraph"/>
              <w:spacing w:line="240" w:lineRule="auto" w:before="106"/>
              <w:ind w:left="142" w:right="0"/>
              <w:jc w:val="center"/>
              <w:rPr>
                <w:rFonts w:ascii="Times New Roman" w:hAnsi="Times New Roman" w:cs="Times New Roman" w:eastAsia="Times New Roman" w:hint="default"/>
                <w:sz w:val="18"/>
                <w:szCs w:val="18"/>
              </w:rPr>
            </w:pPr>
            <w:r>
              <w:rPr>
                <w:rFonts w:ascii="Times New Roman"/>
                <w:sz w:val="18"/>
              </w:rPr>
              <w:t>,710.72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28,367,16</w:t>
            </w:r>
          </w:p>
          <w:p>
            <w:pPr>
              <w:pStyle w:val="TableParagraph"/>
              <w:spacing w:line="240" w:lineRule="auto" w:before="106"/>
              <w:ind w:left="502" w:right="0"/>
              <w:jc w:val="left"/>
              <w:rPr>
                <w:rFonts w:ascii="Times New Roman" w:hAnsi="Times New Roman" w:cs="Times New Roman" w:eastAsia="Times New Roman" w:hint="default"/>
                <w:sz w:val="18"/>
                <w:szCs w:val="18"/>
              </w:rPr>
            </w:pPr>
            <w:r>
              <w:rPr>
                <w:rFonts w:ascii="Times New Roman"/>
                <w:sz w:val="18"/>
              </w:rPr>
              <w:t>8.20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9"/>
              <w:jc w:val="right"/>
              <w:rPr>
                <w:rFonts w:ascii="Times New Roman" w:hAnsi="Times New Roman" w:cs="Times New Roman" w:eastAsia="Times New Roman" w:hint="default"/>
                <w:sz w:val="18"/>
                <w:szCs w:val="18"/>
              </w:rPr>
            </w:pPr>
            <w:r>
              <w:rPr>
                <w:rFonts w:ascii="Times New Roman"/>
                <w:spacing w:val="-1"/>
                <w:sz w:val="18"/>
              </w:rPr>
              <w:t>-77,101,027.27</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20"/>
              <w:jc w:val="right"/>
              <w:rPr>
                <w:rFonts w:ascii="Times New Roman" w:hAnsi="Times New Roman" w:cs="Times New Roman" w:eastAsia="Times New Roman" w:hint="default"/>
                <w:sz w:val="18"/>
                <w:szCs w:val="18"/>
              </w:rPr>
            </w:pPr>
            <w:r>
              <w:rPr>
                <w:rFonts w:ascii="Times New Roman"/>
                <w:spacing w:val="-1"/>
                <w:sz w:val="18"/>
              </w:rPr>
              <w:t>75,525,209.45</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20"/>
              <w:jc w:val="right"/>
              <w:rPr>
                <w:rFonts w:ascii="Times New Roman" w:hAnsi="Times New Roman" w:cs="Times New Roman" w:eastAsia="Times New Roman" w:hint="default"/>
                <w:sz w:val="18"/>
                <w:szCs w:val="18"/>
              </w:rPr>
            </w:pPr>
            <w:r>
              <w:rPr>
                <w:rFonts w:ascii="Times New Roman"/>
                <w:spacing w:val="-1"/>
                <w:sz w:val="18"/>
              </w:rPr>
              <w:t>-31,051,426.74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-5,749,529.7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9"/>
              <w:jc w:val="right"/>
              <w:rPr>
                <w:rFonts w:ascii="Times New Roman" w:hAnsi="Times New Roman" w:cs="Times New Roman" w:eastAsia="Times New Roman" w:hint="default"/>
                <w:sz w:val="18"/>
                <w:szCs w:val="18"/>
              </w:rPr>
            </w:pPr>
            <w:r>
              <w:rPr>
                <w:rFonts w:ascii="Times New Roman"/>
                <w:spacing w:val="-1"/>
                <w:sz w:val="18"/>
              </w:rPr>
              <w:t>-36,800,956.49</w:t>
            </w: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61"/>
              <w:ind w:left="22" w:right="97"/>
              <w:jc w:val="left"/>
              <w:rPr>
                <w:rFonts w:ascii="宋体" w:hAnsi="宋体" w:cs="宋体" w:eastAsia="宋体" w:hint="default"/>
                <w:sz w:val="18"/>
                <w:szCs w:val="18"/>
              </w:rPr>
            </w:pPr>
            <w:r>
              <w:rPr>
                <w:rFonts w:ascii="宋体" w:hAnsi="宋体" w:cs="宋体" w:eastAsia="宋体" w:hint="default"/>
                <w:sz w:val="18"/>
                <w:szCs w:val="18"/>
              </w:rPr>
              <w:t>（一）综合收 益总额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97" w:right="0"/>
              <w:jc w:val="left"/>
              <w:rPr>
                <w:rFonts w:ascii="Times New Roman" w:hAnsi="Times New Roman" w:cs="Times New Roman" w:eastAsia="Times New Roman" w:hint="default"/>
                <w:sz w:val="18"/>
                <w:szCs w:val="18"/>
              </w:rPr>
            </w:pPr>
            <w:r>
              <w:rPr>
                <w:rFonts w:ascii="Times New Roman"/>
                <w:sz w:val="18"/>
              </w:rPr>
              <w:t>28,367,16</w:t>
            </w:r>
          </w:p>
          <w:p>
            <w:pPr>
              <w:pStyle w:val="TableParagraph"/>
              <w:spacing w:line="240" w:lineRule="auto" w:before="106"/>
              <w:ind w:left="502" w:right="0"/>
              <w:jc w:val="left"/>
              <w:rPr>
                <w:rFonts w:ascii="Times New Roman" w:hAnsi="Times New Roman" w:cs="Times New Roman" w:eastAsia="Times New Roman" w:hint="default"/>
                <w:sz w:val="18"/>
                <w:szCs w:val="18"/>
              </w:rPr>
            </w:pPr>
            <w:r>
              <w:rPr>
                <w:rFonts w:ascii="Times New Roman"/>
                <w:sz w:val="18"/>
              </w:rPr>
              <w:t>8.20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-77,101,027.27</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75,525,209.45</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-29,942,986.02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238" w:right="0"/>
              <w:jc w:val="left"/>
              <w:rPr>
                <w:rFonts w:ascii="Times New Roman" w:hAnsi="Times New Roman" w:cs="Times New Roman" w:eastAsia="Times New Roman" w:hint="default"/>
                <w:sz w:val="18"/>
                <w:szCs w:val="18"/>
              </w:rPr>
            </w:pPr>
            <w:r>
              <w:rPr>
                <w:rFonts w:ascii="Times New Roman"/>
                <w:sz w:val="18"/>
              </w:rPr>
              <w:t>65,185.52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-29,877,800.50</w:t>
            </w: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61"/>
              <w:ind w:left="22" w:right="97"/>
              <w:jc w:val="both"/>
              <w:rPr>
                <w:rFonts w:ascii="宋体" w:hAnsi="宋体" w:cs="宋体" w:eastAsia="宋体" w:hint="default"/>
                <w:sz w:val="18"/>
                <w:szCs w:val="18"/>
              </w:rPr>
            </w:pPr>
            <w:r>
              <w:rPr>
                <w:rFonts w:ascii="宋体" w:hAnsi="宋体" w:cs="宋体" w:eastAsia="宋体" w:hint="default"/>
                <w:sz w:val="18"/>
                <w:szCs w:val="18"/>
              </w:rPr>
              <w:t>（二）所有者 投入和减少资 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-1,108,4</w:t>
            </w:r>
          </w:p>
          <w:p>
            <w:pPr>
              <w:pStyle w:val="TableParagraph"/>
              <w:spacing w:line="240" w:lineRule="auto" w:before="106"/>
              <w:ind w:left="278" w:right="0"/>
              <w:jc w:val="center"/>
              <w:rPr>
                <w:rFonts w:ascii="Times New Roman" w:hAnsi="Times New Roman" w:cs="Times New Roman" w:eastAsia="Times New Roman" w:hint="default"/>
                <w:sz w:val="18"/>
                <w:szCs w:val="18"/>
              </w:rPr>
            </w:pPr>
            <w:r>
              <w:rPr>
                <w:rFonts w:ascii="Times New Roman"/>
                <w:sz w:val="18"/>
              </w:rPr>
              <w:t>40.72</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-1,108,440.72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-5,814,715.2</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-6,923,155.99</w:t>
            </w: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1"/>
              <w:ind w:right="1"/>
              <w:jc w:val="center"/>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．所有者投入</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8" w:top="1060" w:bottom="1260" w:left="1320" w:right="124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212"/>
        <w:gridCol w:w="490"/>
        <w:gridCol w:w="450"/>
        <w:gridCol w:w="449"/>
        <w:gridCol w:w="491"/>
        <w:gridCol w:w="737"/>
        <w:gridCol w:w="850"/>
        <w:gridCol w:w="1277"/>
        <w:gridCol w:w="566"/>
        <w:gridCol w:w="1134"/>
        <w:gridCol w:w="709"/>
        <w:gridCol w:w="1276"/>
        <w:gridCol w:w="566"/>
        <w:gridCol w:w="1418"/>
        <w:gridCol w:w="991"/>
        <w:gridCol w:w="1418"/>
      </w:tblGrid>
      <w:tr>
        <w:trPr>
          <w:trHeight w:val="377" w:hRule="exact"/>
        </w:trPr>
        <w:tc>
          <w:tcPr>
            <w:tcW w:w="1212"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的普通股</w:t>
            </w:r>
          </w:p>
        </w:tc>
        <w:tc>
          <w:tcPr>
            <w:tcW w:w="490" w:type="dxa"/>
            <w:tcBorders>
              <w:top w:val="single" w:sz="15" w:space="0" w:color="000000"/>
              <w:left w:val="single" w:sz="4" w:space="0" w:color="000000"/>
              <w:bottom w:val="single" w:sz="4" w:space="0" w:color="000000"/>
              <w:right w:val="single" w:sz="4" w:space="0" w:color="000000"/>
            </w:tcBorders>
          </w:tcPr>
          <w:p>
            <w:pPr/>
          </w:p>
        </w:tc>
        <w:tc>
          <w:tcPr>
            <w:tcW w:w="450" w:type="dxa"/>
            <w:tcBorders>
              <w:top w:val="single" w:sz="15" w:space="0" w:color="000000"/>
              <w:left w:val="single" w:sz="4" w:space="0" w:color="000000"/>
              <w:bottom w:val="single" w:sz="4" w:space="0" w:color="000000"/>
              <w:right w:val="single" w:sz="4" w:space="0" w:color="000000"/>
            </w:tcBorders>
          </w:tcPr>
          <w:p>
            <w:pPr/>
          </w:p>
        </w:tc>
        <w:tc>
          <w:tcPr>
            <w:tcW w:w="449" w:type="dxa"/>
            <w:tcBorders>
              <w:top w:val="single" w:sz="15" w:space="0" w:color="000000"/>
              <w:left w:val="single" w:sz="4" w:space="0" w:color="000000"/>
              <w:bottom w:val="single" w:sz="4" w:space="0" w:color="000000"/>
              <w:right w:val="single" w:sz="4" w:space="0" w:color="000000"/>
            </w:tcBorders>
          </w:tcPr>
          <w:p>
            <w:pPr/>
          </w:p>
        </w:tc>
        <w:tc>
          <w:tcPr>
            <w:tcW w:w="491" w:type="dxa"/>
            <w:tcBorders>
              <w:top w:val="single" w:sz="15" w:space="0" w:color="000000"/>
              <w:left w:val="single" w:sz="4" w:space="0" w:color="000000"/>
              <w:bottom w:val="single" w:sz="4" w:space="0" w:color="000000"/>
              <w:right w:val="single" w:sz="4" w:space="0" w:color="000000"/>
            </w:tcBorders>
          </w:tcPr>
          <w:p>
            <w:pPr/>
          </w:p>
        </w:tc>
        <w:tc>
          <w:tcPr>
            <w:tcW w:w="737"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．其他权益工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具持有者投入 资本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．股份支付计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入所有者权益 的金额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2,990,94</w:t>
            </w:r>
          </w:p>
          <w:p>
            <w:pPr>
              <w:pStyle w:val="TableParagraph"/>
              <w:spacing w:line="240" w:lineRule="auto" w:before="105"/>
              <w:ind w:left="389" w:right="0"/>
              <w:jc w:val="left"/>
              <w:rPr>
                <w:rFonts w:ascii="Times New Roman" w:hAnsi="Times New Roman" w:cs="Times New Roman" w:eastAsia="Times New Roman" w:hint="default"/>
                <w:sz w:val="18"/>
                <w:szCs w:val="18"/>
              </w:rPr>
            </w:pPr>
            <w:r>
              <w:rPr>
                <w:rFonts w:ascii="Times New Roman"/>
                <w:sz w:val="18"/>
              </w:rPr>
              <w:t>4.01</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2,990,944.01</w:t>
            </w: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2,990,944.01</w:t>
            </w: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2" w:right="0"/>
              <w:jc w:val="center"/>
              <w:rPr>
                <w:rFonts w:ascii="Times New Roman" w:hAnsi="Times New Roman" w:cs="Times New Roman" w:eastAsia="Times New Roman" w:hint="default"/>
                <w:sz w:val="18"/>
                <w:szCs w:val="18"/>
              </w:rPr>
            </w:pPr>
            <w:r>
              <w:rPr>
                <w:rFonts w:ascii="Times New Roman"/>
                <w:sz w:val="18"/>
              </w:rPr>
              <w:t>-4,099,3</w:t>
            </w:r>
          </w:p>
          <w:p>
            <w:pPr>
              <w:pStyle w:val="TableParagraph"/>
              <w:spacing w:line="240" w:lineRule="auto" w:before="105"/>
              <w:ind w:left="278" w:right="0"/>
              <w:jc w:val="center"/>
              <w:rPr>
                <w:rFonts w:ascii="Times New Roman" w:hAnsi="Times New Roman" w:cs="Times New Roman" w:eastAsia="Times New Roman" w:hint="default"/>
                <w:sz w:val="18"/>
                <w:szCs w:val="18"/>
              </w:rPr>
            </w:pPr>
            <w:r>
              <w:rPr>
                <w:rFonts w:ascii="Times New Roman"/>
                <w:sz w:val="18"/>
              </w:rPr>
              <w:t>84.73</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-4,099,384.73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-5,814,715.2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-9,914,100.00</w:t>
            </w: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97"/>
              <w:jc w:val="left"/>
              <w:rPr>
                <w:rFonts w:ascii="宋体" w:hAnsi="宋体" w:cs="宋体" w:eastAsia="宋体" w:hint="default"/>
                <w:sz w:val="18"/>
                <w:szCs w:val="18"/>
              </w:rPr>
            </w:pPr>
            <w:r>
              <w:rPr>
                <w:rFonts w:ascii="宋体" w:hAnsi="宋体" w:cs="宋体" w:eastAsia="宋体" w:hint="default"/>
                <w:sz w:val="18"/>
                <w:szCs w:val="18"/>
              </w:rPr>
              <w:t>（三）利润分 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．提取盈余公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积</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．提取一般风</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险准备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9" w:lineRule="auto" w:before="61"/>
              <w:ind w:left="22" w:right="97"/>
              <w:jc w:val="left"/>
              <w:rPr>
                <w:rFonts w:ascii="宋体" w:hAnsi="宋体" w:cs="宋体" w:eastAsia="宋体" w:hint="default"/>
                <w:sz w:val="18"/>
                <w:szCs w:val="18"/>
              </w:rPr>
            </w:pPr>
            <w:r>
              <w:rPr>
                <w:rFonts w:ascii="宋体" w:hAnsi="宋体" w:cs="宋体" w:eastAsia="宋体" w:hint="default"/>
                <w:sz w:val="18"/>
                <w:szCs w:val="18"/>
              </w:rPr>
              <w:t>（或股东）的 分配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97"/>
              <w:jc w:val="left"/>
              <w:rPr>
                <w:rFonts w:ascii="宋体" w:hAnsi="宋体" w:cs="宋体" w:eastAsia="宋体" w:hint="default"/>
                <w:sz w:val="18"/>
                <w:szCs w:val="18"/>
              </w:rPr>
            </w:pPr>
            <w:r>
              <w:rPr>
                <w:rFonts w:ascii="宋体" w:hAnsi="宋体" w:cs="宋体" w:eastAsia="宋体" w:hint="default"/>
                <w:sz w:val="18"/>
                <w:szCs w:val="18"/>
              </w:rPr>
              <w:t>（四）所有者 权益内部结转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207,9</w:t>
            </w:r>
          </w:p>
          <w:p>
            <w:pPr>
              <w:pStyle w:val="TableParagraph"/>
              <w:spacing w:line="240" w:lineRule="auto" w:before="104"/>
              <w:ind w:left="52" w:right="0"/>
              <w:jc w:val="left"/>
              <w:rPr>
                <w:rFonts w:ascii="Times New Roman" w:hAnsi="Times New Roman" w:cs="Times New Roman" w:eastAsia="Times New Roman" w:hint="default"/>
                <w:sz w:val="18"/>
                <w:szCs w:val="18"/>
              </w:rPr>
            </w:pPr>
            <w:r>
              <w:rPr>
                <w:rFonts w:ascii="Times New Roman"/>
                <w:sz w:val="18"/>
              </w:rPr>
              <w:t>88,27</w:t>
            </w:r>
          </w:p>
          <w:p>
            <w:pPr>
              <w:pStyle w:val="TableParagraph"/>
              <w:spacing w:line="240" w:lineRule="auto" w:before="106"/>
              <w:ind w:left="142" w:right="0"/>
              <w:jc w:val="left"/>
              <w:rPr>
                <w:rFonts w:ascii="Times New Roman" w:hAnsi="Times New Roman" w:cs="Times New Roman" w:eastAsia="Times New Roman" w:hint="default"/>
                <w:sz w:val="18"/>
                <w:szCs w:val="18"/>
              </w:rPr>
            </w:pPr>
            <w:r>
              <w:rPr>
                <w:rFonts w:ascii="Times New Roman"/>
                <w:sz w:val="18"/>
              </w:rPr>
              <w:t>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-207,988</w:t>
            </w:r>
          </w:p>
          <w:p>
            <w:pPr>
              <w:pStyle w:val="TableParagraph"/>
              <w:spacing w:line="240" w:lineRule="auto" w:before="105"/>
              <w:ind w:left="142" w:right="0"/>
              <w:jc w:val="center"/>
              <w:rPr>
                <w:rFonts w:ascii="Times New Roman" w:hAnsi="Times New Roman" w:cs="Times New Roman" w:eastAsia="Times New Roman" w:hint="default"/>
                <w:sz w:val="18"/>
                <w:szCs w:val="18"/>
              </w:rPr>
            </w:pPr>
            <w:r>
              <w:rPr>
                <w:rFonts w:ascii="Times New Roman"/>
                <w:sz w:val="18"/>
              </w:rPr>
              <w:t>,270.00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．资本公积转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增资本（或股 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207,9</w:t>
            </w:r>
          </w:p>
          <w:p>
            <w:pPr>
              <w:pStyle w:val="TableParagraph"/>
              <w:spacing w:line="240" w:lineRule="auto" w:before="104"/>
              <w:ind w:left="52" w:right="0"/>
              <w:jc w:val="left"/>
              <w:rPr>
                <w:rFonts w:ascii="Times New Roman" w:hAnsi="Times New Roman" w:cs="Times New Roman" w:eastAsia="Times New Roman" w:hint="default"/>
                <w:sz w:val="18"/>
                <w:szCs w:val="18"/>
              </w:rPr>
            </w:pPr>
            <w:r>
              <w:rPr>
                <w:rFonts w:ascii="Times New Roman"/>
                <w:sz w:val="18"/>
              </w:rPr>
              <w:t>88,27</w:t>
            </w:r>
          </w:p>
          <w:p>
            <w:pPr>
              <w:pStyle w:val="TableParagraph"/>
              <w:spacing w:line="240" w:lineRule="auto" w:before="106"/>
              <w:ind w:left="142" w:right="0"/>
              <w:jc w:val="left"/>
              <w:rPr>
                <w:rFonts w:ascii="Times New Roman" w:hAnsi="Times New Roman" w:cs="Times New Roman" w:eastAsia="Times New Roman" w:hint="default"/>
                <w:sz w:val="18"/>
                <w:szCs w:val="18"/>
              </w:rPr>
            </w:pPr>
            <w:r>
              <w:rPr>
                <w:rFonts w:ascii="Times New Roman"/>
                <w:sz w:val="18"/>
              </w:rPr>
              <w:t>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-207,988</w:t>
            </w:r>
          </w:p>
          <w:p>
            <w:pPr>
              <w:pStyle w:val="TableParagraph"/>
              <w:spacing w:line="240" w:lineRule="auto" w:before="105"/>
              <w:ind w:left="142" w:right="0"/>
              <w:jc w:val="center"/>
              <w:rPr>
                <w:rFonts w:ascii="Times New Roman" w:hAnsi="Times New Roman" w:cs="Times New Roman" w:eastAsia="Times New Roman" w:hint="default"/>
                <w:sz w:val="18"/>
                <w:szCs w:val="18"/>
              </w:rPr>
            </w:pPr>
            <w:r>
              <w:rPr>
                <w:rFonts w:ascii="Times New Roman"/>
                <w:sz w:val="18"/>
              </w:rPr>
              <w:t>,270.00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．盈余公积转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增资本（或股</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8" w:top="1060" w:bottom="1160" w:left="1320" w:right="124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212"/>
        <w:gridCol w:w="490"/>
        <w:gridCol w:w="450"/>
        <w:gridCol w:w="449"/>
        <w:gridCol w:w="491"/>
        <w:gridCol w:w="737"/>
        <w:gridCol w:w="850"/>
        <w:gridCol w:w="1277"/>
        <w:gridCol w:w="566"/>
        <w:gridCol w:w="1134"/>
        <w:gridCol w:w="709"/>
        <w:gridCol w:w="1276"/>
        <w:gridCol w:w="566"/>
        <w:gridCol w:w="1418"/>
        <w:gridCol w:w="991"/>
        <w:gridCol w:w="1418"/>
      </w:tblGrid>
      <w:tr>
        <w:trPr>
          <w:trHeight w:val="377" w:hRule="exact"/>
        </w:trPr>
        <w:tc>
          <w:tcPr>
            <w:tcW w:w="1212"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本）</w:t>
            </w:r>
          </w:p>
        </w:tc>
        <w:tc>
          <w:tcPr>
            <w:tcW w:w="490" w:type="dxa"/>
            <w:tcBorders>
              <w:top w:val="single" w:sz="15" w:space="0" w:color="000000"/>
              <w:left w:val="single" w:sz="4" w:space="0" w:color="000000"/>
              <w:bottom w:val="single" w:sz="4" w:space="0" w:color="000000"/>
              <w:right w:val="single" w:sz="4" w:space="0" w:color="000000"/>
            </w:tcBorders>
          </w:tcPr>
          <w:p>
            <w:pPr/>
          </w:p>
        </w:tc>
        <w:tc>
          <w:tcPr>
            <w:tcW w:w="450" w:type="dxa"/>
            <w:tcBorders>
              <w:top w:val="single" w:sz="15" w:space="0" w:color="000000"/>
              <w:left w:val="single" w:sz="4" w:space="0" w:color="000000"/>
              <w:bottom w:val="single" w:sz="4" w:space="0" w:color="000000"/>
              <w:right w:val="single" w:sz="4" w:space="0" w:color="000000"/>
            </w:tcBorders>
          </w:tcPr>
          <w:p>
            <w:pPr/>
          </w:p>
        </w:tc>
        <w:tc>
          <w:tcPr>
            <w:tcW w:w="449" w:type="dxa"/>
            <w:tcBorders>
              <w:top w:val="single" w:sz="15" w:space="0" w:color="000000"/>
              <w:left w:val="single" w:sz="4" w:space="0" w:color="000000"/>
              <w:bottom w:val="single" w:sz="4" w:space="0" w:color="000000"/>
              <w:right w:val="single" w:sz="4" w:space="0" w:color="000000"/>
            </w:tcBorders>
          </w:tcPr>
          <w:p>
            <w:pPr/>
          </w:p>
        </w:tc>
        <w:tc>
          <w:tcPr>
            <w:tcW w:w="491" w:type="dxa"/>
            <w:tcBorders>
              <w:top w:val="single" w:sz="15" w:space="0" w:color="000000"/>
              <w:left w:val="single" w:sz="4" w:space="0" w:color="000000"/>
              <w:bottom w:val="single" w:sz="4" w:space="0" w:color="000000"/>
              <w:right w:val="single" w:sz="4" w:space="0" w:color="000000"/>
            </w:tcBorders>
          </w:tcPr>
          <w:p>
            <w:pPr/>
          </w:p>
        </w:tc>
        <w:tc>
          <w:tcPr>
            <w:tcW w:w="737"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．盈余公积弥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补亏损</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．设定受益计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划变动额结转 留存收益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．其他综合收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益结转留存收 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97"/>
              <w:jc w:val="left"/>
              <w:rPr>
                <w:rFonts w:ascii="宋体" w:hAnsi="宋体" w:cs="宋体" w:eastAsia="宋体" w:hint="default"/>
                <w:sz w:val="18"/>
                <w:szCs w:val="18"/>
              </w:rPr>
            </w:pPr>
            <w:r>
              <w:rPr>
                <w:rFonts w:ascii="宋体" w:hAnsi="宋体" w:cs="宋体" w:eastAsia="宋体" w:hint="default"/>
                <w:sz w:val="18"/>
                <w:szCs w:val="18"/>
              </w:rPr>
              <w:t>（五）专项储 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97"/>
              <w:jc w:val="left"/>
              <w:rPr>
                <w:rFonts w:ascii="宋体" w:hAnsi="宋体" w:cs="宋体" w:eastAsia="宋体" w:hint="default"/>
                <w:sz w:val="18"/>
                <w:szCs w:val="18"/>
              </w:rPr>
            </w:pPr>
            <w:r>
              <w:rPr>
                <w:rFonts w:ascii="宋体" w:hAnsi="宋体" w:cs="宋体" w:eastAsia="宋体" w:hint="default"/>
                <w:sz w:val="18"/>
                <w:szCs w:val="18"/>
              </w:rPr>
              <w:t>四、本期期末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623,9</w:t>
            </w:r>
          </w:p>
          <w:p>
            <w:pPr>
              <w:pStyle w:val="TableParagraph"/>
              <w:spacing w:line="240" w:lineRule="auto" w:before="104"/>
              <w:ind w:left="52" w:right="0"/>
              <w:jc w:val="left"/>
              <w:rPr>
                <w:rFonts w:ascii="Times New Roman" w:hAnsi="Times New Roman" w:cs="Times New Roman" w:eastAsia="Times New Roman" w:hint="default"/>
                <w:sz w:val="18"/>
                <w:szCs w:val="18"/>
              </w:rPr>
            </w:pPr>
            <w:r>
              <w:rPr>
                <w:rFonts w:ascii="Times New Roman"/>
                <w:sz w:val="18"/>
              </w:rPr>
              <w:t>64,81</w:t>
            </w:r>
          </w:p>
          <w:p>
            <w:pPr>
              <w:pStyle w:val="TableParagraph"/>
              <w:spacing w:line="240" w:lineRule="auto" w:before="106"/>
              <w:ind w:left="142" w:right="0"/>
              <w:jc w:val="left"/>
              <w:rPr>
                <w:rFonts w:ascii="Times New Roman" w:hAnsi="Times New Roman" w:cs="Times New Roman" w:eastAsia="Times New Roman" w:hint="default"/>
                <w:sz w:val="18"/>
                <w:szCs w:val="18"/>
              </w:rPr>
            </w:pPr>
            <w:r>
              <w:rPr>
                <w:rFonts w:ascii="Times New Roman"/>
                <w:sz w:val="18"/>
              </w:rPr>
              <w:t>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1,767,03</w:t>
            </w:r>
          </w:p>
          <w:p>
            <w:pPr>
              <w:pStyle w:val="TableParagraph"/>
              <w:spacing w:line="240" w:lineRule="auto" w:before="105"/>
              <w:ind w:left="74" w:right="0"/>
              <w:jc w:val="left"/>
              <w:rPr>
                <w:rFonts w:ascii="Times New Roman" w:hAnsi="Times New Roman" w:cs="Times New Roman" w:eastAsia="Times New Roman" w:hint="default"/>
                <w:sz w:val="18"/>
                <w:szCs w:val="18"/>
              </w:rPr>
            </w:pPr>
            <w:r>
              <w:rPr>
                <w:rFonts w:ascii="Times New Roman"/>
                <w:sz w:val="18"/>
              </w:rPr>
              <w:t>9,312.38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7" w:right="0"/>
              <w:jc w:val="left"/>
              <w:rPr>
                <w:rFonts w:ascii="Times New Roman" w:hAnsi="Times New Roman" w:cs="Times New Roman" w:eastAsia="Times New Roman" w:hint="default"/>
                <w:sz w:val="18"/>
                <w:szCs w:val="18"/>
              </w:rPr>
            </w:pPr>
            <w:r>
              <w:rPr>
                <w:rFonts w:ascii="Times New Roman"/>
                <w:sz w:val="18"/>
              </w:rPr>
              <w:t>45,615,16</w:t>
            </w:r>
          </w:p>
          <w:p>
            <w:pPr>
              <w:pStyle w:val="TableParagraph"/>
              <w:spacing w:line="240" w:lineRule="auto" w:before="105"/>
              <w:ind w:left="502" w:right="0"/>
              <w:jc w:val="left"/>
              <w:rPr>
                <w:rFonts w:ascii="Times New Roman" w:hAnsi="Times New Roman" w:cs="Times New Roman" w:eastAsia="Times New Roman" w:hint="default"/>
                <w:sz w:val="18"/>
                <w:szCs w:val="18"/>
              </w:rPr>
            </w:pPr>
            <w:r>
              <w:rPr>
                <w:rFonts w:ascii="Times New Roman"/>
                <w:sz w:val="18"/>
              </w:rPr>
              <w:t>8.20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120,141,337.25</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19,602,961.52</w:t>
            </w: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-298,489,381.22</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2,186,643,871.73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-210,091.95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2,186,433,779.78</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867" w:footer="978" w:top="1060" w:bottom="1160" w:left="1320" w:right="1240"/>
        </w:sectPr>
      </w:pPr>
    </w:p>
    <w:p>
      <w:pPr>
        <w:spacing w:line="240" w:lineRule="auto" w:before="4"/>
        <w:rPr>
          <w:rFonts w:ascii="Times New Roman" w:hAnsi="Times New Roman" w:cs="Times New Roman" w:eastAsia="Times New Roman" w:hint="default"/>
          <w:sz w:val="3"/>
          <w:szCs w:val="3"/>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Times New Roman" w:hAnsi="Times New Roman" w:cs="Times New Roman" w:eastAsia="Times New Roman" w:hint="default"/>
          <w:sz w:val="2"/>
          <w:szCs w:val="2"/>
        </w:rPr>
      </w:r>
    </w:p>
    <w:p>
      <w:pPr>
        <w:pStyle w:val="Heading4"/>
        <w:spacing w:line="240" w:lineRule="auto"/>
        <w:ind w:left="139" w:right="0"/>
        <w:jc w:val="left"/>
        <w:rPr>
          <w:b w:val="0"/>
          <w:bCs w:val="0"/>
        </w:rPr>
      </w:pP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spacing w:before="44"/>
        <w:ind w:left="139"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6"/>
        <w:ind w:left="0" w:right="23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1306"/>
        <w:gridCol w:w="1247"/>
        <w:gridCol w:w="991"/>
        <w:gridCol w:w="709"/>
        <w:gridCol w:w="851"/>
        <w:gridCol w:w="1417"/>
        <w:gridCol w:w="1134"/>
        <w:gridCol w:w="1277"/>
        <w:gridCol w:w="566"/>
        <w:gridCol w:w="1134"/>
        <w:gridCol w:w="1276"/>
        <w:gridCol w:w="566"/>
        <w:gridCol w:w="1418"/>
      </w:tblGrid>
      <w:tr>
        <w:trPr>
          <w:trHeight w:val="402" w:hRule="exact"/>
        </w:trPr>
        <w:tc>
          <w:tcPr>
            <w:tcW w:w="130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587"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1306" w:type="dxa"/>
            <w:vMerge/>
            <w:tcBorders>
              <w:left w:val="single" w:sz="4" w:space="0" w:color="000000"/>
              <w:right w:val="single" w:sz="4" w:space="0" w:color="000000"/>
            </w:tcBorders>
            <w:shd w:val="clear" w:color="auto" w:fill="D3D3D3"/>
          </w:tcPr>
          <w:p>
            <w:pPr/>
          </w:p>
        </w:tc>
        <w:tc>
          <w:tcPr>
            <w:tcW w:w="124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2551"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2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3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1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566"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7"/>
              <w:ind w:left="98" w:right="9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13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7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5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7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02" w:hRule="exact"/>
        </w:trPr>
        <w:tc>
          <w:tcPr>
            <w:tcW w:w="1306" w:type="dxa"/>
            <w:vMerge/>
            <w:tcBorders>
              <w:left w:val="single" w:sz="4" w:space="0" w:color="000000"/>
              <w:bottom w:val="single" w:sz="4" w:space="0" w:color="000000"/>
              <w:right w:val="single" w:sz="4" w:space="0" w:color="000000"/>
            </w:tcBorders>
            <w:shd w:val="clear" w:color="auto" w:fill="D3D3D3"/>
          </w:tcPr>
          <w:p>
            <w:pPr/>
          </w:p>
        </w:tc>
        <w:tc>
          <w:tcPr>
            <w:tcW w:w="1247" w:type="dxa"/>
            <w:vMerge/>
            <w:tcBorders>
              <w:left w:val="single" w:sz="4" w:space="0" w:color="000000"/>
              <w:bottom w:val="single" w:sz="4" w:space="0" w:color="000000"/>
              <w:right w:val="single" w:sz="4" w:space="0" w:color="000000"/>
            </w:tcBorders>
            <w:shd w:val="clear" w:color="auto" w:fill="D3D3D3"/>
          </w:tcPr>
          <w:p>
            <w:pP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0"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3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7" w:type="dxa"/>
            <w:vMerge/>
            <w:tcBorders>
              <w:left w:val="single" w:sz="4" w:space="0" w:color="000000"/>
              <w:bottom w:val="single" w:sz="4" w:space="0" w:color="000000"/>
              <w:right w:val="single" w:sz="4" w:space="0" w:color="000000"/>
            </w:tcBorders>
            <w:shd w:val="clear" w:color="auto" w:fill="D3D3D3"/>
          </w:tcPr>
          <w:p>
            <w:pPr/>
          </w:p>
        </w:tc>
        <w:tc>
          <w:tcPr>
            <w:tcW w:w="1134" w:type="dxa"/>
            <w:vMerge/>
            <w:tcBorders>
              <w:left w:val="single" w:sz="4" w:space="0" w:color="000000"/>
              <w:bottom w:val="single" w:sz="4" w:space="0" w:color="000000"/>
              <w:right w:val="single" w:sz="4" w:space="0" w:color="000000"/>
            </w:tcBorders>
            <w:shd w:val="clear" w:color="auto" w:fill="D3D3D3"/>
          </w:tcPr>
          <w:p>
            <w:pPr/>
          </w:p>
        </w:tc>
        <w:tc>
          <w:tcPr>
            <w:tcW w:w="1277" w:type="dxa"/>
            <w:vMerge/>
            <w:tcBorders>
              <w:left w:val="single" w:sz="4" w:space="0" w:color="000000"/>
              <w:bottom w:val="single" w:sz="4" w:space="0" w:color="000000"/>
              <w:right w:val="single" w:sz="4" w:space="0" w:color="000000"/>
            </w:tcBorders>
            <w:shd w:val="clear" w:color="auto" w:fill="D3D3D3"/>
          </w:tcPr>
          <w:p>
            <w:pPr/>
          </w:p>
        </w:tc>
        <w:tc>
          <w:tcPr>
            <w:tcW w:w="566" w:type="dxa"/>
            <w:vMerge/>
            <w:tcBorders>
              <w:left w:val="single" w:sz="4" w:space="0" w:color="000000"/>
              <w:bottom w:val="single" w:sz="4" w:space="0" w:color="000000"/>
              <w:right w:val="single" w:sz="4" w:space="0" w:color="000000"/>
            </w:tcBorders>
            <w:shd w:val="clear" w:color="auto" w:fill="D3D3D3"/>
          </w:tcPr>
          <w:p>
            <w:pPr/>
          </w:p>
        </w:tc>
        <w:tc>
          <w:tcPr>
            <w:tcW w:w="1134" w:type="dxa"/>
            <w:vMerge/>
            <w:tcBorders>
              <w:left w:val="single" w:sz="4" w:space="0" w:color="000000"/>
              <w:bottom w:val="single" w:sz="4" w:space="0" w:color="000000"/>
              <w:right w:val="single" w:sz="4" w:space="0" w:color="000000"/>
            </w:tcBorders>
            <w:shd w:val="clear" w:color="auto" w:fill="D3D3D3"/>
          </w:tcPr>
          <w:p>
            <w:pPr/>
          </w:p>
        </w:tc>
        <w:tc>
          <w:tcPr>
            <w:tcW w:w="1276" w:type="dxa"/>
            <w:vMerge/>
            <w:tcBorders>
              <w:left w:val="single" w:sz="4" w:space="0" w:color="000000"/>
              <w:bottom w:val="single" w:sz="4" w:space="0" w:color="000000"/>
              <w:right w:val="single" w:sz="4" w:space="0" w:color="000000"/>
            </w:tcBorders>
            <w:shd w:val="clear" w:color="auto" w:fill="D3D3D3"/>
          </w:tcPr>
          <w:p>
            <w:pPr/>
          </w:p>
        </w:tc>
        <w:tc>
          <w:tcPr>
            <w:tcW w:w="566" w:type="dxa"/>
            <w:vMerge/>
            <w:tcBorders>
              <w:left w:val="single" w:sz="4" w:space="0" w:color="000000"/>
              <w:bottom w:val="single" w:sz="4" w:space="0" w:color="000000"/>
              <w:right w:val="single" w:sz="4" w:space="0" w:color="000000"/>
            </w:tcBorders>
            <w:shd w:val="clear" w:color="auto" w:fill="D3D3D3"/>
          </w:tcPr>
          <w:p>
            <w:pPr/>
          </w:p>
        </w:tc>
        <w:tc>
          <w:tcPr>
            <w:tcW w:w="1418"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2"/>
                <w:sz w:val="18"/>
                <w:szCs w:val="18"/>
              </w:rPr>
              <w:t>一、上年期末余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623,964,810.00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1" w:right="0"/>
              <w:jc w:val="center"/>
              <w:rPr>
                <w:rFonts w:ascii="Times New Roman" w:hAnsi="Times New Roman" w:cs="Times New Roman" w:eastAsia="Times New Roman" w:hint="default"/>
                <w:sz w:val="18"/>
                <w:szCs w:val="18"/>
              </w:rPr>
            </w:pPr>
            <w:r>
              <w:rPr>
                <w:rFonts w:ascii="Times New Roman"/>
                <w:sz w:val="18"/>
              </w:rPr>
              <w:t>1,767,666,312.88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45,615,168.20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120,141,337.25</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16,741,846.44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-285,036,653.68</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2,197,862,484.69</w:t>
            </w: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2"/>
                <w:sz w:val="18"/>
                <w:szCs w:val="18"/>
              </w:rPr>
              <w:t>加：会计政</w:t>
            </w:r>
            <w:r>
              <w:rPr>
                <w:rFonts w:ascii="宋体" w:hAnsi="宋体" w:cs="宋体" w:eastAsia="宋体" w:hint="default"/>
                <w:sz w:val="18"/>
                <w:szCs w:val="18"/>
              </w:rPr>
              <w:t> 策变更</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-120,141,337.25</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120,141,337.25</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191"/>
              <w:jc w:val="left"/>
              <w:rPr>
                <w:rFonts w:ascii="宋体" w:hAnsi="宋体" w:cs="宋体" w:eastAsia="宋体" w:hint="default"/>
                <w:sz w:val="18"/>
                <w:szCs w:val="18"/>
              </w:rPr>
            </w:pPr>
            <w:r>
              <w:rPr>
                <w:rFonts w:ascii="宋体" w:hAnsi="宋体" w:cs="宋体" w:eastAsia="宋体" w:hint="default"/>
                <w:sz w:val="18"/>
                <w:szCs w:val="18"/>
              </w:rPr>
              <w:t>        前期 差错更正</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2"/>
                <w:sz w:val="18"/>
                <w:szCs w:val="18"/>
              </w:rPr>
              <w:t>二、本年期初余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623,964,810.00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1" w:right="0"/>
              <w:jc w:val="center"/>
              <w:rPr>
                <w:rFonts w:ascii="Times New Roman" w:hAnsi="Times New Roman" w:cs="Times New Roman" w:eastAsia="Times New Roman" w:hint="default"/>
                <w:sz w:val="18"/>
                <w:szCs w:val="18"/>
              </w:rPr>
            </w:pPr>
            <w:r>
              <w:rPr>
                <w:rFonts w:ascii="Times New Roman"/>
                <w:sz w:val="18"/>
              </w:rPr>
              <w:t>1,767,666,312.88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45,615,168.20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16,741,846.44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-164,895,316.43</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2,197,862,484.69</w:t>
            </w: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both"/>
              <w:rPr>
                <w:rFonts w:ascii="宋体" w:hAnsi="宋体" w:cs="宋体" w:eastAsia="宋体" w:hint="default"/>
                <w:sz w:val="18"/>
                <w:szCs w:val="18"/>
              </w:rPr>
            </w:pPr>
            <w:r>
              <w:rPr>
                <w:rFonts w:ascii="宋体" w:hAnsi="宋体" w:cs="宋体" w:eastAsia="宋体" w:hint="default"/>
                <w:spacing w:val="-2"/>
                <w:sz w:val="18"/>
                <w:szCs w:val="18"/>
              </w:rPr>
              <w:t>三、本期增减变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动金额（减少以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-42,220,526.00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center"/>
              <w:rPr>
                <w:rFonts w:ascii="Times New Roman" w:hAnsi="Times New Roman" w:cs="Times New Roman" w:eastAsia="Times New Roman" w:hint="default"/>
                <w:sz w:val="18"/>
                <w:szCs w:val="18"/>
              </w:rPr>
            </w:pPr>
            <w:r>
              <w:rPr>
                <w:rFonts w:ascii="Times New Roman"/>
                <w:sz w:val="18"/>
              </w:rPr>
              <w:t>-346,678,114.65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-34,463,758.2</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25,234,087.82</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-329,200,794.63</w:t>
            </w: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2"/>
                <w:sz w:val="18"/>
                <w:szCs w:val="18"/>
              </w:rPr>
              <w:t>（一）综合收益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总额</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25,234,087.82</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25,234,087.82</w:t>
            </w: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2"/>
                <w:sz w:val="18"/>
                <w:szCs w:val="18"/>
              </w:rPr>
              <w:t>（二）所有者投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入和减少资本</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-42,220,526.00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4" w:right="0"/>
              <w:jc w:val="center"/>
              <w:rPr>
                <w:rFonts w:ascii="Times New Roman" w:hAnsi="Times New Roman" w:cs="Times New Roman" w:eastAsia="Times New Roman" w:hint="default"/>
                <w:sz w:val="18"/>
                <w:szCs w:val="18"/>
              </w:rPr>
            </w:pPr>
            <w:r>
              <w:rPr>
                <w:rFonts w:ascii="Times New Roman"/>
                <w:sz w:val="18"/>
              </w:rPr>
              <w:t>-346,678,114.65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-34,463,758.2</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-354,434,882.45</w:t>
            </w: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8" w:top="1060" w:bottom="116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306"/>
        <w:gridCol w:w="1247"/>
        <w:gridCol w:w="991"/>
        <w:gridCol w:w="709"/>
        <w:gridCol w:w="851"/>
        <w:gridCol w:w="1417"/>
        <w:gridCol w:w="1134"/>
        <w:gridCol w:w="1277"/>
        <w:gridCol w:w="566"/>
        <w:gridCol w:w="1134"/>
        <w:gridCol w:w="1276"/>
        <w:gridCol w:w="566"/>
        <w:gridCol w:w="1418"/>
      </w:tblGrid>
      <w:tr>
        <w:trPr>
          <w:trHeight w:val="689" w:hRule="exact"/>
        </w:trPr>
        <w:tc>
          <w:tcPr>
            <w:tcW w:w="1306"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22" w:right="191"/>
              <w:jc w:val="left"/>
              <w:rPr>
                <w:rFonts w:ascii="宋体" w:hAnsi="宋体" w:cs="宋体" w:eastAsia="宋体" w:hint="default"/>
                <w:sz w:val="18"/>
                <w:szCs w:val="18"/>
              </w:rPr>
            </w:pPr>
            <w:r>
              <w:rPr>
                <w:rFonts w:ascii="宋体" w:hAnsi="宋体" w:cs="宋体" w:eastAsia="宋体" w:hint="default"/>
                <w:sz w:val="18"/>
                <w:szCs w:val="18"/>
              </w:rPr>
              <w:t>具持有者投入 资本</w:t>
            </w:r>
          </w:p>
        </w:tc>
        <w:tc>
          <w:tcPr>
            <w:tcW w:w="1247"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1417"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-42,220,526.00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-346,678,114.65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-34,463,758.2</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0" w:right="0"/>
              <w:jc w:val="left"/>
              <w:rPr>
                <w:rFonts w:ascii="Times New Roman" w:hAnsi="Times New Roman" w:cs="Times New Roman" w:eastAsia="Times New Roman" w:hint="default"/>
                <w:sz w:val="18"/>
                <w:szCs w:val="18"/>
              </w:rPr>
            </w:pPr>
            <w:r>
              <w:rPr>
                <w:rFonts w:ascii="Times New Roman"/>
                <w:sz w:val="18"/>
              </w:rPr>
              <w:t>-354,434,882.45</w:t>
            </w: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19"/>
              <w:jc w:val="left"/>
              <w:rPr>
                <w:rFonts w:ascii="宋体" w:hAnsi="宋体" w:cs="宋体" w:eastAsia="宋体" w:hint="default"/>
                <w:sz w:val="18"/>
                <w:szCs w:val="18"/>
              </w:rPr>
            </w:pPr>
            <w:r>
              <w:rPr>
                <w:rFonts w:ascii="Times New Roman" w:hAnsi="Times New Roman" w:cs="Times New Roman" w:eastAsia="Times New Roman" w:hint="default"/>
                <w:spacing w:val="-13"/>
                <w:sz w:val="18"/>
                <w:szCs w:val="18"/>
              </w:rPr>
              <w:t>2</w:t>
            </w:r>
            <w:r>
              <w:rPr>
                <w:rFonts w:ascii="宋体" w:hAnsi="宋体" w:cs="宋体" w:eastAsia="宋体" w:hint="default"/>
                <w:spacing w:val="-13"/>
                <w:sz w:val="18"/>
                <w:szCs w:val="18"/>
              </w:rPr>
              <w:t>．对所有者（或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股东）的分配</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2"/>
                <w:sz w:val="18"/>
                <w:szCs w:val="18"/>
              </w:rPr>
              <w:t>（四）所有者权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益内部结转</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8" w:top="1060" w:bottom="1200" w:left="1320" w:right="134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306"/>
        <w:gridCol w:w="1247"/>
        <w:gridCol w:w="991"/>
        <w:gridCol w:w="709"/>
        <w:gridCol w:w="851"/>
        <w:gridCol w:w="1417"/>
        <w:gridCol w:w="1134"/>
        <w:gridCol w:w="1277"/>
        <w:gridCol w:w="566"/>
        <w:gridCol w:w="1134"/>
        <w:gridCol w:w="1276"/>
        <w:gridCol w:w="566"/>
        <w:gridCol w:w="1418"/>
      </w:tblGrid>
      <w:tr>
        <w:trPr>
          <w:trHeight w:val="689" w:hRule="exact"/>
        </w:trPr>
        <w:tc>
          <w:tcPr>
            <w:tcW w:w="1306"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22" w:right="191"/>
              <w:jc w:val="left"/>
              <w:rPr>
                <w:rFonts w:ascii="宋体" w:hAnsi="宋体" w:cs="宋体" w:eastAsia="宋体" w:hint="default"/>
                <w:sz w:val="18"/>
                <w:szCs w:val="18"/>
              </w:rPr>
            </w:pPr>
            <w:r>
              <w:rPr>
                <w:rFonts w:ascii="宋体" w:hAnsi="宋体" w:cs="宋体" w:eastAsia="宋体" w:hint="default"/>
                <w:sz w:val="18"/>
                <w:szCs w:val="18"/>
              </w:rPr>
              <w:t>益结转留存收 益</w:t>
            </w:r>
          </w:p>
        </w:tc>
        <w:tc>
          <w:tcPr>
            <w:tcW w:w="1247" w:type="dxa"/>
            <w:tcBorders>
              <w:top w:val="single" w:sz="15" w:space="0" w:color="000000"/>
              <w:left w:val="single" w:sz="4" w:space="0" w:color="000000"/>
              <w:bottom w:val="single" w:sz="4" w:space="0" w:color="000000"/>
              <w:right w:val="single" w:sz="4" w:space="0" w:color="000000"/>
            </w:tcBorders>
          </w:tcPr>
          <w:p>
            <w:pPr/>
          </w:p>
        </w:tc>
        <w:tc>
          <w:tcPr>
            <w:tcW w:w="991"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1417"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24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2"/>
                <w:sz w:val="18"/>
                <w:szCs w:val="18"/>
              </w:rPr>
              <w:t>四、本期期末余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9" w:right="0"/>
              <w:jc w:val="left"/>
              <w:rPr>
                <w:rFonts w:ascii="Times New Roman" w:hAnsi="Times New Roman" w:cs="Times New Roman" w:eastAsia="Times New Roman" w:hint="default"/>
                <w:sz w:val="18"/>
                <w:szCs w:val="18"/>
              </w:rPr>
            </w:pPr>
            <w:r>
              <w:rPr>
                <w:rFonts w:ascii="Times New Roman"/>
                <w:sz w:val="18"/>
              </w:rPr>
              <w:t>581,744,284.00</w:t>
            </w: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1,420,988,198.23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11,151,410.00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16,741,846.44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-139,661,228.61</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1,868,661,690.06</w:t>
            </w:r>
          </w:p>
        </w:tc>
      </w:tr>
    </w:tbl>
    <w:p>
      <w:pPr>
        <w:spacing w:before="51"/>
        <w:ind w:left="119"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9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5" w:type="dxa"/>
        <w:tblLayout w:type="fixed"/>
        <w:tblCellMar>
          <w:top w:w="0" w:type="dxa"/>
          <w:left w:w="0" w:type="dxa"/>
          <w:bottom w:w="0" w:type="dxa"/>
          <w:right w:w="0" w:type="dxa"/>
        </w:tblCellMar>
        <w:tblLook w:val="01E0"/>
      </w:tblPr>
      <w:tblGrid>
        <w:gridCol w:w="1231"/>
        <w:gridCol w:w="1321"/>
        <w:gridCol w:w="709"/>
        <w:gridCol w:w="850"/>
        <w:gridCol w:w="851"/>
        <w:gridCol w:w="1417"/>
        <w:gridCol w:w="1276"/>
        <w:gridCol w:w="1277"/>
        <w:gridCol w:w="566"/>
        <w:gridCol w:w="1134"/>
        <w:gridCol w:w="1276"/>
        <w:gridCol w:w="566"/>
        <w:gridCol w:w="1418"/>
      </w:tblGrid>
      <w:tr>
        <w:trPr>
          <w:trHeight w:val="402" w:hRule="exact"/>
        </w:trPr>
        <w:tc>
          <w:tcPr>
            <w:tcW w:w="123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661"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w:t>
            </w:r>
          </w:p>
        </w:tc>
      </w:tr>
      <w:tr>
        <w:trPr>
          <w:trHeight w:val="402" w:hRule="exact"/>
        </w:trPr>
        <w:tc>
          <w:tcPr>
            <w:tcW w:w="1231" w:type="dxa"/>
            <w:vMerge/>
            <w:tcBorders>
              <w:left w:val="single" w:sz="4" w:space="0" w:color="000000"/>
              <w:right w:val="single" w:sz="4" w:space="0" w:color="000000"/>
            </w:tcBorders>
            <w:shd w:val="clear" w:color="auto" w:fill="D3D3D3"/>
          </w:tcPr>
          <w:p>
            <w:pPr/>
          </w:p>
        </w:tc>
        <w:tc>
          <w:tcPr>
            <w:tcW w:w="132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2410"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5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7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566"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7"/>
              <w:ind w:left="98" w:right="9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13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7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5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7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02" w:hRule="exact"/>
        </w:trPr>
        <w:tc>
          <w:tcPr>
            <w:tcW w:w="1231" w:type="dxa"/>
            <w:vMerge/>
            <w:tcBorders>
              <w:left w:val="single" w:sz="4" w:space="0" w:color="000000"/>
              <w:bottom w:val="single" w:sz="4" w:space="0" w:color="000000"/>
              <w:right w:val="single" w:sz="4" w:space="0" w:color="000000"/>
            </w:tcBorders>
            <w:shd w:val="clear" w:color="auto" w:fill="D3D3D3"/>
          </w:tcPr>
          <w:p>
            <w:pPr/>
          </w:p>
        </w:tc>
        <w:tc>
          <w:tcPr>
            <w:tcW w:w="1321" w:type="dxa"/>
            <w:vMerge/>
            <w:tcBorders>
              <w:left w:val="single" w:sz="4" w:space="0" w:color="000000"/>
              <w:bottom w:val="single" w:sz="4" w:space="0" w:color="000000"/>
              <w:right w:val="single" w:sz="4" w:space="0" w:color="000000"/>
            </w:tcBorders>
            <w:shd w:val="clear" w:color="auto" w:fill="D3D3D3"/>
          </w:tcPr>
          <w:p>
            <w:pP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9"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49"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3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7" w:type="dxa"/>
            <w:vMerge/>
            <w:tcBorders>
              <w:left w:val="single" w:sz="4" w:space="0" w:color="000000"/>
              <w:bottom w:val="single" w:sz="4" w:space="0" w:color="000000"/>
              <w:right w:val="single" w:sz="4" w:space="0" w:color="000000"/>
            </w:tcBorders>
            <w:shd w:val="clear" w:color="auto" w:fill="D3D3D3"/>
          </w:tcPr>
          <w:p>
            <w:pPr/>
          </w:p>
        </w:tc>
        <w:tc>
          <w:tcPr>
            <w:tcW w:w="1276" w:type="dxa"/>
            <w:vMerge/>
            <w:tcBorders>
              <w:left w:val="single" w:sz="4" w:space="0" w:color="000000"/>
              <w:bottom w:val="single" w:sz="4" w:space="0" w:color="000000"/>
              <w:right w:val="single" w:sz="4" w:space="0" w:color="000000"/>
            </w:tcBorders>
            <w:shd w:val="clear" w:color="auto" w:fill="D3D3D3"/>
          </w:tcPr>
          <w:p>
            <w:pPr/>
          </w:p>
        </w:tc>
        <w:tc>
          <w:tcPr>
            <w:tcW w:w="1277" w:type="dxa"/>
            <w:vMerge/>
            <w:tcBorders>
              <w:left w:val="single" w:sz="4" w:space="0" w:color="000000"/>
              <w:bottom w:val="single" w:sz="4" w:space="0" w:color="000000"/>
              <w:right w:val="single" w:sz="4" w:space="0" w:color="000000"/>
            </w:tcBorders>
            <w:shd w:val="clear" w:color="auto" w:fill="D3D3D3"/>
          </w:tcPr>
          <w:p>
            <w:pPr/>
          </w:p>
        </w:tc>
        <w:tc>
          <w:tcPr>
            <w:tcW w:w="566" w:type="dxa"/>
            <w:vMerge/>
            <w:tcBorders>
              <w:left w:val="single" w:sz="4" w:space="0" w:color="000000"/>
              <w:bottom w:val="single" w:sz="4" w:space="0" w:color="000000"/>
              <w:right w:val="single" w:sz="4" w:space="0" w:color="000000"/>
            </w:tcBorders>
            <w:shd w:val="clear" w:color="auto" w:fill="D3D3D3"/>
          </w:tcPr>
          <w:p>
            <w:pPr/>
          </w:p>
        </w:tc>
        <w:tc>
          <w:tcPr>
            <w:tcW w:w="1134" w:type="dxa"/>
            <w:vMerge/>
            <w:tcBorders>
              <w:left w:val="single" w:sz="4" w:space="0" w:color="000000"/>
              <w:bottom w:val="single" w:sz="4" w:space="0" w:color="000000"/>
              <w:right w:val="single" w:sz="4" w:space="0" w:color="000000"/>
            </w:tcBorders>
            <w:shd w:val="clear" w:color="auto" w:fill="D3D3D3"/>
          </w:tcPr>
          <w:p>
            <w:pPr/>
          </w:p>
        </w:tc>
        <w:tc>
          <w:tcPr>
            <w:tcW w:w="1276" w:type="dxa"/>
            <w:vMerge/>
            <w:tcBorders>
              <w:left w:val="single" w:sz="4" w:space="0" w:color="000000"/>
              <w:bottom w:val="single" w:sz="4" w:space="0" w:color="000000"/>
              <w:right w:val="single" w:sz="4" w:space="0" w:color="000000"/>
            </w:tcBorders>
            <w:shd w:val="clear" w:color="auto" w:fill="D3D3D3"/>
          </w:tcPr>
          <w:p>
            <w:pPr/>
          </w:p>
        </w:tc>
        <w:tc>
          <w:tcPr>
            <w:tcW w:w="566" w:type="dxa"/>
            <w:vMerge/>
            <w:tcBorders>
              <w:left w:val="single" w:sz="4" w:space="0" w:color="000000"/>
              <w:bottom w:val="single" w:sz="4" w:space="0" w:color="000000"/>
              <w:right w:val="single" w:sz="4" w:space="0" w:color="000000"/>
            </w:tcBorders>
            <w:shd w:val="clear" w:color="auto" w:fill="D3D3D3"/>
          </w:tcPr>
          <w:p>
            <w:pPr/>
          </w:p>
        </w:tc>
        <w:tc>
          <w:tcPr>
            <w:tcW w:w="1418"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13"/>
                <w:sz w:val="18"/>
                <w:szCs w:val="18"/>
              </w:rPr>
              <w:t>一、上年期末余</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415,976,540.00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1,972,663,638.87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17,248,000.00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center"/>
              <w:rPr>
                <w:rFonts w:ascii="Times New Roman" w:hAnsi="Times New Roman" w:cs="Times New Roman" w:eastAsia="Times New Roman" w:hint="default"/>
                <w:sz w:val="18"/>
                <w:szCs w:val="18"/>
              </w:rPr>
            </w:pPr>
            <w:r>
              <w:rPr>
                <w:rFonts w:ascii="Times New Roman"/>
                <w:sz w:val="18"/>
              </w:rPr>
              <w:t>197,242,364.52</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16,741,846.44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-372,014,000.79</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2,213,362,389.04</w:t>
            </w: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8"/>
                <w:sz w:val="18"/>
                <w:szCs w:val="18"/>
              </w:rPr>
              <w:t>加：会计政</w:t>
            </w:r>
            <w:r>
              <w:rPr>
                <w:rFonts w:ascii="宋体" w:hAnsi="宋体" w:cs="宋体" w:eastAsia="宋体" w:hint="default"/>
                <w:sz w:val="18"/>
                <w:szCs w:val="18"/>
              </w:rPr>
              <w:t> 策变更</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16"/>
              <w:jc w:val="left"/>
              <w:rPr>
                <w:rFonts w:ascii="宋体" w:hAnsi="宋体" w:cs="宋体" w:eastAsia="宋体" w:hint="default"/>
                <w:sz w:val="18"/>
                <w:szCs w:val="18"/>
              </w:rPr>
            </w:pPr>
            <w:r>
              <w:rPr>
                <w:rFonts w:ascii="宋体" w:hAnsi="宋体" w:cs="宋体" w:eastAsia="宋体" w:hint="default"/>
                <w:sz w:val="18"/>
                <w:szCs w:val="18"/>
              </w:rPr>
              <w:t>        前期 差错更正</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13"/>
                <w:sz w:val="18"/>
                <w:szCs w:val="18"/>
              </w:rPr>
              <w:t>二、本年期初余</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415,976,540.00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1,972,663,638.87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17,248,000.00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center"/>
              <w:rPr>
                <w:rFonts w:ascii="Times New Roman" w:hAnsi="Times New Roman" w:cs="Times New Roman" w:eastAsia="Times New Roman" w:hint="default"/>
                <w:sz w:val="18"/>
                <w:szCs w:val="18"/>
              </w:rPr>
            </w:pPr>
            <w:r>
              <w:rPr>
                <w:rFonts w:ascii="Times New Roman"/>
                <w:sz w:val="18"/>
              </w:rPr>
              <w:t>197,242,364.52</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16,741,846.44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-372,014,000.79</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2,213,362,389.04</w:t>
            </w:r>
          </w:p>
        </w:tc>
      </w:tr>
      <w:tr>
        <w:trPr>
          <w:trHeight w:val="67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86"/>
                <w:sz w:val="18"/>
                <w:szCs w:val="18"/>
              </w:rPr>
              <w:t>、</w:t>
            </w:r>
            <w:r>
              <w:rPr>
                <w:rFonts w:ascii="宋体" w:hAnsi="宋体" w:cs="宋体" w:eastAsia="宋体" w:hint="default"/>
                <w:sz w:val="18"/>
                <w:szCs w:val="18"/>
              </w:rPr>
              <w:t>本期增减变</w:t>
            </w:r>
            <w:r>
              <w:rPr>
                <w:rFonts w:ascii="宋体" w:hAnsi="宋体" w:cs="宋体" w:eastAsia="宋体" w:hint="default"/>
                <w:sz w:val="18"/>
                <w:szCs w:val="18"/>
              </w:rPr>
              <w:t> 动金</w:t>
            </w:r>
            <w:r>
              <w:rPr>
                <w:rFonts w:ascii="宋体" w:hAnsi="宋体" w:cs="宋体" w:eastAsia="宋体" w:hint="default"/>
                <w:spacing w:val="-86"/>
                <w:sz w:val="18"/>
                <w:szCs w:val="18"/>
              </w:rPr>
              <w:t>额</w:t>
            </w:r>
            <w:r>
              <w:rPr>
                <w:rFonts w:ascii="宋体" w:hAnsi="宋体" w:cs="宋体" w:eastAsia="宋体" w:hint="default"/>
                <w:sz w:val="18"/>
                <w:szCs w:val="18"/>
              </w:rPr>
              <w:t>（减少以</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207,988,270.00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-204,997,325.99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28,367,168.20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5" w:right="0"/>
              <w:jc w:val="center"/>
              <w:rPr>
                <w:rFonts w:ascii="Times New Roman" w:hAnsi="Times New Roman" w:cs="Times New Roman" w:eastAsia="Times New Roman" w:hint="default"/>
                <w:sz w:val="18"/>
                <w:szCs w:val="18"/>
              </w:rPr>
            </w:pPr>
            <w:r>
              <w:rPr>
                <w:rFonts w:ascii="Times New Roman"/>
                <w:sz w:val="18"/>
              </w:rPr>
              <w:t>-77,101,027.27</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86,977,347.11</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-15,499,904.35</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78" w:top="1060" w:bottom="1160" w:left="1320" w:right="134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231"/>
        <w:gridCol w:w="1321"/>
        <w:gridCol w:w="709"/>
        <w:gridCol w:w="850"/>
        <w:gridCol w:w="851"/>
        <w:gridCol w:w="1417"/>
        <w:gridCol w:w="1276"/>
        <w:gridCol w:w="1277"/>
        <w:gridCol w:w="566"/>
        <w:gridCol w:w="1134"/>
        <w:gridCol w:w="1276"/>
        <w:gridCol w:w="566"/>
        <w:gridCol w:w="1418"/>
      </w:tblGrid>
      <w:tr>
        <w:trPr>
          <w:trHeight w:val="377" w:hRule="exact"/>
        </w:trPr>
        <w:tc>
          <w:tcPr>
            <w:tcW w:w="1231"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21"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1417"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13"/>
                <w:sz w:val="18"/>
                <w:szCs w:val="18"/>
              </w:rPr>
              <w:t>（一）综合收益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总额</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28,367,168.20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-77,101,027.27</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86,977,347.11</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-18,490,848.36</w:t>
            </w: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13"/>
                <w:sz w:val="18"/>
                <w:szCs w:val="18"/>
              </w:rPr>
              <w:t>（二）所有者投</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入和减少资本</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2,990,944.01</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2,990,944.01</w:t>
            </w: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2,990,944.01</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2,990,944.01</w:t>
            </w: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86"/>
                <w:sz w:val="18"/>
                <w:szCs w:val="18"/>
              </w:rPr>
              <w:t>）</w:t>
            </w:r>
            <w:r>
              <w:rPr>
                <w:rFonts w:ascii="宋体" w:hAnsi="宋体" w:cs="宋体" w:eastAsia="宋体" w:hint="default"/>
                <w:sz w:val="18"/>
                <w:szCs w:val="18"/>
              </w:rPr>
              <w:t>利润分配</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22"/>
                <w:sz w:val="18"/>
                <w:szCs w:val="18"/>
              </w:rPr>
              <w:t>2</w:t>
            </w:r>
            <w:r>
              <w:rPr>
                <w:rFonts w:ascii="宋体" w:hAnsi="宋体" w:cs="宋体" w:eastAsia="宋体" w:hint="default"/>
                <w:spacing w:val="-22"/>
                <w:sz w:val="18"/>
                <w:szCs w:val="18"/>
              </w:rPr>
              <w:t>．对所有者（或</w:t>
            </w:r>
            <w:r>
              <w:rPr>
                <w:rFonts w:ascii="宋体" w:hAnsi="宋体" w:cs="宋体" w:eastAsia="宋体" w:hint="default"/>
                <w:sz w:val="18"/>
                <w:szCs w:val="18"/>
              </w:rPr>
              <w:t> 股东）的分配</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13"/>
                <w:sz w:val="18"/>
                <w:szCs w:val="18"/>
              </w:rPr>
              <w:t>（四）所有者权</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益内部结转</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207,988,270.00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-207,988,270.00</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207,988,270.00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-207,988,270.00</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78" w:top="1060" w:bottom="1160" w:left="1320" w:right="134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231"/>
        <w:gridCol w:w="1321"/>
        <w:gridCol w:w="709"/>
        <w:gridCol w:w="850"/>
        <w:gridCol w:w="851"/>
        <w:gridCol w:w="1417"/>
        <w:gridCol w:w="1276"/>
        <w:gridCol w:w="1277"/>
        <w:gridCol w:w="566"/>
        <w:gridCol w:w="1134"/>
        <w:gridCol w:w="1276"/>
        <w:gridCol w:w="566"/>
        <w:gridCol w:w="1418"/>
      </w:tblGrid>
      <w:tr>
        <w:trPr>
          <w:trHeight w:val="689" w:hRule="exact"/>
        </w:trPr>
        <w:tc>
          <w:tcPr>
            <w:tcW w:w="1231" w:type="dxa"/>
            <w:tcBorders>
              <w:top w:val="single" w:sz="15"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22" w:right="116"/>
              <w:jc w:val="left"/>
              <w:rPr>
                <w:rFonts w:ascii="宋体" w:hAnsi="宋体" w:cs="宋体" w:eastAsia="宋体" w:hint="default"/>
                <w:sz w:val="18"/>
                <w:szCs w:val="18"/>
              </w:rPr>
            </w:pPr>
            <w:r>
              <w:rPr>
                <w:rFonts w:ascii="宋体" w:hAnsi="宋体" w:cs="宋体" w:eastAsia="宋体" w:hint="default"/>
                <w:sz w:val="18"/>
                <w:szCs w:val="18"/>
              </w:rPr>
              <w:t>增资本（或股 本）</w:t>
            </w:r>
          </w:p>
        </w:tc>
        <w:tc>
          <w:tcPr>
            <w:tcW w:w="1321"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1417"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27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1418" w:type="dxa"/>
            <w:tcBorders>
              <w:top w:val="single" w:sz="15"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 益结转留存收 益</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pacing w:val="-86"/>
                <w:sz w:val="18"/>
                <w:szCs w:val="18"/>
              </w:rPr>
              <w:t>）</w:t>
            </w:r>
            <w:r>
              <w:rPr>
                <w:rFonts w:ascii="宋体" w:hAnsi="宋体" w:cs="宋体" w:eastAsia="宋体" w:hint="default"/>
                <w:sz w:val="18"/>
                <w:szCs w:val="18"/>
              </w:rPr>
              <w:t>专项储备</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2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13"/>
                <w:sz w:val="18"/>
                <w:szCs w:val="18"/>
              </w:rPr>
              <w:t>四、本期期末余</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623,964,810.00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1,767,666,312.88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45,615,168.20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120,141,337.25</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16,741,846.44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-285,036,653.68</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2,197,862,484.69</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867" w:footer="978" w:top="1060" w:bottom="1160" w:left="1320" w:right="1340"/>
        </w:sectPr>
      </w:pPr>
    </w:p>
    <w:p>
      <w:pPr>
        <w:spacing w:line="240" w:lineRule="auto" w:before="5"/>
        <w:rPr>
          <w:rFonts w:ascii="Times New Roman" w:hAnsi="Times New Roman" w:cs="Times New Roman" w:eastAsia="Times New Roman" w:hint="default"/>
          <w:sz w:val="22"/>
          <w:szCs w:val="22"/>
        </w:rPr>
      </w:pPr>
    </w:p>
    <w:p>
      <w:pPr>
        <w:pStyle w:val="Heading2"/>
        <w:spacing w:line="240" w:lineRule="auto" w:before="26"/>
        <w:ind w:right="0"/>
        <w:jc w:val="left"/>
        <w:rPr>
          <w:b w:val="0"/>
          <w:bCs w:val="0"/>
        </w:rPr>
      </w:pPr>
      <w:r>
        <w:rPr/>
        <w:t>三、公司基本情况</w:t>
      </w:r>
      <w:r>
        <w:rPr>
          <w:b w:val="0"/>
          <w:bCs w:val="0"/>
        </w:rPr>
      </w:r>
    </w:p>
    <w:p>
      <w:pPr>
        <w:spacing w:line="240" w:lineRule="auto" w:before="1"/>
        <w:rPr>
          <w:rFonts w:ascii="宋体" w:hAnsi="宋体" w:cs="宋体" w:eastAsia="宋体" w:hint="default"/>
          <w:b/>
          <w:bCs/>
          <w:sz w:val="23"/>
          <w:szCs w:val="23"/>
        </w:rPr>
      </w:pPr>
    </w:p>
    <w:p>
      <w:pPr>
        <w:pStyle w:val="BodyText"/>
        <w:spacing w:line="357" w:lineRule="auto" w:before="0"/>
        <w:ind w:left="574" w:right="1122"/>
        <w:jc w:val="left"/>
      </w:pPr>
      <w:r>
        <w:rPr/>
        <w:t>（一）</w:t>
      </w:r>
      <w:r>
        <w:rPr>
          <w:spacing w:val="-15"/>
        </w:rPr>
        <w:t> </w:t>
      </w:r>
      <w:r>
        <w:rPr/>
        <w:t>企业注册地、组织形式和总部地址。 </w:t>
      </w:r>
      <w:r>
        <w:rPr>
          <w:spacing w:val="-3"/>
        </w:rPr>
        <w:t>厦门安妮股份有限公司（以下称“本公司”或“公司”）系以厦门安妮纸业有限公司</w:t>
      </w:r>
      <w:r>
        <w:rPr>
          <w:spacing w:val="-26"/>
        </w:rPr>
        <w:t> </w:t>
      </w:r>
      <w:r>
        <w:rPr/>
        <w:t>2007</w:t>
      </w:r>
      <w:r>
        <w:rPr>
          <w:spacing w:val="-26"/>
        </w:rPr>
        <w:t> </w:t>
      </w:r>
      <w:r>
        <w:rPr/>
        <w:t>年</w:t>
      </w:r>
      <w:r>
        <w:rPr>
          <w:spacing w:val="-27"/>
        </w:rPr>
        <w:t> </w:t>
      </w:r>
      <w:r>
        <w:rPr/>
        <w:t>4</w:t>
      </w:r>
      <w:r>
        <w:rPr>
          <w:spacing w:val="-26"/>
        </w:rPr>
        <w:t> </w:t>
      </w:r>
      <w:r>
        <w:rPr/>
        <w:t>月</w:t>
      </w:r>
      <w:r>
        <w:rPr>
          <w:spacing w:val="-26"/>
        </w:rPr>
        <w:t> </w:t>
      </w:r>
      <w:r>
        <w:rPr/>
        <w:t>30</w:t>
      </w:r>
    </w:p>
    <w:p>
      <w:pPr>
        <w:pStyle w:val="BodyText"/>
        <w:spacing w:line="240" w:lineRule="auto" w:before="30"/>
        <w:ind w:left="153" w:right="0"/>
        <w:jc w:val="left"/>
      </w:pPr>
      <w:r>
        <w:rPr/>
        <w:t>日经中审会计师事务所审计的账面净资产</w:t>
      </w:r>
      <w:r>
        <w:rPr>
          <w:spacing w:val="-54"/>
        </w:rPr>
        <w:t> </w:t>
      </w:r>
      <w:r>
        <w:rPr/>
        <w:t>11,077.63</w:t>
      </w:r>
      <w:r>
        <w:rPr>
          <w:spacing w:val="-53"/>
        </w:rPr>
        <w:t> </w:t>
      </w:r>
      <w:r>
        <w:rPr/>
        <w:t>万元按</w:t>
      </w:r>
      <w:r>
        <w:rPr>
          <w:spacing w:val="-55"/>
        </w:rPr>
        <w:t> </w:t>
      </w:r>
      <w:r>
        <w:rPr/>
        <w:t>1:0.677</w:t>
      </w:r>
      <w:r>
        <w:rPr>
          <w:spacing w:val="-53"/>
        </w:rPr>
        <w:t> </w:t>
      </w:r>
      <w:r>
        <w:rPr/>
        <w:t>的比例折股为</w:t>
      </w:r>
      <w:r>
        <w:rPr>
          <w:spacing w:val="-54"/>
        </w:rPr>
        <w:t> </w:t>
      </w:r>
      <w:r>
        <w:rPr/>
        <w:t>7,500</w:t>
      </w:r>
      <w:r>
        <w:rPr>
          <w:spacing w:val="-53"/>
        </w:rPr>
        <w:t> </w:t>
      </w:r>
      <w:r>
        <w:rPr>
          <w:spacing w:val="-4"/>
        </w:rPr>
        <w:t>万股，整体改制</w:t>
      </w:r>
    </w:p>
    <w:p>
      <w:pPr>
        <w:pStyle w:val="BodyText"/>
        <w:spacing w:line="240" w:lineRule="auto" w:before="133"/>
        <w:ind w:left="153" w:right="0"/>
        <w:jc w:val="left"/>
      </w:pPr>
      <w:r>
        <w:rPr>
          <w:spacing w:val="-3"/>
        </w:rPr>
        <w:t>设立的股份有限公司。本公司前身系</w:t>
      </w:r>
      <w:r>
        <w:rPr>
          <w:spacing w:val="-56"/>
        </w:rPr>
        <w:t> </w:t>
      </w:r>
      <w:r>
        <w:rPr/>
        <w:t>1998</w:t>
      </w:r>
      <w:r>
        <w:rPr>
          <w:spacing w:val="-55"/>
        </w:rPr>
        <w:t> </w:t>
      </w:r>
      <w:r>
        <w:rPr/>
        <w:t>年</w:t>
      </w:r>
      <w:r>
        <w:rPr>
          <w:spacing w:val="-57"/>
        </w:rPr>
        <w:t> </w:t>
      </w:r>
      <w:r>
        <w:rPr/>
        <w:t>9</w:t>
      </w:r>
      <w:r>
        <w:rPr>
          <w:spacing w:val="-56"/>
        </w:rPr>
        <w:t> </w:t>
      </w:r>
      <w:r>
        <w:rPr/>
        <w:t>月</w:t>
      </w:r>
      <w:r>
        <w:rPr>
          <w:spacing w:val="-56"/>
        </w:rPr>
        <w:t> </w:t>
      </w:r>
      <w:r>
        <w:rPr/>
        <w:t>14</w:t>
      </w:r>
      <w:r>
        <w:rPr>
          <w:spacing w:val="-55"/>
        </w:rPr>
        <w:t> </w:t>
      </w:r>
      <w:r>
        <w:rPr/>
        <w:t>日经厦门市工商行政管理局批准成立的厦门安妮纸业</w:t>
      </w:r>
    </w:p>
    <w:p>
      <w:pPr>
        <w:pStyle w:val="BodyText"/>
        <w:spacing w:line="355" w:lineRule="auto" w:before="134"/>
        <w:ind w:left="573" w:right="0" w:hanging="420"/>
        <w:jc w:val="left"/>
      </w:pPr>
      <w:r>
        <w:rPr/>
        <w:t>有限公司，成立时注册资本</w:t>
      </w:r>
      <w:r>
        <w:rPr>
          <w:spacing w:val="-59"/>
        </w:rPr>
        <w:t> </w:t>
      </w:r>
      <w:r>
        <w:rPr/>
        <w:t>300</w:t>
      </w:r>
      <w:r>
        <w:rPr>
          <w:spacing w:val="-58"/>
        </w:rPr>
        <w:t> </w:t>
      </w:r>
      <w:r>
        <w:rPr/>
        <w:t>万元，企业性质为有限责任公司。本公司的实际控制人为林旭曦、张杰。 统一社会信用代码:913502002601292498 </w:t>
      </w:r>
    </w:p>
    <w:p>
      <w:pPr>
        <w:pStyle w:val="BodyText"/>
        <w:spacing w:line="240" w:lineRule="auto" w:before="33"/>
        <w:ind w:left="573" w:right="0"/>
        <w:jc w:val="left"/>
      </w:pPr>
      <w:r>
        <w:rPr/>
        <w:t>住所：厦门市集美区杏林锦园南路</w:t>
      </w:r>
      <w:r>
        <w:rPr>
          <w:spacing w:val="-62"/>
        </w:rPr>
        <w:t> </w:t>
      </w:r>
      <w:r>
        <w:rPr/>
        <w:t>99</w:t>
      </w:r>
      <w:r>
        <w:rPr>
          <w:spacing w:val="-61"/>
        </w:rPr>
        <w:t> </w:t>
      </w:r>
      <w:r>
        <w:rPr/>
        <w:t>号 </w:t>
      </w:r>
    </w:p>
    <w:p>
      <w:pPr>
        <w:pStyle w:val="BodyText"/>
        <w:spacing w:line="357" w:lineRule="auto" w:before="133"/>
        <w:ind w:left="573" w:right="6790"/>
        <w:jc w:val="left"/>
      </w:pPr>
      <w:r>
        <w:rPr/>
        <w:t>注册资本：人民币</w:t>
      </w:r>
      <w:r>
        <w:rPr>
          <w:spacing w:val="-54"/>
        </w:rPr>
        <w:t> </w:t>
      </w:r>
      <w:r>
        <w:rPr/>
        <w:t>58,174.4284</w:t>
      </w:r>
      <w:r>
        <w:rPr>
          <w:spacing w:val="-53"/>
        </w:rPr>
        <w:t> </w:t>
      </w:r>
      <w:r>
        <w:rPr/>
        <w:t>万元 企业类型：股份有限公司（上市） </w:t>
      </w:r>
    </w:p>
    <w:p>
      <w:pPr>
        <w:pStyle w:val="BodyText"/>
        <w:spacing w:line="355" w:lineRule="auto" w:before="30"/>
        <w:ind w:left="573" w:right="0"/>
        <w:jc w:val="left"/>
      </w:pPr>
      <w:r>
        <w:rPr/>
        <w:t>（二）</w:t>
      </w:r>
      <w:r>
        <w:rPr>
          <w:spacing w:val="-15"/>
        </w:rPr>
        <w:t> </w:t>
      </w:r>
      <w:r>
        <w:rPr/>
        <w:t>企业的业务性质和主要经营活动。 本公司主要从事版权业务、互联网营销业务、商务信息用纸业务三大主营业务经营活动。 </w:t>
      </w:r>
    </w:p>
    <w:p>
      <w:pPr>
        <w:pStyle w:val="BodyText"/>
        <w:spacing w:line="240" w:lineRule="auto" w:before="33"/>
        <w:ind w:left="573" w:right="0"/>
        <w:jc w:val="left"/>
      </w:pPr>
      <w:r>
        <w:rPr/>
        <w:t>（三）</w:t>
      </w:r>
      <w:r>
        <w:rPr>
          <w:spacing w:val="-22"/>
        </w:rPr>
        <w:t> </w:t>
      </w:r>
      <w:r>
        <w:rPr/>
        <w:t>本财务报告经本公司董事会于</w:t>
      </w:r>
      <w:r>
        <w:rPr>
          <w:spacing w:val="-57"/>
        </w:rPr>
        <w:t> </w:t>
      </w:r>
      <w:r>
        <w:rPr/>
        <w:t>2020</w:t>
      </w:r>
      <w:r>
        <w:rPr>
          <w:spacing w:val="-57"/>
        </w:rPr>
        <w:t> </w:t>
      </w:r>
      <w:r>
        <w:rPr/>
        <w:t>年</w:t>
      </w:r>
      <w:r>
        <w:rPr>
          <w:spacing w:val="-57"/>
        </w:rPr>
        <w:t> </w:t>
      </w:r>
      <w:r>
        <w:rPr/>
        <w:t>4</w:t>
      </w:r>
      <w:r>
        <w:rPr>
          <w:spacing w:val="-56"/>
        </w:rPr>
        <w:t> </w:t>
      </w:r>
      <w:r>
        <w:rPr/>
        <w:t>月</w:t>
      </w:r>
      <w:r>
        <w:rPr>
          <w:spacing w:val="-58"/>
        </w:rPr>
        <w:t> </w:t>
      </w:r>
      <w:r>
        <w:rPr/>
        <w:t>28</w:t>
      </w:r>
      <w:r>
        <w:rPr>
          <w:spacing w:val="-56"/>
        </w:rPr>
        <w:t> </w:t>
      </w:r>
      <w:r>
        <w:rPr/>
        <w:t>日决议批准报出。 </w:t>
      </w:r>
    </w:p>
    <w:p>
      <w:pPr>
        <w:pStyle w:val="BodyText"/>
        <w:spacing w:line="357" w:lineRule="auto" w:before="133"/>
        <w:ind w:left="573" w:right="0"/>
        <w:jc w:val="left"/>
      </w:pPr>
      <w:r>
        <w:rPr/>
        <w:t>（四）本年度合并财务报表范围 </w:t>
      </w:r>
      <w:r>
        <w:rPr>
          <w:spacing w:val="-6"/>
        </w:rPr>
        <w:t>本期纳入合并范围内的子公司见本附注“六、合并范围的变更”及“七、在其他主体中的权益”披露。</w:t>
      </w:r>
      <w:r>
        <w:rPr/>
        <w:t> </w:t>
      </w:r>
    </w:p>
    <w:p>
      <w:pPr>
        <w:spacing w:line="240" w:lineRule="auto" w:before="0"/>
        <w:rPr>
          <w:rFonts w:ascii="宋体" w:hAnsi="宋体" w:cs="宋体" w:eastAsia="宋体" w:hint="default"/>
          <w:sz w:val="25"/>
          <w:szCs w:val="25"/>
        </w:rPr>
      </w:pPr>
    </w:p>
    <w:p>
      <w:pPr>
        <w:pStyle w:val="Heading2"/>
        <w:spacing w:line="240" w:lineRule="auto"/>
        <w:ind w:right="0"/>
        <w:jc w:val="left"/>
        <w:rPr>
          <w:b w:val="0"/>
          <w:bCs w:val="0"/>
        </w:rPr>
      </w:pPr>
      <w:r>
        <w:rPr/>
        <w:t>四、财务报表的编制基础</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、编制基础</w:t>
      </w:r>
      <w:r>
        <w:rPr>
          <w:b w:val="0"/>
          <w:bCs w:val="0"/>
        </w:rPr>
      </w:r>
    </w:p>
    <w:p>
      <w:pPr>
        <w:spacing w:line="240" w:lineRule="auto" w:before="7"/>
        <w:rPr>
          <w:rFonts w:ascii="宋体" w:hAnsi="宋体" w:cs="宋体" w:eastAsia="宋体" w:hint="default"/>
          <w:b/>
          <w:bCs/>
          <w:sz w:val="30"/>
          <w:szCs w:val="30"/>
        </w:rPr>
      </w:pPr>
    </w:p>
    <w:p>
      <w:pPr>
        <w:pStyle w:val="BodyText"/>
        <w:spacing w:line="240" w:lineRule="auto" w:before="0"/>
        <w:ind w:left="573" w:right="0"/>
        <w:jc w:val="left"/>
      </w:pPr>
      <w:r>
        <w:rPr/>
        <w:t>本公司财务报表以持续经营为基础，根据实际发生的交易和事项，按照财政部颁布的《企业会计准则</w:t>
      </w:r>
    </w:p>
    <w:p>
      <w:pPr>
        <w:spacing w:line="240" w:lineRule="auto" w:before="10"/>
        <w:rPr>
          <w:rFonts w:ascii="宋体" w:hAnsi="宋体" w:cs="宋体" w:eastAsia="宋体" w:hint="default"/>
          <w:sz w:val="14"/>
          <w:szCs w:val="14"/>
        </w:rPr>
      </w:pPr>
    </w:p>
    <w:p>
      <w:pPr>
        <w:pStyle w:val="BodyText"/>
        <w:spacing w:line="408" w:lineRule="auto" w:before="0"/>
        <w:ind w:left="153" w:right="0"/>
        <w:jc w:val="left"/>
      </w:pPr>
      <w:r>
        <w:rPr/>
        <w:t>-基本准则》和具体会计准则等规定（以下合称“企业会计准则”），并基于以下所述重要会计政策、会</w:t>
      </w:r>
      <w:r>
        <w:rPr>
          <w:spacing w:val="-35"/>
        </w:rPr>
        <w:t> </w:t>
      </w:r>
      <w:r>
        <w:rPr>
          <w:spacing w:val="-35"/>
        </w:rPr>
      </w:r>
      <w:r>
        <w:rPr/>
        <w:t>计估计进行编制。 </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rFonts w:ascii="Times New Roman" w:hAnsi="Times New Roman" w:cs="Times New Roman" w:eastAsia="Times New Roman" w:hint="default"/>
        </w:rPr>
        <w:t>2</w:t>
      </w:r>
      <w:r>
        <w:rPr/>
        <w:t>、持续经营</w:t>
      </w:r>
      <w:r>
        <w:rPr>
          <w:b w:val="0"/>
          <w:bCs w:val="0"/>
        </w:rPr>
      </w:r>
    </w:p>
    <w:p>
      <w:pPr>
        <w:spacing w:line="240" w:lineRule="auto" w:before="7"/>
        <w:rPr>
          <w:rFonts w:ascii="宋体" w:hAnsi="宋体" w:cs="宋体" w:eastAsia="宋体" w:hint="default"/>
          <w:b/>
          <w:bCs/>
          <w:sz w:val="24"/>
          <w:szCs w:val="24"/>
        </w:rPr>
      </w:pPr>
    </w:p>
    <w:p>
      <w:pPr>
        <w:pStyle w:val="BodyText"/>
        <w:spacing w:line="240" w:lineRule="auto" w:before="0"/>
        <w:ind w:left="573" w:right="0"/>
        <w:jc w:val="left"/>
      </w:pPr>
      <w:r>
        <w:rPr/>
        <w:t>本公司不存在导致对报告期末起</w:t>
      </w:r>
      <w:r>
        <w:rPr>
          <w:rFonts w:ascii="Times New Roman" w:hAnsi="Times New Roman" w:cs="Times New Roman" w:eastAsia="Times New Roman" w:hint="default"/>
        </w:rPr>
        <w:t>12</w:t>
      </w:r>
      <w:r>
        <w:rPr/>
        <w:t>个月内的持续经营能力产生重大疑虑的事项或情况。</w:t>
      </w:r>
    </w:p>
    <w:p>
      <w:pPr>
        <w:spacing w:line="240" w:lineRule="auto" w:before="12"/>
        <w:rPr>
          <w:rFonts w:ascii="宋体" w:hAnsi="宋体" w:cs="宋体" w:eastAsia="宋体" w:hint="default"/>
          <w:sz w:val="22"/>
          <w:szCs w:val="22"/>
        </w:rPr>
      </w:pPr>
    </w:p>
    <w:p>
      <w:pPr>
        <w:pStyle w:val="Heading2"/>
        <w:spacing w:line="240" w:lineRule="auto"/>
        <w:ind w:right="0"/>
        <w:jc w:val="left"/>
        <w:rPr>
          <w:b w:val="0"/>
          <w:bCs w:val="0"/>
        </w:rPr>
      </w:pPr>
      <w:r>
        <w:rPr/>
        <w:t>五、重要会计政策及会计估计</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具体会计政策和会计估计提示：</w:t>
      </w:r>
    </w:p>
    <w:p>
      <w:pPr>
        <w:spacing w:line="240" w:lineRule="auto" w:before="12"/>
        <w:rPr>
          <w:rFonts w:ascii="宋体" w:hAnsi="宋体" w:cs="宋体" w:eastAsia="宋体" w:hint="default"/>
          <w:sz w:val="12"/>
          <w:szCs w:val="12"/>
        </w:rPr>
      </w:pPr>
    </w:p>
    <w:p>
      <w:pPr>
        <w:pStyle w:val="BodyText"/>
        <w:spacing w:line="408" w:lineRule="auto" w:before="0"/>
        <w:ind w:left="573" w:right="1117"/>
        <w:jc w:val="left"/>
      </w:pPr>
      <w:r>
        <w:rPr/>
        <w:t>重要提示： </w:t>
      </w:r>
      <w:r>
        <w:rPr>
          <w:spacing w:val="-1"/>
        </w:rPr>
        <w:t>本公司根据实际生产经营特点对应收款项坏账准备计提、固定资产折旧、无形资产摊销、收入确认等</w:t>
      </w:r>
    </w:p>
    <w:p>
      <w:pPr>
        <w:pStyle w:val="BodyText"/>
        <w:spacing w:line="240" w:lineRule="auto"/>
        <w:ind w:left="153" w:right="0"/>
        <w:jc w:val="left"/>
      </w:pPr>
      <w:r>
        <w:rPr/>
        <w:t>交易或事项制定了具体会计政策和会计估计。</w:t>
      </w:r>
    </w:p>
    <w:p>
      <w:pPr>
        <w:spacing w:after="0" w:line="240" w:lineRule="auto"/>
        <w:jc w:val="left"/>
        <w:sectPr>
          <w:headerReference w:type="default" r:id="rId34"/>
          <w:footerReference w:type="default" r:id="rId35"/>
          <w:pgSz w:w="11910" w:h="16840"/>
          <w:pgMar w:header="877" w:footer="982" w:top="1100" w:bottom="1180" w:left="980" w:right="0"/>
          <w:pgNumType w:start="115"/>
        </w:sectPr>
      </w:pPr>
    </w:p>
    <w:p>
      <w:pPr>
        <w:spacing w:line="240" w:lineRule="auto" w:before="10"/>
        <w:rPr>
          <w:rFonts w:ascii="宋体" w:hAnsi="宋体" w:cs="宋体" w:eastAsia="宋体" w:hint="default"/>
          <w:sz w:val="20"/>
          <w:szCs w:val="20"/>
        </w:rPr>
      </w:pPr>
    </w:p>
    <w:p>
      <w:pPr>
        <w:pStyle w:val="Heading4"/>
        <w:spacing w:line="240" w:lineRule="auto" w:before="35"/>
        <w:ind w:right="0"/>
        <w:jc w:val="both"/>
        <w:rPr>
          <w:b w:val="0"/>
          <w:bCs w:val="0"/>
        </w:rPr>
      </w:pPr>
      <w:r>
        <w:rPr>
          <w:rFonts w:ascii="Times New Roman" w:hAnsi="Times New Roman" w:cs="Times New Roman" w:eastAsia="Times New Roman" w:hint="default"/>
        </w:rPr>
        <w:t>1</w:t>
      </w:r>
      <w:r>
        <w:rPr/>
        <w:t>、遵循企业会计准则的声明</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153" w:right="0" w:firstLine="420"/>
        <w:jc w:val="left"/>
      </w:pPr>
      <w:r>
        <w:rPr>
          <w:spacing w:val="-1"/>
        </w:rPr>
        <w:t>本公司编制的财务报表符合《企业会计准则》的要求，真实、完整地反映了本公司2019年12月31日的</w:t>
      </w:r>
      <w:r>
        <w:rPr/>
        <w:t> 财务状况、2019年度的经营成果和现金流量等相关信息。 </w:t>
      </w:r>
    </w:p>
    <w:p>
      <w:pPr>
        <w:spacing w:line="240" w:lineRule="auto" w:before="8"/>
        <w:rPr>
          <w:rFonts w:ascii="宋体" w:hAnsi="宋体" w:cs="宋体" w:eastAsia="宋体" w:hint="default"/>
          <w:sz w:val="20"/>
          <w:szCs w:val="20"/>
        </w:rPr>
      </w:pPr>
    </w:p>
    <w:p>
      <w:pPr>
        <w:pStyle w:val="Heading4"/>
        <w:spacing w:line="240" w:lineRule="auto"/>
        <w:ind w:left="153" w:right="0"/>
        <w:jc w:val="both"/>
        <w:rPr>
          <w:b w:val="0"/>
          <w:bCs w:val="0"/>
        </w:rPr>
      </w:pPr>
      <w:r>
        <w:rPr>
          <w:rFonts w:ascii="Times New Roman" w:hAnsi="Times New Roman" w:cs="Times New Roman" w:eastAsia="Times New Roman" w:hint="default"/>
        </w:rPr>
        <w:t>2</w:t>
      </w:r>
      <w:r>
        <w:rPr/>
        <w:t>、会计期间</w:t>
      </w:r>
      <w:r>
        <w:rPr>
          <w:b w:val="0"/>
          <w:bCs w:val="0"/>
        </w:rPr>
      </w:r>
    </w:p>
    <w:p>
      <w:pPr>
        <w:spacing w:line="240" w:lineRule="auto" w:before="7"/>
        <w:rPr>
          <w:rFonts w:ascii="宋体" w:hAnsi="宋体" w:cs="宋体" w:eastAsia="宋体" w:hint="default"/>
          <w:b/>
          <w:bCs/>
          <w:sz w:val="24"/>
          <w:szCs w:val="24"/>
        </w:rPr>
      </w:pPr>
    </w:p>
    <w:p>
      <w:pPr>
        <w:pStyle w:val="BodyText"/>
        <w:spacing w:line="240" w:lineRule="auto" w:before="0"/>
        <w:ind w:left="573" w:right="0"/>
        <w:jc w:val="left"/>
      </w:pPr>
      <w:r>
        <w:rPr/>
        <w:t>本公司会计年度为公历年度，即每年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w:t>
      </w:r>
    </w:p>
    <w:p>
      <w:pPr>
        <w:spacing w:line="240" w:lineRule="auto" w:before="8"/>
        <w:rPr>
          <w:rFonts w:ascii="宋体" w:hAnsi="宋体" w:cs="宋体" w:eastAsia="宋体" w:hint="default"/>
          <w:sz w:val="24"/>
          <w:szCs w:val="24"/>
        </w:rPr>
      </w:pPr>
    </w:p>
    <w:p>
      <w:pPr>
        <w:pStyle w:val="Heading4"/>
        <w:spacing w:line="240" w:lineRule="auto"/>
        <w:ind w:right="0"/>
        <w:jc w:val="both"/>
        <w:rPr>
          <w:b w:val="0"/>
          <w:bCs w:val="0"/>
        </w:rPr>
      </w:pPr>
      <w:r>
        <w:rPr>
          <w:rFonts w:ascii="Times New Roman" w:hAnsi="Times New Roman" w:cs="Times New Roman" w:eastAsia="Times New Roman" w:hint="default"/>
        </w:rPr>
        <w:t>3</w:t>
      </w:r>
      <w:r>
        <w:rPr/>
        <w:t>、营业周期</w:t>
      </w:r>
      <w:r>
        <w:rPr>
          <w:b w:val="0"/>
          <w:bCs w:val="0"/>
        </w:rPr>
      </w:r>
    </w:p>
    <w:p>
      <w:pPr>
        <w:spacing w:line="240" w:lineRule="auto" w:before="7"/>
        <w:rPr>
          <w:rFonts w:ascii="宋体" w:hAnsi="宋体" w:cs="宋体" w:eastAsia="宋体" w:hint="default"/>
          <w:b/>
          <w:bCs/>
          <w:sz w:val="24"/>
          <w:szCs w:val="24"/>
        </w:rPr>
      </w:pPr>
    </w:p>
    <w:p>
      <w:pPr>
        <w:pStyle w:val="BodyText"/>
        <w:spacing w:line="240" w:lineRule="auto" w:before="0"/>
        <w:ind w:left="574" w:right="0"/>
        <w:jc w:val="left"/>
      </w:pPr>
      <w:r>
        <w:rPr/>
        <w:t>本公司以一年</w:t>
      </w:r>
      <w:r>
        <w:rPr>
          <w:spacing w:val="-23"/>
        </w:rPr>
        <w:t> </w:t>
      </w:r>
      <w:r>
        <w:rPr>
          <w:rFonts w:ascii="Times New Roman" w:hAnsi="Times New Roman" w:cs="Times New Roman" w:eastAsia="Times New Roman" w:hint="default"/>
        </w:rPr>
        <w:t>12</w:t>
      </w:r>
      <w:r>
        <w:rPr/>
        <w:t>个月作为正常营业周期，并以营业周期作为资产和负债的流动性划分标准。</w:t>
      </w:r>
    </w:p>
    <w:p>
      <w:pPr>
        <w:spacing w:line="240" w:lineRule="auto" w:before="8"/>
        <w:rPr>
          <w:rFonts w:ascii="宋体" w:hAnsi="宋体" w:cs="宋体" w:eastAsia="宋体" w:hint="default"/>
          <w:sz w:val="24"/>
          <w:szCs w:val="24"/>
        </w:rPr>
      </w:pPr>
    </w:p>
    <w:p>
      <w:pPr>
        <w:pStyle w:val="Heading4"/>
        <w:spacing w:line="240" w:lineRule="auto"/>
        <w:ind w:right="0"/>
        <w:jc w:val="both"/>
        <w:rPr>
          <w:b w:val="0"/>
          <w:bCs w:val="0"/>
        </w:rPr>
      </w:pPr>
      <w:r>
        <w:rPr>
          <w:rFonts w:ascii="Times New Roman" w:hAnsi="Times New Roman" w:cs="Times New Roman" w:eastAsia="Times New Roman" w:hint="default"/>
        </w:rPr>
        <w:t>4</w:t>
      </w:r>
      <w:r>
        <w:rPr/>
        <w:t>、记账本位币</w:t>
      </w:r>
      <w:r>
        <w:rPr>
          <w:b w:val="0"/>
          <w:bCs w:val="0"/>
        </w:rPr>
      </w:r>
    </w:p>
    <w:p>
      <w:pPr>
        <w:spacing w:line="240" w:lineRule="auto" w:before="7"/>
        <w:rPr>
          <w:rFonts w:ascii="宋体" w:hAnsi="宋体" w:cs="宋体" w:eastAsia="宋体" w:hint="default"/>
          <w:b/>
          <w:bCs/>
          <w:sz w:val="24"/>
          <w:szCs w:val="24"/>
        </w:rPr>
      </w:pPr>
    </w:p>
    <w:p>
      <w:pPr>
        <w:pStyle w:val="BodyText"/>
        <w:spacing w:line="240" w:lineRule="auto" w:before="0"/>
        <w:ind w:left="574" w:right="0"/>
        <w:jc w:val="left"/>
      </w:pPr>
      <w:r>
        <w:rPr/>
        <w:t>本公司以人民币为记账本位币。</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Heading4"/>
        <w:spacing w:line="240" w:lineRule="auto"/>
        <w:ind w:right="0"/>
        <w:jc w:val="both"/>
        <w:rPr>
          <w:b w:val="0"/>
          <w:bCs w:val="0"/>
        </w:rPr>
      </w:pP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0"/>
        <w:jc w:val="left"/>
      </w:pPr>
      <w:r>
        <w:rPr/>
        <w:t>1.同一控制下的企业合并 </w:t>
      </w:r>
      <w:r>
        <w:rPr>
          <w:spacing w:val="-1"/>
        </w:rPr>
        <w:t>本公司在企业合并中取得的资产和负债，按照合并日被合并方资产、负债（包括最终控制方收购被合</w:t>
      </w:r>
    </w:p>
    <w:p>
      <w:pPr>
        <w:pStyle w:val="BodyText"/>
        <w:spacing w:line="408" w:lineRule="auto"/>
        <w:ind w:left="153" w:right="1131"/>
        <w:jc w:val="both"/>
      </w:pPr>
      <w:r>
        <w:rPr>
          <w:spacing w:val="-1"/>
        </w:rPr>
        <w:t>并方而形成的商誉）在最终控制方合并财务报表中的账面价值计量。在合并中取得的净资产账面价值与支</w:t>
      </w:r>
      <w:r>
        <w:rPr>
          <w:spacing w:val="-81"/>
        </w:rPr>
        <w:t> </w:t>
      </w:r>
      <w:r>
        <w:rPr>
          <w:spacing w:val="-81"/>
        </w:rPr>
      </w:r>
      <w:r>
        <w:rPr>
          <w:spacing w:val="-1"/>
        </w:rPr>
        <w:t>付的合并对价账面价值（或发行股份面值总额）的差额，调整资本公积中的股本溢价，资本公积中的股本</w:t>
      </w:r>
      <w:r>
        <w:rPr>
          <w:spacing w:val="-82"/>
        </w:rPr>
        <w:t> </w:t>
      </w:r>
      <w:r>
        <w:rPr>
          <w:spacing w:val="-82"/>
        </w:rPr>
      </w:r>
      <w:r>
        <w:rPr/>
        <w:t>溢价不足冲减的，调整留存收益。 </w:t>
      </w:r>
    </w:p>
    <w:p>
      <w:pPr>
        <w:pStyle w:val="BodyText"/>
        <w:spacing w:line="408" w:lineRule="auto"/>
        <w:ind w:left="573" w:right="0"/>
        <w:jc w:val="left"/>
      </w:pPr>
      <w:r>
        <w:rPr/>
        <w:t>2.非同一控制下的企业合并 </w:t>
      </w:r>
      <w:r>
        <w:rPr>
          <w:spacing w:val="-1"/>
        </w:rPr>
        <w:t>本公司在购买日对作为企业合并对价付出的资产、发生或承担的负债按照公允价值计量，公允价值与</w:t>
      </w:r>
    </w:p>
    <w:p>
      <w:pPr>
        <w:pStyle w:val="BodyText"/>
        <w:spacing w:line="408" w:lineRule="auto"/>
        <w:ind w:left="153" w:right="1131"/>
        <w:jc w:val="both"/>
      </w:pPr>
      <w:r>
        <w:rPr>
          <w:spacing w:val="-1"/>
        </w:rPr>
        <w:t>其账面价值的差额，计入当期损益。本公司对合并成本大于合并中取得的被购买方可辨认净资产公允价值</w:t>
      </w:r>
      <w:r>
        <w:rPr>
          <w:spacing w:val="-81"/>
        </w:rPr>
        <w:t> </w:t>
      </w:r>
      <w:r>
        <w:rPr>
          <w:spacing w:val="-81"/>
        </w:rPr>
      </w:r>
      <w:r>
        <w:rPr>
          <w:spacing w:val="-1"/>
        </w:rPr>
        <w:t>份额的差额，确认为商誉；合并成本小于合并中取得的被购买方可辨认净资产公允价值份额的差额，经复</w:t>
      </w:r>
      <w:r>
        <w:rPr>
          <w:spacing w:val="-83"/>
        </w:rPr>
        <w:t> </w:t>
      </w:r>
      <w:r>
        <w:rPr>
          <w:spacing w:val="-83"/>
        </w:rPr>
      </w:r>
      <w:r>
        <w:rPr/>
        <w:t>核后，计入当期损益。 </w:t>
      </w:r>
    </w:p>
    <w:p>
      <w:pPr>
        <w:pStyle w:val="BodyText"/>
        <w:spacing w:line="408" w:lineRule="auto"/>
        <w:ind w:left="153" w:right="0" w:firstLine="420"/>
        <w:jc w:val="left"/>
      </w:pPr>
      <w:r>
        <w:rPr>
          <w:spacing w:val="-1"/>
        </w:rPr>
        <w:t>为企业合并发生的审计、法律服务、评估咨询等中介费用以及其他直接相关费用，于发生时计入当期</w:t>
      </w:r>
      <w:r>
        <w:rPr/>
        <w:t> 损益；为企业合并而发行权益性证券的交易费用，冲减权益。 </w:t>
      </w:r>
    </w:p>
    <w:p>
      <w:pPr>
        <w:spacing w:line="240" w:lineRule="auto" w:before="8"/>
        <w:rPr>
          <w:rFonts w:ascii="宋体" w:hAnsi="宋体" w:cs="宋体" w:eastAsia="宋体" w:hint="default"/>
          <w:sz w:val="20"/>
          <w:szCs w:val="20"/>
        </w:rPr>
      </w:pPr>
    </w:p>
    <w:p>
      <w:pPr>
        <w:pStyle w:val="Heading4"/>
        <w:spacing w:line="240" w:lineRule="auto"/>
        <w:ind w:left="153" w:right="0"/>
        <w:jc w:val="both"/>
        <w:rPr>
          <w:b w:val="0"/>
          <w:bCs w:val="0"/>
        </w:rPr>
      </w:pPr>
      <w:r>
        <w:rPr>
          <w:rFonts w:ascii="Times New Roman" w:hAnsi="Times New Roman" w:cs="Times New Roman" w:eastAsia="Times New Roman" w:hint="default"/>
        </w:rPr>
        <w:t>6</w:t>
      </w:r>
      <w:r>
        <w:rPr/>
        <w:t>、合并财务报表的编制方法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1117"/>
        <w:jc w:val="left"/>
      </w:pPr>
      <w:r>
        <w:rPr/>
        <w:t>1.合并范围 </w:t>
      </w:r>
      <w:r>
        <w:rPr>
          <w:spacing w:val="-1"/>
        </w:rPr>
        <w:t>本公司合并财务报表的合并范围以控制为基础确定，所有子公司（包括本公司所控制的被投资方可分</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left="574" w:right="6790" w:hanging="420"/>
        <w:jc w:val="left"/>
      </w:pPr>
      <w:r>
        <w:rPr/>
        <w:t>割的部分）均纳入合并财务报表。 2.合并程序 </w:t>
      </w:r>
    </w:p>
    <w:p>
      <w:pPr>
        <w:pStyle w:val="BodyText"/>
        <w:spacing w:line="408" w:lineRule="auto"/>
        <w:ind w:right="1130" w:firstLine="423"/>
        <w:jc w:val="both"/>
      </w:pPr>
      <w:r>
        <w:rPr>
          <w:spacing w:val="-1"/>
        </w:rPr>
        <w:t>本公司以自身和各子公司的财务报表为基础，根据其他有关资料，编制合并财务报表。本公司编制合</w:t>
      </w:r>
      <w:r>
        <w:rPr/>
        <w:t> </w:t>
      </w:r>
      <w:r>
        <w:rPr>
          <w:spacing w:val="-1"/>
        </w:rPr>
        <w:t>并财务报表，将整个企业集团视为一个会计主体，依据相关企业会计准则的确认、计量和列报要求，按照</w:t>
      </w:r>
      <w:r>
        <w:rPr>
          <w:spacing w:val="-82"/>
        </w:rPr>
        <w:t> </w:t>
      </w:r>
      <w:r>
        <w:rPr>
          <w:spacing w:val="-82"/>
        </w:rPr>
      </w:r>
      <w:r>
        <w:rPr/>
        <w:t>统一的会计政策，反映本企业集团整体财务状况、经营成果和现金流量。 </w:t>
      </w:r>
    </w:p>
    <w:p>
      <w:pPr>
        <w:pStyle w:val="BodyText"/>
        <w:spacing w:line="408" w:lineRule="auto"/>
        <w:ind w:right="1131" w:firstLine="423"/>
        <w:jc w:val="both"/>
      </w:pPr>
      <w:r>
        <w:rPr>
          <w:spacing w:val="-1"/>
        </w:rPr>
        <w:t>所有纳入合并财务报表合并范围的子公司所采用的会计政策、会计期间与本公司一致，如子公司采用</w:t>
      </w:r>
      <w:r>
        <w:rPr/>
        <w:t> </w:t>
      </w:r>
      <w:r>
        <w:rPr>
          <w:spacing w:val="-1"/>
        </w:rPr>
        <w:t>的会计政策、会计期间与本公司不一致的，在编制合并财务报表时，按本公司的会计政策、会计期间进行</w:t>
      </w:r>
      <w:r>
        <w:rPr>
          <w:spacing w:val="-82"/>
        </w:rPr>
        <w:t> </w:t>
      </w:r>
      <w:r>
        <w:rPr>
          <w:spacing w:val="-82"/>
        </w:rPr>
      </w:r>
      <w:r>
        <w:rPr>
          <w:spacing w:val="-1"/>
        </w:rPr>
        <w:t>必要的调整。对于非同一控制下企业合并取得的子公司，以购买日可辨认净资产公允价值为基础对其财务</w:t>
      </w:r>
      <w:r>
        <w:rPr>
          <w:spacing w:val="-81"/>
        </w:rPr>
        <w:t> </w:t>
      </w:r>
      <w:r>
        <w:rPr>
          <w:spacing w:val="-81"/>
        </w:rPr>
      </w:r>
      <w:r>
        <w:rPr>
          <w:spacing w:val="-1"/>
        </w:rPr>
        <w:t>报表进行调整。对于同一控制下企业合并取得的子公司，以其资产、负债（包括最终控制方收购该子公司</w:t>
      </w:r>
      <w:r>
        <w:rPr>
          <w:spacing w:val="-82"/>
        </w:rPr>
        <w:t> </w:t>
      </w:r>
      <w:r>
        <w:rPr>
          <w:spacing w:val="-82"/>
        </w:rPr>
      </w:r>
      <w:r>
        <w:rPr/>
        <w:t>而形成的商誉）在最终控制方财务报表中的账面价值为基础对其财务报表进行调整。 </w:t>
      </w:r>
    </w:p>
    <w:p>
      <w:pPr>
        <w:pStyle w:val="BodyText"/>
        <w:spacing w:line="408" w:lineRule="auto"/>
        <w:ind w:right="1131" w:firstLine="423"/>
        <w:jc w:val="both"/>
      </w:pPr>
      <w:r>
        <w:rPr>
          <w:spacing w:val="-1"/>
        </w:rPr>
        <w:t>子公司所有者权益、当期净损益和当期综合收益中属于少数股东的份额分别在合并资产负债表中所有</w:t>
      </w:r>
      <w:r>
        <w:rPr/>
        <w:t> </w:t>
      </w:r>
      <w:r>
        <w:rPr>
          <w:spacing w:val="-1"/>
        </w:rPr>
        <w:t>者权益项目下、合并利润表中净利润项目下和综合收益总额项目下单独列示。子公司少数股东分担的当期</w:t>
      </w:r>
      <w:r>
        <w:rPr>
          <w:spacing w:val="-81"/>
        </w:rPr>
        <w:t> </w:t>
      </w:r>
      <w:r>
        <w:rPr>
          <w:spacing w:val="-81"/>
        </w:rPr>
      </w:r>
      <w:r>
        <w:rPr/>
        <w:t>亏损超过了少数股东在该子公司期初所有者权益中所享有份额而形成的余额，冲减少数股东权益。 </w:t>
      </w:r>
    </w:p>
    <w:p>
      <w:pPr>
        <w:pStyle w:val="BodyText"/>
        <w:spacing w:line="408" w:lineRule="auto"/>
        <w:ind w:left="577" w:right="0"/>
        <w:jc w:val="left"/>
      </w:pPr>
      <w:r>
        <w:rPr/>
        <w:t>（1）增加子公司或业务 </w:t>
      </w:r>
      <w:r>
        <w:rPr>
          <w:spacing w:val="-1"/>
        </w:rPr>
        <w:t>在报告期内，若因同一控制下企业合并增加子公司或业务的，则调整合并资产负债表的期初数；将子</w:t>
      </w:r>
    </w:p>
    <w:p>
      <w:pPr>
        <w:pStyle w:val="BodyText"/>
        <w:spacing w:line="408" w:lineRule="auto"/>
        <w:ind w:right="1131"/>
        <w:jc w:val="both"/>
      </w:pPr>
      <w:r>
        <w:rPr>
          <w:spacing w:val="-1"/>
        </w:rPr>
        <w:t>公司或业务合并当期期初至报告期末的收入、费用、利润纳入合并利润表；将子公司或业务合并当期期初</w:t>
      </w:r>
      <w:r>
        <w:rPr>
          <w:spacing w:val="-83"/>
        </w:rPr>
        <w:t> </w:t>
      </w:r>
      <w:r>
        <w:rPr>
          <w:spacing w:val="-83"/>
        </w:rPr>
      </w:r>
      <w:r>
        <w:rPr>
          <w:spacing w:val="-1"/>
        </w:rPr>
        <w:t>至报告期末的现金流量纳入合并现金流量表，同时对比较报表的相关项目进行调整，视同合并后的报告主</w:t>
      </w:r>
      <w:r>
        <w:rPr>
          <w:spacing w:val="-81"/>
        </w:rPr>
        <w:t> </w:t>
      </w:r>
      <w:r>
        <w:rPr>
          <w:spacing w:val="-81"/>
        </w:rPr>
      </w:r>
      <w:r>
        <w:rPr/>
        <w:t>体自最终控制方开始控制时点起一直存在。 </w:t>
      </w:r>
    </w:p>
    <w:p>
      <w:pPr>
        <w:pStyle w:val="BodyText"/>
        <w:spacing w:line="408" w:lineRule="auto"/>
        <w:ind w:right="1131" w:firstLine="423"/>
        <w:jc w:val="both"/>
      </w:pPr>
      <w:r>
        <w:rPr>
          <w:spacing w:val="-1"/>
        </w:rPr>
        <w:t>因追加投资等原因能够对同一控制下的被投资方实施控制的，视同参与合并的各方在最终控制方开始</w:t>
      </w:r>
      <w:r>
        <w:rPr/>
        <w:t> </w:t>
      </w:r>
      <w:r>
        <w:rPr>
          <w:spacing w:val="-1"/>
        </w:rPr>
        <w:t>控制时即以目前的状态存在进行调整。在取得被合并方控制权之前持有的股权投资，在取得原股权之日与</w:t>
      </w:r>
      <w:r>
        <w:rPr>
          <w:spacing w:val="-81"/>
        </w:rPr>
        <w:t> </w:t>
      </w:r>
      <w:r>
        <w:rPr>
          <w:spacing w:val="-81"/>
        </w:rPr>
      </w:r>
      <w:r>
        <w:rPr>
          <w:spacing w:val="-1"/>
        </w:rPr>
        <w:t>合并方和被合并方同处于同一控制之日孰晚日起至合并日之间已确认有关损益、其他综合收益以及其他净</w:t>
      </w:r>
      <w:r>
        <w:rPr>
          <w:spacing w:val="-81"/>
        </w:rPr>
        <w:t> </w:t>
      </w:r>
      <w:r>
        <w:rPr>
          <w:spacing w:val="-81"/>
        </w:rPr>
      </w:r>
      <w:r>
        <w:rPr/>
        <w:t>资产变动，分别冲减比较报表期间的期初留存收益或当期损益。 </w:t>
      </w:r>
    </w:p>
    <w:p>
      <w:pPr>
        <w:pStyle w:val="BodyText"/>
        <w:spacing w:line="408" w:lineRule="auto"/>
        <w:ind w:right="1130" w:firstLine="423"/>
        <w:jc w:val="both"/>
      </w:pPr>
      <w:r>
        <w:rPr>
          <w:spacing w:val="-1"/>
        </w:rPr>
        <w:t>在报告期内，若因非同一控制下企业合并增加子公司或业务的，则不调整合并资产负债表期初数；将</w:t>
      </w:r>
      <w:r>
        <w:rPr/>
        <w:t> </w:t>
      </w:r>
      <w:r>
        <w:rPr>
          <w:spacing w:val="-1"/>
        </w:rPr>
        <w:t>该子公司或业务自购买日至报告期末的收入、费用、利润纳入合并利润表；该子公司或业务自购买日至报</w:t>
      </w:r>
      <w:r>
        <w:rPr>
          <w:spacing w:val="-83"/>
        </w:rPr>
        <w:t> </w:t>
      </w:r>
      <w:r>
        <w:rPr>
          <w:spacing w:val="-83"/>
        </w:rPr>
      </w:r>
      <w:r>
        <w:rPr/>
        <w:t>告期末的现金流量纳入合并现金流量表。 </w:t>
      </w:r>
    </w:p>
    <w:p>
      <w:pPr>
        <w:pStyle w:val="BodyText"/>
        <w:spacing w:line="408" w:lineRule="auto"/>
        <w:ind w:right="1131" w:firstLine="423"/>
        <w:jc w:val="both"/>
      </w:pPr>
      <w:r>
        <w:rPr>
          <w:spacing w:val="-1"/>
        </w:rPr>
        <w:t>因追加投资等原因能够对非同一控制下的被投资方实施控制的，对于购买日之前持有的被购买方的股</w:t>
      </w:r>
      <w:r>
        <w:rPr/>
        <w:t> </w:t>
      </w:r>
      <w:r>
        <w:rPr>
          <w:spacing w:val="-1"/>
        </w:rPr>
        <w:t>权，本公司按照该股权在购买日的公允价值进行重新计量，公允价值与其账面价值的差额计入当期投资收</w:t>
      </w:r>
      <w:r>
        <w:rPr>
          <w:spacing w:val="-81"/>
        </w:rPr>
        <w:t> </w:t>
      </w:r>
      <w:r>
        <w:rPr>
          <w:spacing w:val="-81"/>
        </w:rPr>
      </w:r>
      <w:r>
        <w:rPr>
          <w:spacing w:val="-1"/>
        </w:rPr>
        <w:t>益。购买日之前持有的被购买方的股权涉及权益法核算下的其他综合收益以及除净损益、其他综合收益和</w:t>
      </w:r>
      <w:r>
        <w:rPr>
          <w:spacing w:val="-81"/>
        </w:rPr>
        <w:t> </w:t>
      </w:r>
      <w:r>
        <w:rPr>
          <w:spacing w:val="-81"/>
        </w:rPr>
      </w:r>
      <w:r>
        <w:rPr>
          <w:spacing w:val="-1"/>
        </w:rPr>
        <w:t>利润分配之外的其他所有者权益变动的，与其相关的其他综合收益、其他所有者权益变动转为购买日所属</w:t>
      </w:r>
      <w:r>
        <w:rPr>
          <w:spacing w:val="-81"/>
        </w:rPr>
        <w:t> </w:t>
      </w:r>
      <w:r>
        <w:rPr>
          <w:spacing w:val="-81"/>
        </w:rPr>
      </w:r>
      <w:r>
        <w:rPr/>
        <w:t>当期投资收益，由于被投资方重新计量设定受益计划净负债或净资产变动而产生的其他综合收益除外。 </w:t>
      </w:r>
    </w:p>
    <w:p>
      <w:pPr>
        <w:spacing w:after="0" w:line="408" w:lineRule="auto"/>
        <w:jc w:val="both"/>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left="577" w:right="0"/>
        <w:jc w:val="left"/>
      </w:pPr>
      <w:r>
        <w:rPr/>
        <w:t>（2）处置子公司或业务 </w:t>
      </w:r>
    </w:p>
    <w:p>
      <w:pPr>
        <w:spacing w:line="240" w:lineRule="auto" w:before="10"/>
        <w:rPr>
          <w:rFonts w:ascii="宋体" w:hAnsi="宋体" w:cs="宋体" w:eastAsia="宋体" w:hint="default"/>
          <w:sz w:val="14"/>
          <w:szCs w:val="14"/>
        </w:rPr>
      </w:pPr>
    </w:p>
    <w:p>
      <w:pPr>
        <w:pStyle w:val="BodyText"/>
        <w:spacing w:line="408" w:lineRule="auto" w:before="0"/>
        <w:ind w:left="577" w:right="0"/>
        <w:jc w:val="left"/>
      </w:pPr>
      <w:r>
        <w:rPr/>
        <w:t>①一般处理方法 </w:t>
      </w:r>
      <w:r>
        <w:rPr>
          <w:spacing w:val="-1"/>
        </w:rPr>
        <w:t>在报告期内，本公司处置子公司或业务，则该子公司或业务期初至处置日的收入、费用、利润纳入合</w:t>
      </w:r>
    </w:p>
    <w:p>
      <w:pPr>
        <w:pStyle w:val="BodyText"/>
        <w:spacing w:line="408" w:lineRule="auto"/>
        <w:ind w:left="577" w:right="0" w:hanging="424"/>
        <w:jc w:val="left"/>
      </w:pPr>
      <w:r>
        <w:rPr/>
        <w:t>并利润表；该子公司或业务期初至处置日的现金流量纳入合并现金流量表。 </w:t>
      </w:r>
      <w:r>
        <w:rPr>
          <w:spacing w:val="-1"/>
        </w:rPr>
        <w:t>因处置部分股权投资或其他原因丧失了对被投资方控制权时，对于处置后的剩余股权投资，本公司按</w:t>
      </w:r>
    </w:p>
    <w:p>
      <w:pPr>
        <w:pStyle w:val="BodyText"/>
        <w:spacing w:line="408" w:lineRule="auto"/>
        <w:ind w:right="1129"/>
        <w:jc w:val="both"/>
      </w:pPr>
      <w:r>
        <w:rPr>
          <w:spacing w:val="-1"/>
        </w:rPr>
        <w:t>照其在丧失控制权日的公允价值进行重新计量。处置股权取得的对价与剩余股权公允价值之和，减去按原</w:t>
      </w:r>
      <w:r>
        <w:rPr>
          <w:spacing w:val="-81"/>
        </w:rPr>
        <w:t> </w:t>
      </w:r>
      <w:r>
        <w:rPr>
          <w:spacing w:val="-81"/>
        </w:rPr>
      </w:r>
      <w:r>
        <w:rPr>
          <w:spacing w:val="-1"/>
        </w:rPr>
        <w:t>持股比例计算应享有原有子公司自购买日或合并日开始持续计算的净资产的份额与商誉之和的差额，计入</w:t>
      </w:r>
      <w:r>
        <w:rPr>
          <w:spacing w:val="-81"/>
        </w:rPr>
        <w:t> </w:t>
      </w:r>
      <w:r>
        <w:rPr>
          <w:spacing w:val="-81"/>
        </w:rPr>
      </w:r>
      <w:r>
        <w:rPr>
          <w:spacing w:val="-1"/>
        </w:rPr>
        <w:t>丧失控制权当期的投资收益。与原有子公司股权投资相关的其他综合收益或除净损益、其他综合收益及利</w:t>
      </w:r>
      <w:r>
        <w:rPr>
          <w:spacing w:val="-81"/>
        </w:rPr>
        <w:t> </w:t>
      </w:r>
      <w:r>
        <w:rPr>
          <w:spacing w:val="-81"/>
        </w:rPr>
      </w:r>
      <w:r>
        <w:rPr>
          <w:spacing w:val="-1"/>
        </w:rPr>
        <w:t>润分配之外的其他所有者权益变动，在丧失控制权时转为当期投资收益，由于被投资方重新计量设定受益</w:t>
      </w:r>
      <w:r>
        <w:rPr>
          <w:spacing w:val="-81"/>
        </w:rPr>
        <w:t> </w:t>
      </w:r>
      <w:r>
        <w:rPr>
          <w:spacing w:val="-81"/>
        </w:rPr>
      </w:r>
      <w:r>
        <w:rPr/>
        <w:t>计划净负债或净资产变动而产生的其他综合收益除外。 </w:t>
      </w:r>
    </w:p>
    <w:p>
      <w:pPr>
        <w:pStyle w:val="BodyText"/>
        <w:spacing w:line="408" w:lineRule="auto"/>
        <w:ind w:right="1117" w:firstLine="525"/>
        <w:jc w:val="left"/>
      </w:pPr>
      <w:r>
        <w:rPr/>
        <w:t>因其他投资方对子公司增资而导致本公司持股比例下降从而丧失控制权的，按照上述原则进行会计 处理。 </w:t>
      </w:r>
    </w:p>
    <w:p>
      <w:pPr>
        <w:pStyle w:val="BodyText"/>
        <w:spacing w:line="408" w:lineRule="auto"/>
        <w:ind w:left="577" w:right="0"/>
        <w:jc w:val="left"/>
      </w:pPr>
      <w:r>
        <w:rPr/>
        <w:t>②分步处置子公司 </w:t>
      </w:r>
      <w:r>
        <w:rPr>
          <w:spacing w:val="-1"/>
        </w:rPr>
        <w:t>通过多次交易分步处置对子公司股权投资直至丧失控制权的，处置对子公司股权投资的各项交易的条</w:t>
      </w:r>
    </w:p>
    <w:p>
      <w:pPr>
        <w:pStyle w:val="BodyText"/>
        <w:spacing w:line="408" w:lineRule="auto"/>
        <w:ind w:right="1117"/>
        <w:jc w:val="left"/>
      </w:pPr>
      <w:r>
        <w:rPr>
          <w:spacing w:val="-1"/>
        </w:rPr>
        <w:t>款、条件以及经济影响符合以下一种或多种情况，通常表明应将多次交易事项作为一揽子交易进行会计处</w:t>
      </w:r>
      <w:r>
        <w:rPr>
          <w:spacing w:val="-81"/>
        </w:rPr>
        <w:t> </w:t>
      </w:r>
      <w:r>
        <w:rPr>
          <w:spacing w:val="-81"/>
        </w:rPr>
      </w:r>
      <w:r>
        <w:rPr/>
        <w:t>理： </w:t>
      </w:r>
    </w:p>
    <w:p>
      <w:pPr>
        <w:pStyle w:val="BodyText"/>
        <w:spacing w:line="408" w:lineRule="auto"/>
        <w:ind w:left="577" w:right="1117"/>
        <w:jc w:val="left"/>
      </w:pPr>
      <w:r>
        <w:rPr/>
        <w:t>ⅰ．这些交易是同时或者在考虑了彼此影响的情况下订立的； ⅱ．这些交易整体才能达成一项完整的商业结果； ⅲ．一项交易的发生取决于其他至少一项交易的发生； </w:t>
      </w:r>
      <w:r>
        <w:rPr>
          <w:spacing w:val="-1"/>
        </w:rPr>
        <w:t>ⅳ．一项交易单独看是不经济的，但是和其他交易一并考虑时是经济的。处置对子公司股权投资直至</w:t>
      </w:r>
    </w:p>
    <w:p>
      <w:pPr>
        <w:pStyle w:val="BodyText"/>
        <w:spacing w:line="408" w:lineRule="auto"/>
        <w:ind w:left="153" w:right="1022"/>
        <w:jc w:val="left"/>
      </w:pPr>
      <w:r>
        <w:rPr/>
        <w:t>丧失控制权的各项交易属于一揽子交易的，本公司将各项交易作为一项处置子公司并丧失控制权的交易进 </w:t>
      </w:r>
      <w:r>
        <w:rPr>
          <w:spacing w:val="-3"/>
        </w:rPr>
        <w:t>行会计处理；但是，在丧失控制权之前每一次处置价款与处置投资对应的享有该子公司净资产份额的差额，</w:t>
      </w:r>
      <w:r>
        <w:rPr>
          <w:spacing w:val="-92"/>
        </w:rPr>
        <w:t> </w:t>
      </w:r>
      <w:r>
        <w:rPr>
          <w:spacing w:val="-92"/>
        </w:rPr>
      </w:r>
      <w:r>
        <w:rPr/>
        <w:t>在合并财务报表中确认为其他综合收益，在丧失控制权时一并转入丧失控制权当期的损益。 </w:t>
      </w:r>
    </w:p>
    <w:p>
      <w:pPr>
        <w:pStyle w:val="BodyText"/>
        <w:spacing w:line="408" w:lineRule="auto"/>
        <w:ind w:left="153" w:right="1131" w:firstLine="423"/>
        <w:jc w:val="both"/>
      </w:pPr>
      <w:r>
        <w:rPr>
          <w:spacing w:val="-1"/>
        </w:rPr>
        <w:t>处置对子公司股权投资直至丧失控制权的各项交易不属于一揽子交易的，在丧失控制权之前，按不丧</w:t>
      </w:r>
      <w:r>
        <w:rPr/>
        <w:t> </w:t>
      </w:r>
      <w:r>
        <w:rPr>
          <w:spacing w:val="-1"/>
        </w:rPr>
        <w:t>失控制权的情况下部分处置对子公司的股权投资的相关政策进行会计处理；在丧失控制权时，按处置子公</w:t>
      </w:r>
      <w:r>
        <w:rPr>
          <w:spacing w:val="-81"/>
        </w:rPr>
        <w:t> </w:t>
      </w:r>
      <w:r>
        <w:rPr>
          <w:spacing w:val="-81"/>
        </w:rPr>
      </w:r>
      <w:r>
        <w:rPr/>
        <w:t>司一般处理方法进行会计处理。 </w:t>
      </w:r>
    </w:p>
    <w:p>
      <w:pPr>
        <w:pStyle w:val="BodyText"/>
        <w:spacing w:line="408" w:lineRule="auto"/>
        <w:ind w:left="577" w:right="0"/>
        <w:jc w:val="left"/>
      </w:pPr>
      <w:r>
        <w:rPr/>
        <w:t>（3）购买子公司少数股权 </w:t>
      </w:r>
      <w:r>
        <w:rPr>
          <w:spacing w:val="-1"/>
        </w:rPr>
        <w:t>本公司因购买少数股权新取得的长期股权投资与按照新增持股比例计算应享有子公司自购买日（或合</w:t>
      </w:r>
    </w:p>
    <w:p>
      <w:pPr>
        <w:pStyle w:val="BodyText"/>
        <w:spacing w:line="408" w:lineRule="auto"/>
        <w:ind w:left="153" w:right="0"/>
        <w:jc w:val="left"/>
      </w:pPr>
      <w:r>
        <w:rPr>
          <w:spacing w:val="-1"/>
        </w:rPr>
        <w:t>并日）开始持续计算的净资产份额之间的差额，调整合并资产负债表中的资本公积中的股本溢价，资本公</w:t>
      </w:r>
      <w:r>
        <w:rPr>
          <w:spacing w:val="-83"/>
        </w:rPr>
        <w:t> </w:t>
      </w:r>
      <w:r>
        <w:rPr>
          <w:spacing w:val="-83"/>
        </w:rPr>
      </w:r>
      <w:r>
        <w:rPr/>
        <w:t>积中的股本溢价不足冲减的，调整留存收益。 </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left="577" w:right="0"/>
        <w:jc w:val="left"/>
      </w:pPr>
      <w:r>
        <w:rPr/>
        <w:t>（4）不丧失控制权的情况下部分处置对子公司的股权投资 </w:t>
      </w:r>
      <w:r>
        <w:rPr>
          <w:spacing w:val="3"/>
        </w:rPr>
        <w:t>在不丧失控制权的情况下因部分处置对子公司的长期股权投资而取得的处置价款与处置长期股权投</w:t>
      </w:r>
    </w:p>
    <w:p>
      <w:pPr>
        <w:pStyle w:val="BodyText"/>
        <w:spacing w:line="408" w:lineRule="auto"/>
        <w:ind w:right="0"/>
        <w:jc w:val="left"/>
      </w:pPr>
      <w:r>
        <w:rPr>
          <w:spacing w:val="-1"/>
        </w:rPr>
        <w:t>资相对应享有子公司自购买日或合并日开始持续计算的净资产份额之间的差额，调整合并资产负债表中的</w:t>
      </w:r>
      <w:r>
        <w:rPr>
          <w:spacing w:val="-81"/>
        </w:rPr>
        <w:t> </w:t>
      </w:r>
      <w:r>
        <w:rPr>
          <w:spacing w:val="-81"/>
        </w:rPr>
      </w:r>
      <w:r>
        <w:rPr/>
        <w:t>资本公积中的股本溢价，资本公积中的股本溢价不足冲减的，调整留存收益。 </w:t>
      </w:r>
    </w:p>
    <w:p>
      <w:pPr>
        <w:spacing w:line="240" w:lineRule="auto" w:before="8"/>
        <w:rPr>
          <w:rFonts w:ascii="宋体" w:hAnsi="宋体" w:cs="宋体" w:eastAsia="宋体" w:hint="default"/>
          <w:sz w:val="20"/>
          <w:szCs w:val="20"/>
        </w:rPr>
      </w:pPr>
    </w:p>
    <w:p>
      <w:pPr>
        <w:pStyle w:val="Heading4"/>
        <w:spacing w:line="240" w:lineRule="auto"/>
        <w:ind w:left="574" w:right="0" w:hanging="420"/>
        <w:jc w:val="left"/>
        <w:rPr>
          <w:b w:val="0"/>
          <w:bCs w:val="0"/>
        </w:rPr>
      </w:pP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4" w:right="0"/>
        <w:jc w:val="left"/>
      </w:pPr>
      <w:r>
        <w:rPr/>
        <w:t>合营安排分为共同经营和合营企业。 当本公司是合营安排的合营方，享有该安排相关资产且承担该安排相关负债时，为共同经营。 本公司确认与共同经营中利益份额相关的下列项目，并按照相关企业会计准则的规定进行会计处理： </w:t>
      </w:r>
    </w:p>
    <w:p>
      <w:pPr>
        <w:pStyle w:val="BodyText"/>
        <w:spacing w:line="240" w:lineRule="auto"/>
        <w:ind w:left="574" w:right="0"/>
        <w:jc w:val="left"/>
      </w:pPr>
      <w:r>
        <w:rPr/>
        <w:t>（1）确认本公司单独所持有的资产，以及按本公司份额确认共同持有的资产；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（2）确认本公司单独所承担的负债，以及按本公司份额确认共同承担的负债；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（3）确认出售本公司享有的共同经营产出份额所产生的收入；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（4）按本公司份额确认共同经营因出售产出所产生的收入；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（5）确认单独所发生的费用，以及按本公司份额确认共同经营发生的费用。 </w:t>
      </w:r>
    </w:p>
    <w:p>
      <w:pPr>
        <w:spacing w:line="670" w:lineRule="atLeast" w:before="37"/>
        <w:ind w:left="574" w:right="0"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在编制现金流量表时，将本公司库存现金以及可以随时用于支付的存款确认为现金。将同时具备期限</w:t>
      </w:r>
    </w:p>
    <w:p>
      <w:pPr>
        <w:spacing w:line="240" w:lineRule="auto" w:before="10"/>
        <w:rPr>
          <w:rFonts w:ascii="宋体" w:hAnsi="宋体" w:cs="宋体" w:eastAsia="宋体" w:hint="default"/>
          <w:sz w:val="14"/>
          <w:szCs w:val="14"/>
        </w:rPr>
      </w:pPr>
    </w:p>
    <w:p>
      <w:pPr>
        <w:pStyle w:val="BodyText"/>
        <w:spacing w:line="408" w:lineRule="auto" w:before="0"/>
        <w:ind w:right="1090"/>
        <w:jc w:val="left"/>
      </w:pPr>
      <w:r>
        <w:rPr/>
        <w:t>短（从购买日起三个月内到期）、流动性强、易于转换为已知现金、价值变动风险很小四个条件的投资， 确定为现金等价物。</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9</w:t>
      </w:r>
      <w:r>
        <w:rPr/>
        <w:t>、外币业务和外币报表折算</w:t>
      </w:r>
      <w:r>
        <w:rPr>
          <w:b w:val="0"/>
          <w:bCs w:val="0"/>
        </w:rPr>
      </w:r>
    </w:p>
    <w:p>
      <w:pPr>
        <w:spacing w:line="240" w:lineRule="auto" w:before="7"/>
        <w:rPr>
          <w:rFonts w:ascii="宋体" w:hAnsi="宋体" w:cs="宋体" w:eastAsia="宋体" w:hint="default"/>
          <w:b/>
          <w:bCs/>
          <w:sz w:val="30"/>
          <w:szCs w:val="30"/>
        </w:rPr>
      </w:pPr>
    </w:p>
    <w:p>
      <w:pPr>
        <w:pStyle w:val="BodyText"/>
        <w:spacing w:line="386" w:lineRule="auto" w:before="0"/>
        <w:ind w:left="574" w:right="2770"/>
        <w:jc w:val="left"/>
      </w:pPr>
      <w:r>
        <w:rPr>
          <w:rFonts w:ascii="Times New Roman" w:hAnsi="Times New Roman" w:cs="Times New Roman" w:eastAsia="Times New Roman" w:hint="default"/>
        </w:rPr>
        <w:t>1.</w:t>
      </w:r>
      <w:r>
        <w:rPr/>
        <w:t>外币业务 外币业务采用交易发生日的即期汇率作为折算汇率将外币金额折合成人民币记账。</w:t>
      </w:r>
    </w:p>
    <w:p>
      <w:pPr>
        <w:pStyle w:val="BodyText"/>
        <w:spacing w:line="408" w:lineRule="auto" w:before="65"/>
        <w:ind w:right="1131" w:firstLine="420"/>
        <w:jc w:val="both"/>
      </w:pPr>
      <w:r>
        <w:rPr>
          <w:spacing w:val="-1"/>
        </w:rPr>
        <w:t>资产负债表日外币货币性项目余额按资产负债表日即期汇率折算，由此产生的汇兑差额，除属于与购</w:t>
      </w:r>
      <w:r>
        <w:rPr/>
        <w:t> </w:t>
      </w:r>
      <w:r>
        <w:rPr>
          <w:spacing w:val="-1"/>
        </w:rPr>
        <w:t>建符合资本化条件的资产相关的外币专门借款产生的汇兑差额按照借款费用资本化的原则处理外，均计入</w:t>
      </w:r>
      <w:r>
        <w:rPr>
          <w:spacing w:val="-81"/>
        </w:rPr>
        <w:t> </w:t>
      </w:r>
      <w:r>
        <w:rPr>
          <w:spacing w:val="-81"/>
        </w:rPr>
      </w:r>
      <w:r>
        <w:rPr/>
        <w:t>当期损益。</w:t>
      </w:r>
    </w:p>
    <w:p>
      <w:pPr>
        <w:pStyle w:val="BodyText"/>
        <w:spacing w:line="393" w:lineRule="auto"/>
        <w:ind w:right="1114" w:firstLine="420"/>
        <w:jc w:val="left"/>
      </w:pPr>
      <w:r>
        <w:rPr>
          <w:rFonts w:ascii="Times New Roman" w:hAnsi="Times New Roman" w:cs="Times New Roman" w:eastAsia="Times New Roman" w:hint="default"/>
        </w:rPr>
        <w:t>2.</w:t>
      </w:r>
      <w:r>
        <w:rPr/>
        <w:t>外币财务报表折算 资产负债表中的资产和负债项目，采用资产负债表日的即期汇率折算；所有者权益项目除</w:t>
      </w:r>
      <w:r>
        <w:rPr>
          <w:rFonts w:ascii="Times New Roman" w:hAnsi="Times New Roman" w:cs="Times New Roman" w:eastAsia="Times New Roman" w:hint="default"/>
        </w:rPr>
        <w:t>“</w:t>
      </w:r>
      <w:r>
        <w:rPr/>
        <w:t>未分配利润</w:t>
      </w:r>
      <w:r>
        <w:rPr>
          <w:rFonts w:ascii="Times New Roman" w:hAnsi="Times New Roman" w:cs="Times New Roman" w:eastAsia="Times New Roman" w:hint="default"/>
        </w:rPr>
        <w:t>”</w:t>
      </w:r>
      <w:r>
        <w:rPr/>
        <w:t>项 </w:t>
      </w:r>
      <w:r>
        <w:rPr>
          <w:spacing w:val="-1"/>
        </w:rPr>
        <w:t>目外，其他项目采用发生时的即期汇率折算。利润表中的收入和费用项目，采用交易发生日的即期汇率折</w:t>
      </w:r>
      <w:r>
        <w:rPr>
          <w:spacing w:val="-83"/>
        </w:rPr>
        <w:t> </w:t>
      </w:r>
      <w:r>
        <w:rPr>
          <w:spacing w:val="-83"/>
        </w:rPr>
      </w:r>
      <w:r>
        <w:rPr>
          <w:spacing w:val="-1"/>
        </w:rPr>
        <w:t>算。处置境外经营时，将与该境外经营相关的外币财务报表折算差额，自所有者权益项目转入处置当期损</w:t>
      </w:r>
    </w:p>
    <w:p>
      <w:pPr>
        <w:spacing w:after="0" w:line="393"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right="0"/>
        <w:jc w:val="left"/>
      </w:pPr>
      <w:r>
        <w:rPr/>
        <w:t>益。</w:t>
      </w:r>
    </w:p>
    <w:p>
      <w:pPr>
        <w:spacing w:line="240" w:lineRule="auto" w:before="0"/>
        <w:rPr>
          <w:rFonts w:ascii="宋体" w:hAnsi="宋体" w:cs="宋体" w:eastAsia="宋体" w:hint="default"/>
          <w:sz w:val="20"/>
          <w:szCs w:val="20"/>
        </w:rPr>
      </w:pPr>
    </w:p>
    <w:p>
      <w:pPr>
        <w:pStyle w:val="Heading4"/>
        <w:spacing w:line="240" w:lineRule="auto" w:before="154"/>
        <w:ind w:right="0"/>
        <w:jc w:val="left"/>
        <w:rPr>
          <w:b w:val="0"/>
          <w:bCs w:val="0"/>
        </w:rPr>
      </w:pPr>
      <w:r>
        <w:rPr>
          <w:rFonts w:ascii="Times New Roman" w:hAnsi="Times New Roman" w:cs="Times New Roman" w:eastAsia="Times New Roman" w:hint="default"/>
        </w:rPr>
        <w:t>10</w:t>
      </w:r>
      <w:r>
        <w:rPr/>
        <w:t>、金融工具</w:t>
      </w:r>
      <w:r>
        <w:rPr>
          <w:b w:val="0"/>
          <w:bCs w:val="0"/>
        </w:rPr>
      </w:r>
    </w:p>
    <w:p>
      <w:pPr>
        <w:spacing w:line="240" w:lineRule="auto" w:before="7"/>
        <w:rPr>
          <w:rFonts w:ascii="宋体" w:hAnsi="宋体" w:cs="宋体" w:eastAsia="宋体" w:hint="default"/>
          <w:b/>
          <w:bCs/>
          <w:sz w:val="30"/>
          <w:szCs w:val="30"/>
        </w:rPr>
      </w:pPr>
    </w:p>
    <w:p>
      <w:pPr>
        <w:pStyle w:val="BodyText"/>
        <w:spacing w:line="240" w:lineRule="auto" w:before="0"/>
        <w:ind w:left="573" w:right="0"/>
        <w:jc w:val="left"/>
      </w:pPr>
      <w:r>
        <w:rPr/>
        <w:t>2019年1月1日起适用 </w:t>
      </w:r>
    </w:p>
    <w:p>
      <w:pPr>
        <w:spacing w:line="240" w:lineRule="auto" w:before="10"/>
        <w:rPr>
          <w:rFonts w:ascii="宋体" w:hAnsi="宋体" w:cs="宋体" w:eastAsia="宋体" w:hint="default"/>
          <w:sz w:val="14"/>
          <w:szCs w:val="14"/>
        </w:rPr>
      </w:pPr>
    </w:p>
    <w:p>
      <w:pPr>
        <w:pStyle w:val="BodyText"/>
        <w:spacing w:line="408" w:lineRule="auto" w:before="0"/>
        <w:ind w:left="577" w:right="2111"/>
        <w:jc w:val="left"/>
      </w:pPr>
      <w:r>
        <w:rPr/>
        <w:t>1.金融工具的分类及重分类 金融工具，是指形成一方的金融资产并形成其他方的金融负债或权益工具的合同。 </w:t>
      </w:r>
    </w:p>
    <w:p>
      <w:pPr>
        <w:pStyle w:val="BodyText"/>
        <w:spacing w:line="408" w:lineRule="auto"/>
        <w:ind w:left="577" w:right="0" w:firstLine="2"/>
        <w:jc w:val="left"/>
      </w:pPr>
      <w:r>
        <w:rPr/>
        <w:t>（1）金融资产 </w:t>
      </w:r>
      <w:r>
        <w:rPr>
          <w:spacing w:val="-1"/>
        </w:rPr>
        <w:t>本公司将同时符合下列条件的金融资产分类为以摊余成本计量的金融资产：①本公司管理金融资产的</w:t>
      </w:r>
    </w:p>
    <w:p>
      <w:pPr>
        <w:pStyle w:val="BodyText"/>
        <w:spacing w:line="408" w:lineRule="auto"/>
        <w:ind w:left="153" w:right="0"/>
        <w:jc w:val="left"/>
      </w:pPr>
      <w:r>
        <w:rPr>
          <w:spacing w:val="-1"/>
        </w:rPr>
        <w:t>业务模式是以收取合同现金流量为目标；②该金融资产的合同条款规定，在特定日期产生的现金流量仅为</w:t>
      </w:r>
      <w:r>
        <w:rPr>
          <w:spacing w:val="-81"/>
        </w:rPr>
        <w:t> </w:t>
      </w:r>
      <w:r>
        <w:rPr>
          <w:spacing w:val="-81"/>
        </w:rPr>
      </w:r>
      <w:r>
        <w:rPr/>
        <w:t>对本金和以未偿付本金金额为基础的利息的支付。 </w:t>
      </w:r>
    </w:p>
    <w:p>
      <w:pPr>
        <w:pStyle w:val="BodyText"/>
        <w:spacing w:line="408" w:lineRule="auto"/>
        <w:ind w:left="153" w:right="1127" w:firstLine="420"/>
        <w:jc w:val="both"/>
      </w:pPr>
      <w:r>
        <w:rPr>
          <w:spacing w:val="3"/>
        </w:rPr>
        <w:t>本公司将同时符合下列条件的金融资产分类为以公允价值计量且其变动计入其他综合收益的金融资</w:t>
      </w:r>
      <w:r>
        <w:rPr/>
        <w:t> </w:t>
      </w:r>
      <w:r>
        <w:rPr>
          <w:spacing w:val="-1"/>
        </w:rPr>
        <w:t>产：①本公司管理金融资产的业务模式既以收取合同现金流量又以出售该金融资产为目标；②该金融资产</w:t>
      </w:r>
      <w:r>
        <w:rPr>
          <w:spacing w:val="-81"/>
        </w:rPr>
        <w:t> </w:t>
      </w:r>
      <w:r>
        <w:rPr>
          <w:spacing w:val="-81"/>
        </w:rPr>
      </w:r>
      <w:r>
        <w:rPr/>
        <w:t>的合同条款规定，在特定日期产生的现金流量，仅为对本金和以未偿付本金金额为基础的利息的支付。 </w:t>
      </w:r>
    </w:p>
    <w:p>
      <w:pPr>
        <w:pStyle w:val="BodyText"/>
        <w:spacing w:line="408" w:lineRule="auto"/>
        <w:ind w:left="153" w:right="1130" w:firstLine="420"/>
        <w:jc w:val="both"/>
      </w:pPr>
      <w:r>
        <w:rPr>
          <w:spacing w:val="-1"/>
        </w:rPr>
        <w:t>对于非交易性权益工具投资，本公司可在初始确认时将其不可撤销地指定为以公允价值计量且其变动</w:t>
      </w:r>
      <w:r>
        <w:rPr/>
        <w:t> </w:t>
      </w:r>
      <w:r>
        <w:rPr>
          <w:spacing w:val="-1"/>
        </w:rPr>
        <w:t>计入其他综合收益的金融资产。该指定在单项投资的基础上作出，且相关投资从发行者的角度符合权益工</w:t>
      </w:r>
      <w:r>
        <w:rPr>
          <w:spacing w:val="-81"/>
        </w:rPr>
        <w:t> </w:t>
      </w:r>
      <w:r>
        <w:rPr>
          <w:spacing w:val="-81"/>
        </w:rPr>
      </w:r>
      <w:r>
        <w:rPr/>
        <w:t>具的定义。 </w:t>
      </w:r>
    </w:p>
    <w:p>
      <w:pPr>
        <w:pStyle w:val="BodyText"/>
        <w:spacing w:line="408" w:lineRule="auto"/>
        <w:ind w:left="153" w:right="1127" w:firstLine="420"/>
        <w:jc w:val="both"/>
      </w:pPr>
      <w:r>
        <w:rPr>
          <w:spacing w:val="3"/>
        </w:rPr>
        <w:t>除分类为以摊余成本计量的金融资产和以公允价值计量且其变动计入其他综合收益的金融资产之外</w:t>
      </w:r>
      <w:r>
        <w:rPr/>
        <w:t> </w:t>
      </w:r>
      <w:r>
        <w:rPr>
          <w:spacing w:val="-1"/>
        </w:rPr>
        <w:t>的金融资产，本公司将其分类为以公允价值计量且其变动计入当期损益的金融资产。在初始确认时，如果</w:t>
      </w:r>
      <w:r>
        <w:rPr>
          <w:spacing w:val="-83"/>
        </w:rPr>
        <w:t> </w:t>
      </w:r>
      <w:r>
        <w:rPr>
          <w:spacing w:val="-83"/>
        </w:rPr>
      </w:r>
      <w:r>
        <w:rPr>
          <w:spacing w:val="-1"/>
        </w:rPr>
        <w:t>能消除或减少会计错配，本公司可以将金融资产不可撤销地指定为以公允价值计量且其变动计入当期损益</w:t>
      </w:r>
      <w:r>
        <w:rPr>
          <w:spacing w:val="-81"/>
        </w:rPr>
        <w:t> </w:t>
      </w:r>
      <w:r>
        <w:rPr>
          <w:spacing w:val="-81"/>
        </w:rPr>
      </w:r>
      <w:r>
        <w:rPr/>
        <w:t>的金融资产。 </w:t>
      </w:r>
    </w:p>
    <w:p>
      <w:pPr>
        <w:pStyle w:val="BodyText"/>
        <w:spacing w:line="408" w:lineRule="auto"/>
        <w:ind w:left="153" w:right="1130" w:firstLine="423"/>
        <w:jc w:val="both"/>
      </w:pPr>
      <w:r>
        <w:rPr>
          <w:spacing w:val="-1"/>
        </w:rPr>
        <w:t>本公司改变管理金融资产的业务模式时，将对所有受影响的相关金融资产在业务模式发生变更后的首</w:t>
      </w:r>
      <w:r>
        <w:rPr/>
        <w:t> </w:t>
      </w:r>
      <w:r>
        <w:rPr>
          <w:spacing w:val="-1"/>
        </w:rPr>
        <w:t>个报告期间的第一天进行重分类，且自重分类日起采用未来适用法进行相关会计处理，不对以前已经确认</w:t>
      </w:r>
      <w:r>
        <w:rPr>
          <w:spacing w:val="-81"/>
        </w:rPr>
        <w:t> </w:t>
      </w:r>
      <w:r>
        <w:rPr>
          <w:spacing w:val="-81"/>
        </w:rPr>
      </w:r>
      <w:r>
        <w:rPr/>
        <w:t>的利得、损失（包括减值损失或利得）或利息进行追溯调整。 </w:t>
      </w:r>
    </w:p>
    <w:p>
      <w:pPr>
        <w:pStyle w:val="BodyText"/>
        <w:spacing w:line="408" w:lineRule="auto"/>
        <w:ind w:left="577" w:right="0" w:firstLine="2"/>
        <w:jc w:val="left"/>
      </w:pPr>
      <w:r>
        <w:rPr/>
        <w:t>（2）金融负债 </w:t>
      </w:r>
      <w:r>
        <w:rPr>
          <w:spacing w:val="-1"/>
        </w:rPr>
        <w:t>金融负债于初始确认时分类为：以公允价值计量且其变动计入当期损益的金融负债；金融资产转移不</w:t>
      </w:r>
    </w:p>
    <w:p>
      <w:pPr>
        <w:pStyle w:val="BodyText"/>
        <w:spacing w:line="408" w:lineRule="auto"/>
        <w:ind w:left="574" w:right="1117" w:hanging="420"/>
        <w:jc w:val="left"/>
      </w:pPr>
      <w:r>
        <w:rPr/>
        <w:t>符合终止确认条件或继续涉入被转移金融资产所形成的金融负债；所有的金融负债不进行重分类。 2.金融工具的计量 </w:t>
      </w:r>
      <w:r>
        <w:rPr>
          <w:spacing w:val="-1"/>
        </w:rPr>
        <w:t>本公司金融工具初始确认按照公允价值计量。对于以公允价值计量且其变动计入当期损益的金融资产</w:t>
      </w:r>
    </w:p>
    <w:p>
      <w:pPr>
        <w:pStyle w:val="BodyText"/>
        <w:spacing w:line="408" w:lineRule="auto"/>
        <w:ind w:right="1090"/>
        <w:jc w:val="left"/>
      </w:pPr>
      <w:r>
        <w:rPr>
          <w:spacing w:val="-1"/>
        </w:rPr>
        <w:t>和金融负债，相关交易费用直接计入当期损益；对于其他类别的金融资产或金融负债，相关交易费用计入</w:t>
      </w:r>
      <w:r>
        <w:rPr>
          <w:spacing w:val="-83"/>
        </w:rPr>
        <w:t> </w:t>
      </w:r>
      <w:r>
        <w:rPr>
          <w:spacing w:val="-83"/>
        </w:rPr>
      </w:r>
      <w:r>
        <w:rPr/>
        <w:t>初始确认金额。因销售产品或提供劳务而产生的、未包含或不考虑重大融资成分的应收账款或应收票据，</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right="0"/>
        <w:jc w:val="both"/>
      </w:pPr>
      <w:r>
        <w:rPr/>
        <w:t>本公司按照预期有权收取的对价金额作为初始确认金额。金融工具的后续计量取决于其分类。 </w:t>
      </w:r>
    </w:p>
    <w:p>
      <w:pPr>
        <w:spacing w:line="240" w:lineRule="auto" w:before="10"/>
        <w:rPr>
          <w:rFonts w:ascii="宋体" w:hAnsi="宋体" w:cs="宋体" w:eastAsia="宋体" w:hint="default"/>
          <w:sz w:val="14"/>
          <w:szCs w:val="14"/>
        </w:rPr>
      </w:pPr>
    </w:p>
    <w:p>
      <w:pPr>
        <w:pStyle w:val="BodyText"/>
        <w:spacing w:line="240" w:lineRule="auto" w:before="0"/>
        <w:ind w:left="577" w:right="0"/>
        <w:jc w:val="left"/>
      </w:pPr>
      <w:r>
        <w:rPr/>
        <w:t>（1）金融资产 </w:t>
      </w:r>
    </w:p>
    <w:p>
      <w:pPr>
        <w:spacing w:line="240" w:lineRule="auto" w:before="10"/>
        <w:rPr>
          <w:rFonts w:ascii="宋体" w:hAnsi="宋体" w:cs="宋体" w:eastAsia="宋体" w:hint="default"/>
          <w:sz w:val="14"/>
          <w:szCs w:val="14"/>
        </w:rPr>
      </w:pPr>
    </w:p>
    <w:p>
      <w:pPr>
        <w:pStyle w:val="BodyText"/>
        <w:spacing w:line="408" w:lineRule="auto" w:before="0"/>
        <w:ind w:right="1130" w:firstLine="423"/>
        <w:jc w:val="both"/>
      </w:pPr>
      <w:r>
        <w:rPr>
          <w:spacing w:val="-1"/>
        </w:rPr>
        <w:t>①以摊余成本计量的金融资产。初始确认后，对于该类金融资产采用实际利率法以摊余成本计量。以</w:t>
      </w:r>
      <w:r>
        <w:rPr/>
        <w:t> </w:t>
      </w:r>
      <w:r>
        <w:rPr>
          <w:spacing w:val="-1"/>
        </w:rPr>
        <w:t>摊余成本计量且不属于任何套期关系的金融资产所产生的利得或损失，在终止确认、重分类、按照实际利</w:t>
      </w:r>
      <w:r>
        <w:rPr>
          <w:spacing w:val="-83"/>
        </w:rPr>
        <w:t> </w:t>
      </w:r>
      <w:r>
        <w:rPr>
          <w:spacing w:val="-83"/>
        </w:rPr>
      </w:r>
      <w:r>
        <w:rPr/>
        <w:t>率法摊销或确认减值时，计入当期损益。 </w:t>
      </w:r>
    </w:p>
    <w:p>
      <w:pPr>
        <w:pStyle w:val="BodyText"/>
        <w:spacing w:line="408" w:lineRule="auto"/>
        <w:ind w:right="1130" w:firstLine="420"/>
        <w:jc w:val="both"/>
      </w:pPr>
      <w:r>
        <w:rPr>
          <w:spacing w:val="-1"/>
        </w:rPr>
        <w:t>②以公允价值计量且其变动计入当期损益的金融资产。初始确认后，对于该类金融资产（除属于套期</w:t>
      </w:r>
      <w:r>
        <w:rPr/>
        <w:t> </w:t>
      </w:r>
      <w:r>
        <w:rPr>
          <w:spacing w:val="-1"/>
        </w:rPr>
        <w:t>关系的一部分金融资产外），以公允价值进行后续计量，产生的利得或损失（包括利息和股利收入）计入</w:t>
      </w:r>
      <w:r>
        <w:rPr>
          <w:spacing w:val="-83"/>
        </w:rPr>
        <w:t> </w:t>
      </w:r>
      <w:r>
        <w:rPr>
          <w:spacing w:val="-83"/>
        </w:rPr>
      </w:r>
      <w:r>
        <w:rPr/>
        <w:t>当期损益。 </w:t>
      </w:r>
    </w:p>
    <w:p>
      <w:pPr>
        <w:pStyle w:val="BodyText"/>
        <w:spacing w:line="408" w:lineRule="auto"/>
        <w:ind w:right="1131" w:firstLine="420"/>
        <w:jc w:val="both"/>
      </w:pPr>
      <w:r>
        <w:rPr>
          <w:spacing w:val="-1"/>
        </w:rPr>
        <w:t>③以公允价值计量且其变动计入其他综合收益的债务工具投资。初始确认后，对于该类金融资产以公</w:t>
      </w:r>
      <w:r>
        <w:rPr/>
        <w:t> </w:t>
      </w:r>
      <w:r>
        <w:rPr>
          <w:spacing w:val="-1"/>
        </w:rPr>
        <w:t>允价值进行后续计量。采用实际利率法计算的利息、减值损失或利得及汇兑损益计入当期损益，其他利得</w:t>
      </w:r>
      <w:r>
        <w:rPr>
          <w:spacing w:val="-83"/>
        </w:rPr>
        <w:t> </w:t>
      </w:r>
      <w:r>
        <w:rPr>
          <w:spacing w:val="-83"/>
        </w:rPr>
      </w:r>
      <w:r>
        <w:rPr>
          <w:spacing w:val="-1"/>
        </w:rPr>
        <w:t>或损失均计入其他综合收益。终止确认时，将之前计入其他综合收益的累计利得或损失从其他综合收益中</w:t>
      </w:r>
      <w:r>
        <w:rPr>
          <w:spacing w:val="-81"/>
        </w:rPr>
        <w:t> </w:t>
      </w:r>
      <w:r>
        <w:rPr>
          <w:spacing w:val="-81"/>
        </w:rPr>
      </w:r>
      <w:r>
        <w:rPr/>
        <w:t>转出，计入当期损益。 </w:t>
      </w:r>
    </w:p>
    <w:p>
      <w:pPr>
        <w:pStyle w:val="BodyText"/>
        <w:spacing w:line="240" w:lineRule="auto"/>
        <w:ind w:left="577" w:right="0"/>
        <w:jc w:val="left"/>
      </w:pPr>
      <w:r>
        <w:rPr/>
        <w:t>（2）金融负债 </w:t>
      </w:r>
    </w:p>
    <w:p>
      <w:pPr>
        <w:spacing w:line="240" w:lineRule="auto" w:before="10"/>
        <w:rPr>
          <w:rFonts w:ascii="宋体" w:hAnsi="宋体" w:cs="宋体" w:eastAsia="宋体" w:hint="default"/>
          <w:sz w:val="14"/>
          <w:szCs w:val="14"/>
        </w:rPr>
      </w:pPr>
    </w:p>
    <w:p>
      <w:pPr>
        <w:pStyle w:val="BodyText"/>
        <w:spacing w:line="408" w:lineRule="auto" w:before="0"/>
        <w:ind w:right="1129" w:firstLine="420"/>
        <w:jc w:val="both"/>
      </w:pPr>
      <w:r>
        <w:rPr/>
        <w:t>①以公允价值计量且其变动计入当期损益的金融负债。该类金融负债包括交易性金融负债</w:t>
      </w:r>
      <w:r>
        <w:rPr>
          <w:spacing w:val="-21"/>
        </w:rPr>
        <w:t> </w:t>
      </w:r>
      <w:r>
        <w:rPr/>
        <w:t>(含属于金</w:t>
      </w:r>
      <w:r>
        <w:rPr/>
        <w:t> 融负债的衍生工具)</w:t>
      </w:r>
      <w:r>
        <w:rPr>
          <w:spacing w:val="-22"/>
        </w:rPr>
        <w:t> </w:t>
      </w:r>
      <w:r>
        <w:rPr/>
        <w:t>和指定为以公允价值计量且其变动计入当期损益的金融负债。初始确认后，对于该类</w:t>
      </w:r>
      <w:r>
        <w:rPr/>
        <w:t> </w:t>
      </w:r>
      <w:r>
        <w:rPr>
          <w:spacing w:val="-1"/>
        </w:rPr>
        <w:t>金融负债以公允价值进行后续计量，除与套期会计有关外，交易性金融负债公允价值变动形成的利得或损</w:t>
      </w:r>
      <w:r>
        <w:rPr>
          <w:spacing w:val="-81"/>
        </w:rPr>
        <w:t> </w:t>
      </w:r>
      <w:r>
        <w:rPr>
          <w:spacing w:val="-81"/>
        </w:rPr>
      </w:r>
      <w:r>
        <w:rPr>
          <w:spacing w:val="-1"/>
        </w:rPr>
        <w:t>失（包括利息费用）计入当期损益。指定为以公允价值计量且其变动计入当期损益的金融负债的，由企业</w:t>
      </w:r>
      <w:r>
        <w:rPr>
          <w:spacing w:val="-82"/>
        </w:rPr>
        <w:t> </w:t>
      </w:r>
      <w:r>
        <w:rPr>
          <w:spacing w:val="-82"/>
        </w:rPr>
      </w:r>
      <w:r>
        <w:rPr>
          <w:spacing w:val="-1"/>
        </w:rPr>
        <w:t>自身信用风险变动引起的该金融负债公允价值的变动金额，计入其他综合收益，其他公允价值变动计入当</w:t>
      </w:r>
      <w:r>
        <w:rPr>
          <w:spacing w:val="-81"/>
        </w:rPr>
        <w:t> </w:t>
      </w:r>
      <w:r>
        <w:rPr>
          <w:spacing w:val="-81"/>
        </w:rPr>
      </w:r>
      <w:r>
        <w:rPr>
          <w:spacing w:val="-1"/>
        </w:rPr>
        <w:t>期损益。如果对该金融负债的自身信用风险变动的影响计入其他综合收益会造成或扩大损益中的会计错配</w:t>
      </w:r>
      <w:r>
        <w:rPr>
          <w:spacing w:val="-81"/>
        </w:rPr>
        <w:t> </w:t>
      </w:r>
      <w:r>
        <w:rPr>
          <w:spacing w:val="-81"/>
        </w:rPr>
      </w:r>
      <w:r>
        <w:rPr/>
        <w:t>的，本公司将该金融负债的全部利得或损失计入当期损益。 </w:t>
      </w:r>
    </w:p>
    <w:p>
      <w:pPr>
        <w:pStyle w:val="BodyText"/>
        <w:spacing w:line="408" w:lineRule="auto"/>
        <w:ind w:left="574" w:right="1090"/>
        <w:jc w:val="left"/>
      </w:pPr>
      <w:r>
        <w:rPr/>
        <w:t>②以摊余成本计量的金融负债。初始确认后，对此类金融负债采用实际利率法以摊余成本计量。 3.本公司对金融工具的公允价值的确认方法 如存在活跃市场的金融工具，以活跃市场中的报价确定其公允价值；如不存在活跃市场的金融工具，</w:t>
      </w:r>
    </w:p>
    <w:p>
      <w:pPr>
        <w:pStyle w:val="BodyText"/>
        <w:spacing w:line="408" w:lineRule="auto"/>
        <w:ind w:right="1131"/>
        <w:jc w:val="both"/>
      </w:pPr>
      <w:r>
        <w:rPr>
          <w:spacing w:val="-1"/>
        </w:rPr>
        <w:t>采用估值技术确定其公允价值。估值技术主要包括市场法、收益法和成本法。在有限情况下，如果用以确</w:t>
      </w:r>
      <w:r>
        <w:rPr>
          <w:spacing w:val="-82"/>
        </w:rPr>
        <w:t> </w:t>
      </w:r>
      <w:r>
        <w:rPr>
          <w:spacing w:val="-82"/>
        </w:rPr>
      </w:r>
      <w:r>
        <w:rPr>
          <w:spacing w:val="-1"/>
        </w:rPr>
        <w:t>定公允价值的近期信息不足，或者公允价值的可能估计金额分布范围很广，而成本代表了该范围内对公允</w:t>
      </w:r>
      <w:r>
        <w:rPr>
          <w:spacing w:val="-81"/>
        </w:rPr>
        <w:t> </w:t>
      </w:r>
      <w:r>
        <w:rPr>
          <w:spacing w:val="-81"/>
        </w:rPr>
      </w:r>
      <w:r>
        <w:rPr>
          <w:spacing w:val="-1"/>
        </w:rPr>
        <w:t>价值的最佳估计的，该成本可代表其在该分布范围内对公允价值的恰当估计。本公司利用初始确认日后可</w:t>
      </w:r>
      <w:r>
        <w:rPr>
          <w:spacing w:val="-81"/>
        </w:rPr>
        <w:t> </w:t>
      </w:r>
      <w:r>
        <w:rPr>
          <w:spacing w:val="-81"/>
        </w:rPr>
      </w:r>
      <w:r>
        <w:rPr/>
        <w:t>获得的关于被投资方业绩和经营的所有信息，判断成本能否代表公允价值。 </w:t>
      </w:r>
    </w:p>
    <w:p>
      <w:pPr>
        <w:pStyle w:val="BodyText"/>
        <w:spacing w:line="240" w:lineRule="auto"/>
        <w:ind w:left="574" w:right="0"/>
        <w:jc w:val="left"/>
      </w:pPr>
      <w:r>
        <w:rPr/>
        <w:t>4.金融资产和金融负债转移的确认依据和计量方法 </w:t>
      </w:r>
    </w:p>
    <w:p>
      <w:pPr>
        <w:spacing w:line="240" w:lineRule="auto" w:before="10"/>
        <w:rPr>
          <w:rFonts w:ascii="宋体" w:hAnsi="宋体" w:cs="宋体" w:eastAsia="宋体" w:hint="default"/>
          <w:sz w:val="14"/>
          <w:szCs w:val="14"/>
        </w:rPr>
      </w:pPr>
    </w:p>
    <w:p>
      <w:pPr>
        <w:pStyle w:val="BodyText"/>
        <w:spacing w:line="408" w:lineRule="auto" w:before="0"/>
        <w:ind w:left="574" w:right="1090"/>
        <w:jc w:val="left"/>
      </w:pPr>
      <w:r>
        <w:rPr/>
        <w:t>（1）金融资产 本公司金融资产满足下列条件之一的，予以终止确认：①收取该金融资产现金流量的合同权利终止；</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right="1108"/>
        <w:jc w:val="both"/>
      </w:pPr>
      <w:r>
        <w:rPr/>
        <w:t>②该金融资产已转移，且本公司转移了金融资产所有权上几乎所有的风险和报酬；③该金融资产已转移， 虽然本公司既没有转移也没有保留金融资产所有权上几乎所有报酬的，但未保留对该金融资产的控制。 </w:t>
      </w:r>
    </w:p>
    <w:p>
      <w:pPr>
        <w:pStyle w:val="BodyText"/>
        <w:spacing w:line="408" w:lineRule="auto"/>
        <w:ind w:right="0" w:firstLine="420"/>
        <w:jc w:val="left"/>
      </w:pPr>
      <w:r>
        <w:rPr>
          <w:spacing w:val="-1"/>
        </w:rPr>
        <w:t>本公司既没有转移也没有保留金融资产所有权上几乎所有报酬的，且保留了对该金融资产控制的，按</w:t>
      </w:r>
      <w:r>
        <w:rPr/>
        <w:t> 照继续涉入被转移金融资产的程度确认有关金融资产，并相应确认相关负债。 </w:t>
      </w:r>
    </w:p>
    <w:p>
      <w:pPr>
        <w:pStyle w:val="BodyText"/>
        <w:spacing w:line="408" w:lineRule="auto"/>
        <w:ind w:right="1131" w:firstLine="420"/>
        <w:jc w:val="both"/>
      </w:pPr>
      <w:r>
        <w:rPr>
          <w:spacing w:val="-1"/>
        </w:rPr>
        <w:t>金融资产转移整体满足终止确认条件的，将以下两项金额的差额计入当期损益：①被转移金融资产在</w:t>
      </w:r>
      <w:r>
        <w:rPr/>
        <w:t> </w:t>
      </w:r>
      <w:r>
        <w:rPr>
          <w:spacing w:val="-1"/>
        </w:rPr>
        <w:t>终止确认日的账面价值；②因转移金融资产而收到的对价，与原直接计入其他综合收益的公允价值变动累</w:t>
      </w:r>
      <w:r>
        <w:rPr>
          <w:spacing w:val="-81"/>
        </w:rPr>
        <w:t> </w:t>
      </w:r>
      <w:r>
        <w:rPr>
          <w:spacing w:val="-81"/>
        </w:rPr>
      </w:r>
      <w:r>
        <w:rPr>
          <w:spacing w:val="-1"/>
        </w:rPr>
        <w:t>计额中对应终止确认部分的金额（涉及转移的金融资产为分类为以公允价值计量且其变动计入其他综合收</w:t>
      </w:r>
      <w:r>
        <w:rPr>
          <w:spacing w:val="-81"/>
        </w:rPr>
        <w:t> </w:t>
      </w:r>
      <w:r>
        <w:rPr>
          <w:spacing w:val="-81"/>
        </w:rPr>
      </w:r>
      <w:r>
        <w:rPr/>
        <w:t>益的金融资产）之和。 </w:t>
      </w:r>
    </w:p>
    <w:p>
      <w:pPr>
        <w:pStyle w:val="BodyText"/>
        <w:spacing w:line="408" w:lineRule="auto"/>
        <w:ind w:right="1021" w:firstLine="420"/>
        <w:jc w:val="left"/>
      </w:pPr>
      <w:r>
        <w:rPr/>
        <w:t>金融资产部分转移满足终止确认条件的，将所转移金融资产整体的账面价值，在终止确认部分和未终 </w:t>
      </w:r>
      <w:r>
        <w:rPr>
          <w:spacing w:val="-3"/>
        </w:rPr>
        <w:t>止确认部分之间，先按照转移日各自的相对公允价值进行分摊，然后将以下两项金额的差额计入当期损益：</w:t>
      </w:r>
    </w:p>
    <w:p>
      <w:pPr>
        <w:pStyle w:val="BodyText"/>
        <w:spacing w:line="408" w:lineRule="auto"/>
        <w:ind w:left="153" w:right="1130"/>
        <w:jc w:val="both"/>
      </w:pPr>
      <w:r>
        <w:rPr>
          <w:spacing w:val="-1"/>
        </w:rPr>
        <w:t>①终止确认部分在终止确认日的账面价值；②终止确认部分收到的对价，与原计入其他综合收益的公允价</w:t>
      </w:r>
      <w:r>
        <w:rPr>
          <w:spacing w:val="-81"/>
        </w:rPr>
        <w:t> </w:t>
      </w:r>
      <w:r>
        <w:rPr>
          <w:spacing w:val="-81"/>
        </w:rPr>
      </w:r>
      <w:r>
        <w:rPr>
          <w:spacing w:val="-1"/>
        </w:rPr>
        <w:t>值变动累计额中对应终止确认部分的金额（涉及转移的金融资产为分类为以公允价值计量且其变动计入其</w:t>
      </w:r>
      <w:r>
        <w:rPr>
          <w:spacing w:val="-81"/>
        </w:rPr>
        <w:t> </w:t>
      </w:r>
      <w:r>
        <w:rPr>
          <w:spacing w:val="-81"/>
        </w:rPr>
      </w:r>
      <w:r>
        <w:rPr/>
        <w:t>他综合收益的金融资产）之和。 </w:t>
      </w:r>
    </w:p>
    <w:p>
      <w:pPr>
        <w:pStyle w:val="BodyText"/>
        <w:spacing w:line="408" w:lineRule="auto"/>
        <w:ind w:left="573" w:right="0" w:firstLine="3"/>
        <w:jc w:val="left"/>
      </w:pPr>
      <w:r>
        <w:rPr/>
        <w:t>（2）金融负债 </w:t>
      </w:r>
      <w:r>
        <w:rPr>
          <w:spacing w:val="-6"/>
        </w:rPr>
        <w:t>金融负债（或其一部分）的现时义务已经解除的，本公司终止确认该金融负债（或该部分金融负债）。</w:t>
      </w:r>
      <w:r>
        <w:rPr>
          <w:spacing w:val="-104"/>
        </w:rPr>
        <w:t> </w:t>
      </w:r>
      <w:r>
        <w:rPr/>
        <w:t>金融负债（或其一部分）终止确认的，本公司将其账面价值与支付的对价（包括转出的非现金资产或</w:t>
      </w:r>
    </w:p>
    <w:p>
      <w:pPr>
        <w:pStyle w:val="BodyText"/>
        <w:spacing w:line="240" w:lineRule="auto"/>
        <w:ind w:left="153" w:right="0"/>
        <w:jc w:val="both"/>
      </w:pPr>
      <w:r>
        <w:rPr/>
        <w:t>承担的负债）之间的差额，计入当期损益。 </w:t>
      </w:r>
    </w:p>
    <w:p>
      <w:pPr>
        <w:spacing w:line="240" w:lineRule="auto" w:before="0"/>
        <w:rPr>
          <w:rFonts w:ascii="宋体" w:hAnsi="宋体" w:cs="宋体" w:eastAsia="宋体" w:hint="default"/>
          <w:sz w:val="20"/>
          <w:szCs w:val="20"/>
        </w:rPr>
      </w:pPr>
    </w:p>
    <w:p>
      <w:pPr>
        <w:pStyle w:val="Heading4"/>
        <w:spacing w:line="240" w:lineRule="auto" w:before="154"/>
        <w:ind w:left="153" w:right="0"/>
        <w:jc w:val="both"/>
        <w:rPr>
          <w:b w:val="0"/>
          <w:bCs w:val="0"/>
        </w:rPr>
      </w:pPr>
      <w:r>
        <w:rPr>
          <w:rFonts w:ascii="Times New Roman" w:hAnsi="Times New Roman" w:cs="Times New Roman" w:eastAsia="Times New Roman" w:hint="default"/>
        </w:rPr>
        <w:t>11</w:t>
      </w:r>
      <w:r>
        <w:rPr/>
        <w:t>、</w:t>
      </w:r>
      <w:r>
        <w:rPr>
          <w:spacing w:val="-7"/>
        </w:rPr>
        <w:t> </w:t>
      </w:r>
      <w:r>
        <w:rPr/>
        <w:t>预期信用减值损失的确定方法及会计处理方法</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0"/>
        <w:ind w:left="577" w:right="0"/>
        <w:jc w:val="left"/>
      </w:pPr>
      <w:r>
        <w:rPr/>
        <w:t>2019</w:t>
      </w:r>
      <w:r>
        <w:rPr>
          <w:spacing w:val="-54"/>
        </w:rPr>
        <w:t> </w:t>
      </w:r>
      <w:r>
        <w:rPr/>
        <w:t>年</w:t>
      </w:r>
      <w:r>
        <w:rPr>
          <w:spacing w:val="-54"/>
        </w:rPr>
        <w:t> </w:t>
      </w:r>
      <w:r>
        <w:rPr/>
        <w:t>1</w:t>
      </w:r>
      <w:r>
        <w:rPr>
          <w:spacing w:val="-54"/>
        </w:rPr>
        <w:t> </w:t>
      </w:r>
      <w:r>
        <w:rPr/>
        <w:t>月</w:t>
      </w:r>
      <w:r>
        <w:rPr>
          <w:spacing w:val="-55"/>
        </w:rPr>
        <w:t> </w:t>
      </w:r>
      <w:r>
        <w:rPr/>
        <w:t>1</w:t>
      </w:r>
      <w:r>
        <w:rPr>
          <w:spacing w:val="-53"/>
        </w:rPr>
        <w:t> </w:t>
      </w:r>
      <w:r>
        <w:rPr/>
        <w:t>日起适用 </w:t>
      </w:r>
    </w:p>
    <w:p>
      <w:pPr>
        <w:pStyle w:val="BodyText"/>
        <w:spacing w:line="357" w:lineRule="auto" w:before="133"/>
        <w:ind w:left="577" w:right="0"/>
        <w:jc w:val="left"/>
      </w:pPr>
      <w:r>
        <w:rPr/>
        <w:t>1.</w:t>
      </w:r>
      <w:r>
        <w:rPr>
          <w:spacing w:val="-1"/>
        </w:rPr>
        <w:t> </w:t>
      </w:r>
      <w:r>
        <w:rPr/>
        <w:t>预期信用损失的确定方法 </w:t>
      </w:r>
      <w:r>
        <w:rPr>
          <w:spacing w:val="-1"/>
        </w:rPr>
        <w:t>本公司以预期信用损失为基础，对以摊余成本计量的金融资产（含应收款项）、分类为以公允价值计</w:t>
      </w:r>
    </w:p>
    <w:p>
      <w:pPr>
        <w:pStyle w:val="BodyText"/>
        <w:spacing w:line="357" w:lineRule="auto" w:before="30"/>
        <w:ind w:left="153" w:right="1131"/>
        <w:jc w:val="both"/>
      </w:pPr>
      <w:r>
        <w:rPr>
          <w:spacing w:val="-1"/>
        </w:rPr>
        <w:t>量且其变动计入其他综合收益的金融资产（含应收款项融资）、租赁应收款，进行减值会计处理并确认损</w:t>
      </w:r>
      <w:r>
        <w:rPr>
          <w:spacing w:val="-82"/>
        </w:rPr>
        <w:t> </w:t>
      </w:r>
      <w:r>
        <w:rPr>
          <w:spacing w:val="-82"/>
        </w:rPr>
      </w:r>
      <w:r>
        <w:rPr/>
        <w:t>失准备。 </w:t>
      </w:r>
    </w:p>
    <w:p>
      <w:pPr>
        <w:pStyle w:val="BodyText"/>
        <w:spacing w:line="357" w:lineRule="auto" w:before="30"/>
        <w:ind w:left="577" w:right="0"/>
        <w:jc w:val="left"/>
      </w:pPr>
      <w:r>
        <w:rPr/>
        <w:t>（1）较低信用风险的金融工具计量损失准备的方法 </w:t>
      </w:r>
      <w:r>
        <w:rPr>
          <w:spacing w:val="-1"/>
        </w:rPr>
        <w:t>对于在资产负债表日具有较低信用风险的金融工具，本公司可以不用与其初始确认时的信用风险进行</w:t>
      </w:r>
    </w:p>
    <w:p>
      <w:pPr>
        <w:pStyle w:val="BodyText"/>
        <w:spacing w:line="355" w:lineRule="auto" w:before="30"/>
        <w:ind w:left="577" w:right="0" w:hanging="424"/>
        <w:jc w:val="left"/>
      </w:pPr>
      <w:r>
        <w:rPr/>
        <w:t>比较，而直接做出该工具的信用风险自初始确认后未显著增加的假定。 </w:t>
      </w:r>
      <w:r>
        <w:rPr>
          <w:spacing w:val="-1"/>
        </w:rPr>
        <w:t>如果金融工具的违约风险较低，债务人在短期内履行其合同现金流量义务的能力很强，并且即便较长</w:t>
      </w:r>
    </w:p>
    <w:p>
      <w:pPr>
        <w:pStyle w:val="BodyText"/>
        <w:spacing w:line="355" w:lineRule="auto" w:before="33"/>
        <w:ind w:left="153" w:right="1130"/>
        <w:jc w:val="both"/>
      </w:pPr>
      <w:r>
        <w:rPr>
          <w:spacing w:val="-1"/>
        </w:rPr>
        <w:t>时期内经济形势和经营环境存在不利变化但未必一定降低借款人履行其合同现金流量义务的能力，该金融</w:t>
      </w:r>
      <w:r>
        <w:rPr>
          <w:spacing w:val="-81"/>
        </w:rPr>
        <w:t> </w:t>
      </w:r>
      <w:r>
        <w:rPr>
          <w:spacing w:val="-81"/>
        </w:rPr>
      </w:r>
      <w:r>
        <w:rPr/>
        <w:t>工具被视为具有较低的信用风险。 </w:t>
      </w:r>
    </w:p>
    <w:p>
      <w:pPr>
        <w:pStyle w:val="BodyText"/>
        <w:spacing w:line="240" w:lineRule="auto" w:before="33"/>
        <w:ind w:left="577" w:right="0"/>
        <w:jc w:val="left"/>
      </w:pPr>
      <w:r>
        <w:rPr/>
        <w:t>（2）应收款项、租赁应收款计量损失准备的方法 </w:t>
      </w:r>
    </w:p>
    <w:p>
      <w:pPr>
        <w:spacing w:after="0" w:line="240"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left="677" w:right="1013"/>
        <w:jc w:val="left"/>
      </w:pPr>
      <w:r>
        <w:rPr/>
        <w:t>本公司对于由《企业会计准则第 14</w:t>
      </w:r>
      <w:r>
        <w:rPr>
          <w:spacing w:val="-68"/>
        </w:rPr>
        <w:t> </w:t>
      </w:r>
      <w:r>
        <w:rPr/>
        <w:t>号—收入》规范的交易形成的应收款项（无论是否含重大融资成</w:t>
      </w:r>
    </w:p>
    <w:p>
      <w:pPr>
        <w:spacing w:line="240" w:lineRule="auto" w:before="10"/>
        <w:rPr>
          <w:rFonts w:ascii="宋体" w:hAnsi="宋体" w:cs="宋体" w:eastAsia="宋体" w:hint="default"/>
          <w:sz w:val="14"/>
          <w:szCs w:val="14"/>
        </w:rPr>
      </w:pPr>
    </w:p>
    <w:p>
      <w:pPr>
        <w:pStyle w:val="BodyText"/>
        <w:spacing w:line="408" w:lineRule="auto" w:before="0"/>
        <w:ind w:left="254" w:right="1013"/>
        <w:jc w:val="left"/>
      </w:pPr>
      <w:r>
        <w:rPr>
          <w:spacing w:val="-9"/>
        </w:rPr>
        <w:t>分），以及由《企业会计准则第</w:t>
      </w:r>
      <w:r>
        <w:rPr>
          <w:spacing w:val="-45"/>
        </w:rPr>
        <w:t> </w:t>
      </w:r>
      <w:r>
        <w:rPr>
          <w:spacing w:val="-1"/>
        </w:rPr>
        <w:t>21</w:t>
      </w:r>
      <w:r>
        <w:rPr>
          <w:spacing w:val="-44"/>
        </w:rPr>
        <w:t> </w:t>
      </w:r>
      <w:r>
        <w:rPr>
          <w:spacing w:val="-2"/>
        </w:rPr>
        <w:t>号—租赁》规范的租赁应收款，均采用简化方法，即始终按整个存续期</w:t>
      </w:r>
      <w:r>
        <w:rPr>
          <w:spacing w:val="-98"/>
        </w:rPr>
        <w:t> </w:t>
      </w:r>
      <w:r>
        <w:rPr>
          <w:spacing w:val="-98"/>
        </w:rPr>
      </w:r>
      <w:r>
        <w:rPr/>
        <w:t>预期信用损失计量损失准备。 </w:t>
      </w:r>
    </w:p>
    <w:p>
      <w:pPr>
        <w:pStyle w:val="BodyText"/>
        <w:spacing w:line="408" w:lineRule="auto"/>
        <w:ind w:left="254" w:right="1131" w:firstLine="423"/>
        <w:jc w:val="both"/>
      </w:pPr>
      <w:r>
        <w:rPr>
          <w:spacing w:val="-1"/>
        </w:rPr>
        <w:t>根据金融工具的性质，本公司以单项金融资产或金融资产组合为基础评估信用风险是否显著增加。除</w:t>
      </w:r>
      <w:r>
        <w:rPr/>
        <w:t> </w:t>
      </w:r>
      <w:r>
        <w:rPr>
          <w:spacing w:val="-1"/>
        </w:rPr>
        <w:t>了单项评估信用风险的应收款项外，本公司根据信用风险特征将应收票据、应收账款划分为若干组合，在</w:t>
      </w:r>
      <w:r>
        <w:rPr>
          <w:spacing w:val="-83"/>
        </w:rPr>
        <w:t> </w:t>
      </w:r>
      <w:r>
        <w:rPr>
          <w:spacing w:val="-83"/>
        </w:rPr>
      </w:r>
      <w:r>
        <w:rPr/>
        <w:t>组合基础上计算预期信用损失，确定组合的依据如下： </w:t>
      </w:r>
    </w:p>
    <w:tbl>
      <w:tblPr>
        <w:tblW w:w="0" w:type="auto"/>
        <w:jc w:val="left"/>
        <w:tblInd w:w="116" w:type="dxa"/>
        <w:tblLayout w:type="fixed"/>
        <w:tblCellMar>
          <w:top w:w="0" w:type="dxa"/>
          <w:left w:w="0" w:type="dxa"/>
          <w:bottom w:w="0" w:type="dxa"/>
          <w:right w:w="0" w:type="dxa"/>
        </w:tblCellMar>
        <w:tblLook w:val="01E0"/>
      </w:tblPr>
      <w:tblGrid>
        <w:gridCol w:w="2542"/>
        <w:gridCol w:w="2404"/>
        <w:gridCol w:w="4924"/>
      </w:tblGrid>
      <w:tr>
        <w:trPr>
          <w:trHeight w:val="359" w:hRule="exact"/>
        </w:trPr>
        <w:tc>
          <w:tcPr>
            <w:tcW w:w="254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
              <w:ind w:left="918" w:right="0"/>
              <w:jc w:val="left"/>
              <w:rPr>
                <w:rFonts w:ascii="宋体" w:hAnsi="宋体" w:cs="宋体" w:eastAsia="宋体" w:hint="default"/>
                <w:sz w:val="18"/>
                <w:szCs w:val="18"/>
              </w:rPr>
            </w:pPr>
            <w:r>
              <w:rPr>
                <w:rFonts w:ascii="宋体" w:hAnsi="宋体" w:cs="宋体" w:eastAsia="宋体" w:hint="default"/>
                <w:sz w:val="18"/>
                <w:szCs w:val="18"/>
              </w:rPr>
              <w:t>组合名称 </w:t>
            </w:r>
          </w:p>
        </w:tc>
        <w:tc>
          <w:tcPr>
            <w:tcW w:w="240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left="88" w:right="0"/>
              <w:jc w:val="center"/>
              <w:rPr>
                <w:rFonts w:ascii="宋体" w:hAnsi="宋体" w:cs="宋体" w:eastAsia="宋体" w:hint="default"/>
                <w:sz w:val="18"/>
                <w:szCs w:val="18"/>
              </w:rPr>
            </w:pPr>
            <w:r>
              <w:rPr>
                <w:rFonts w:ascii="宋体" w:hAnsi="宋体" w:cs="宋体" w:eastAsia="宋体" w:hint="default"/>
                <w:sz w:val="18"/>
                <w:szCs w:val="18"/>
              </w:rPr>
              <w:t>确定组合的依据 </w:t>
            </w:r>
          </w:p>
        </w:tc>
        <w:tc>
          <w:tcPr>
            <w:tcW w:w="4924"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
              <w:ind w:left="1376" w:right="0"/>
              <w:jc w:val="left"/>
              <w:rPr>
                <w:rFonts w:ascii="宋体" w:hAnsi="宋体" w:cs="宋体" w:eastAsia="宋体" w:hint="default"/>
                <w:sz w:val="18"/>
                <w:szCs w:val="18"/>
              </w:rPr>
            </w:pPr>
            <w:r>
              <w:rPr>
                <w:rFonts w:ascii="宋体" w:hAnsi="宋体" w:cs="宋体" w:eastAsia="宋体" w:hint="default"/>
                <w:sz w:val="18"/>
                <w:szCs w:val="18"/>
              </w:rPr>
              <w:t>类似信用风险特征（账龄） </w:t>
            </w:r>
          </w:p>
        </w:tc>
      </w:tr>
      <w:tr>
        <w:trPr>
          <w:trHeight w:val="478" w:hRule="exact"/>
        </w:trPr>
        <w:tc>
          <w:tcPr>
            <w:tcW w:w="25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应收账款组合</w:t>
            </w:r>
            <w:r>
              <w:rPr>
                <w:rFonts w:ascii="宋体" w:hAnsi="宋体" w:cs="宋体" w:eastAsia="宋体" w:hint="default"/>
                <w:spacing w:val="-46"/>
                <w:sz w:val="18"/>
                <w:szCs w:val="18"/>
              </w:rPr>
              <w:t> </w:t>
            </w:r>
            <w:r>
              <w:rPr>
                <w:rFonts w:ascii="宋体" w:hAnsi="宋体" w:cs="宋体" w:eastAsia="宋体" w:hint="default"/>
                <w:sz w:val="18"/>
                <w:szCs w:val="18"/>
              </w:rPr>
              <w:t>1 </w:t>
            </w:r>
          </w:p>
        </w:tc>
        <w:tc>
          <w:tcPr>
            <w:tcW w:w="2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应收客户款</w:t>
            </w:r>
          </w:p>
        </w:tc>
        <w:tc>
          <w:tcPr>
            <w:tcW w:w="4924" w:type="dxa"/>
            <w:tcBorders>
              <w:top w:val="single" w:sz="4" w:space="0" w:color="000000"/>
              <w:left w:val="single" w:sz="4" w:space="0" w:color="000000"/>
              <w:bottom w:val="single" w:sz="4" w:space="0" w:color="000000"/>
              <w:right w:val="nil" w:sz="6" w:space="0" w:color="auto"/>
            </w:tcBorders>
          </w:tcPr>
          <w:p>
            <w:pPr>
              <w:pStyle w:val="TableParagraph"/>
              <w:spacing w:line="188" w:lineRule="exact"/>
              <w:ind w:left="103" w:right="0"/>
              <w:jc w:val="left"/>
              <w:rPr>
                <w:rFonts w:ascii="宋体" w:hAnsi="宋体" w:cs="宋体" w:eastAsia="宋体" w:hint="default"/>
                <w:sz w:val="18"/>
                <w:szCs w:val="18"/>
              </w:rPr>
            </w:pPr>
            <w:r>
              <w:rPr>
                <w:rFonts w:ascii="宋体" w:hAnsi="宋体" w:cs="宋体" w:eastAsia="宋体" w:hint="default"/>
                <w:sz w:val="18"/>
                <w:szCs w:val="18"/>
              </w:rPr>
              <w:t>本组合为向合并范围内关联方之外的客户销售或提供劳务产</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生的应收账款。</w:t>
            </w:r>
          </w:p>
        </w:tc>
      </w:tr>
      <w:tr>
        <w:trPr>
          <w:trHeight w:val="476" w:hRule="exact"/>
        </w:trPr>
        <w:tc>
          <w:tcPr>
            <w:tcW w:w="25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应收账款组合</w:t>
            </w:r>
            <w:r>
              <w:rPr>
                <w:rFonts w:ascii="宋体" w:hAnsi="宋体" w:cs="宋体" w:eastAsia="宋体" w:hint="default"/>
                <w:spacing w:val="-46"/>
                <w:sz w:val="18"/>
                <w:szCs w:val="18"/>
              </w:rPr>
              <w:t> </w:t>
            </w:r>
            <w:r>
              <w:rPr>
                <w:rFonts w:ascii="宋体" w:hAnsi="宋体" w:cs="宋体" w:eastAsia="宋体" w:hint="default"/>
                <w:sz w:val="18"/>
                <w:szCs w:val="18"/>
              </w:rPr>
              <w:t>2 </w:t>
            </w:r>
          </w:p>
        </w:tc>
        <w:tc>
          <w:tcPr>
            <w:tcW w:w="2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合并范围内关联方往来</w:t>
            </w:r>
          </w:p>
        </w:tc>
        <w:tc>
          <w:tcPr>
            <w:tcW w:w="4924" w:type="dxa"/>
            <w:tcBorders>
              <w:top w:val="single" w:sz="4" w:space="0" w:color="000000"/>
              <w:left w:val="single" w:sz="4" w:space="0" w:color="000000"/>
              <w:bottom w:val="single" w:sz="4" w:space="0" w:color="000000"/>
              <w:right w:val="nil" w:sz="6" w:space="0" w:color="auto"/>
            </w:tcBorders>
          </w:tcPr>
          <w:p>
            <w:pPr>
              <w:pStyle w:val="TableParagraph"/>
              <w:spacing w:line="188" w:lineRule="exact"/>
              <w:ind w:left="103" w:right="0"/>
              <w:jc w:val="left"/>
              <w:rPr>
                <w:rFonts w:ascii="宋体" w:hAnsi="宋体" w:cs="宋体" w:eastAsia="宋体" w:hint="default"/>
                <w:sz w:val="18"/>
                <w:szCs w:val="18"/>
              </w:rPr>
            </w:pPr>
            <w:r>
              <w:rPr>
                <w:rFonts w:ascii="宋体" w:hAnsi="宋体" w:cs="宋体" w:eastAsia="宋体" w:hint="default"/>
                <w:sz w:val="18"/>
                <w:szCs w:val="18"/>
              </w:rPr>
              <w:t>本组合为向合并范围内关联方销售或提供劳务产生的应收账</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款。</w:t>
            </w:r>
          </w:p>
        </w:tc>
      </w:tr>
      <w:tr>
        <w:trPr>
          <w:trHeight w:val="350" w:hRule="exact"/>
        </w:trPr>
        <w:tc>
          <w:tcPr>
            <w:tcW w:w="25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122" w:right="0"/>
              <w:jc w:val="left"/>
              <w:rPr>
                <w:rFonts w:ascii="宋体" w:hAnsi="宋体" w:cs="宋体" w:eastAsia="宋体" w:hint="default"/>
                <w:sz w:val="18"/>
                <w:szCs w:val="18"/>
              </w:rPr>
            </w:pPr>
            <w:r>
              <w:rPr>
                <w:rFonts w:ascii="宋体" w:hAnsi="宋体" w:cs="宋体" w:eastAsia="宋体" w:hint="default"/>
                <w:sz w:val="18"/>
                <w:szCs w:val="18"/>
              </w:rPr>
              <w:t>应收票据组合</w:t>
            </w:r>
            <w:r>
              <w:rPr>
                <w:rFonts w:ascii="宋体" w:hAnsi="宋体" w:cs="宋体" w:eastAsia="宋体" w:hint="default"/>
                <w:spacing w:val="-46"/>
                <w:sz w:val="18"/>
                <w:szCs w:val="18"/>
              </w:rPr>
              <w:t> </w:t>
            </w:r>
            <w:r>
              <w:rPr>
                <w:rFonts w:ascii="宋体" w:hAnsi="宋体" w:cs="宋体" w:eastAsia="宋体" w:hint="default"/>
                <w:sz w:val="18"/>
                <w:szCs w:val="18"/>
              </w:rPr>
              <w:t>1 </w:t>
            </w:r>
          </w:p>
        </w:tc>
        <w:tc>
          <w:tcPr>
            <w:tcW w:w="2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银行承兑汇票</w:t>
            </w:r>
          </w:p>
        </w:tc>
        <w:tc>
          <w:tcPr>
            <w:tcW w:w="49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left="103" w:right="0"/>
              <w:jc w:val="left"/>
              <w:rPr>
                <w:rFonts w:ascii="宋体" w:hAnsi="宋体" w:cs="宋体" w:eastAsia="宋体" w:hint="default"/>
                <w:sz w:val="18"/>
                <w:szCs w:val="18"/>
              </w:rPr>
            </w:pPr>
            <w:r>
              <w:rPr>
                <w:rFonts w:ascii="宋体" w:hAnsi="宋体" w:cs="宋体" w:eastAsia="宋体" w:hint="default"/>
                <w:sz w:val="18"/>
                <w:szCs w:val="18"/>
              </w:rPr>
              <w:t>本组合销售业务产生的信用度较高的银行承兑汇票</w:t>
            </w:r>
          </w:p>
        </w:tc>
      </w:tr>
      <w:tr>
        <w:trPr>
          <w:trHeight w:val="359" w:hRule="exact"/>
        </w:trPr>
        <w:tc>
          <w:tcPr>
            <w:tcW w:w="254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left="122" w:right="0"/>
              <w:jc w:val="left"/>
              <w:rPr>
                <w:rFonts w:ascii="宋体" w:hAnsi="宋体" w:cs="宋体" w:eastAsia="宋体" w:hint="default"/>
                <w:sz w:val="18"/>
                <w:szCs w:val="18"/>
              </w:rPr>
            </w:pPr>
            <w:r>
              <w:rPr>
                <w:rFonts w:ascii="宋体" w:hAnsi="宋体" w:cs="宋体" w:eastAsia="宋体" w:hint="default"/>
                <w:sz w:val="18"/>
                <w:szCs w:val="18"/>
              </w:rPr>
              <w:t>应收票据组合</w:t>
            </w:r>
            <w:r>
              <w:rPr>
                <w:rFonts w:ascii="宋体" w:hAnsi="宋体" w:cs="宋体" w:eastAsia="宋体" w:hint="default"/>
                <w:spacing w:val="-46"/>
                <w:sz w:val="18"/>
                <w:szCs w:val="18"/>
              </w:rPr>
              <w:t> </w:t>
            </w:r>
            <w:r>
              <w:rPr>
                <w:rFonts w:ascii="宋体" w:hAnsi="宋体" w:cs="宋体" w:eastAsia="宋体" w:hint="default"/>
                <w:sz w:val="18"/>
                <w:szCs w:val="18"/>
              </w:rPr>
              <w:t>2 </w:t>
            </w:r>
          </w:p>
        </w:tc>
        <w:tc>
          <w:tcPr>
            <w:tcW w:w="240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商业承兑汇票</w:t>
            </w:r>
          </w:p>
        </w:tc>
        <w:tc>
          <w:tcPr>
            <w:tcW w:w="492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本组合销售业务产生的基于商业信用的商业承兑汇票</w:t>
            </w:r>
          </w:p>
        </w:tc>
      </w:tr>
    </w:tbl>
    <w:p>
      <w:pPr>
        <w:spacing w:line="240" w:lineRule="auto" w:before="7"/>
        <w:rPr>
          <w:rFonts w:ascii="宋体" w:hAnsi="宋体" w:cs="宋体" w:eastAsia="宋体" w:hint="default"/>
          <w:sz w:val="7"/>
          <w:szCs w:val="7"/>
        </w:rPr>
      </w:pPr>
    </w:p>
    <w:p>
      <w:pPr>
        <w:spacing w:before="50"/>
        <w:ind w:left="576" w:right="1013" w:firstLine="0"/>
        <w:jc w:val="left"/>
        <w:rPr>
          <w:rFonts w:ascii="宋体" w:hAnsi="宋体" w:cs="宋体" w:eastAsia="宋体" w:hint="default"/>
          <w:sz w:val="16"/>
          <w:szCs w:val="16"/>
        </w:rPr>
      </w:pPr>
      <w:r>
        <w:rPr>
          <w:rFonts w:ascii="宋体" w:hAnsi="宋体" w:cs="宋体" w:eastAsia="宋体" w:hint="default"/>
          <w:sz w:val="16"/>
          <w:szCs w:val="16"/>
        </w:rPr>
        <w:t>注：经测试，上述应收票据组合</w:t>
      </w:r>
      <w:r>
        <w:rPr>
          <w:rFonts w:ascii="宋体" w:hAnsi="宋体" w:cs="宋体" w:eastAsia="宋体" w:hint="default"/>
          <w:spacing w:val="-42"/>
          <w:sz w:val="16"/>
          <w:szCs w:val="16"/>
        </w:rPr>
        <w:t> </w:t>
      </w:r>
      <w:r>
        <w:rPr>
          <w:rFonts w:ascii="宋体" w:hAnsi="宋体" w:cs="宋体" w:eastAsia="宋体" w:hint="default"/>
          <w:sz w:val="16"/>
          <w:szCs w:val="16"/>
        </w:rPr>
        <w:t>1</w:t>
      </w:r>
      <w:r>
        <w:rPr>
          <w:rFonts w:ascii="宋体" w:hAnsi="宋体" w:cs="宋体" w:eastAsia="宋体" w:hint="default"/>
          <w:spacing w:val="-42"/>
          <w:sz w:val="16"/>
          <w:szCs w:val="16"/>
        </w:rPr>
        <w:t> </w:t>
      </w:r>
      <w:r>
        <w:rPr>
          <w:rFonts w:ascii="宋体" w:hAnsi="宋体" w:cs="宋体" w:eastAsia="宋体" w:hint="default"/>
          <w:sz w:val="16"/>
          <w:szCs w:val="16"/>
        </w:rPr>
        <w:t>和应收账款组合</w:t>
      </w:r>
      <w:r>
        <w:rPr>
          <w:rFonts w:ascii="宋体" w:hAnsi="宋体" w:cs="宋体" w:eastAsia="宋体" w:hint="default"/>
          <w:spacing w:val="-43"/>
          <w:sz w:val="16"/>
          <w:szCs w:val="16"/>
        </w:rPr>
        <w:t> </w:t>
      </w:r>
      <w:r>
        <w:rPr>
          <w:rFonts w:ascii="宋体" w:hAnsi="宋体" w:cs="宋体" w:eastAsia="宋体" w:hint="default"/>
          <w:sz w:val="16"/>
          <w:szCs w:val="16"/>
        </w:rPr>
        <w:t>2，一般情况下不计提预期信用损失。 </w:t>
      </w:r>
    </w:p>
    <w:p>
      <w:pPr>
        <w:pStyle w:val="BodyText"/>
        <w:spacing w:line="408" w:lineRule="auto" w:before="128"/>
        <w:ind w:left="253" w:right="1013" w:firstLine="423"/>
        <w:jc w:val="left"/>
      </w:pPr>
      <w:r>
        <w:rPr>
          <w:spacing w:val="-3"/>
        </w:rPr>
        <w:t>对于划分为组合的应收账款，本公司参考历史信用损失经验，结合当前状况及对未来经济状况的预测，</w:t>
      </w:r>
      <w:r>
        <w:rPr/>
        <w:t> </w:t>
      </w:r>
      <w:r>
        <w:rPr>
          <w:spacing w:val="-3"/>
        </w:rPr>
        <w:t>编制应收账款账龄与整个存续期预期信用损失率对照表，计算预期信用损失。对于划分为组合的应收票据，</w:t>
      </w:r>
      <w:r>
        <w:rPr>
          <w:spacing w:val="-92"/>
        </w:rPr>
        <w:t> </w:t>
      </w:r>
      <w:r>
        <w:rPr>
          <w:spacing w:val="-92"/>
        </w:rPr>
      </w:r>
      <w:r>
        <w:rPr/>
        <w:t>本公司参考历史信用损失经验，结合当前状况及对未来经济状况的预测，通过违约风险敞口和整个存续期</w:t>
      </w:r>
      <w:r>
        <w:rPr/>
        <w:t> 预期信用损失率，计算预期信用损失。 </w:t>
      </w:r>
    </w:p>
    <w:p>
      <w:pPr>
        <w:pStyle w:val="BodyText"/>
        <w:spacing w:line="408" w:lineRule="auto"/>
        <w:ind w:left="253" w:right="1120" w:firstLine="423"/>
        <w:jc w:val="left"/>
      </w:pPr>
      <w:r>
        <w:rPr/>
        <w:t>对于划分为组合</w:t>
      </w:r>
      <w:r>
        <w:rPr>
          <w:spacing w:val="-61"/>
        </w:rPr>
        <w:t> </w:t>
      </w:r>
      <w:r>
        <w:rPr/>
        <w:t>1</w:t>
      </w:r>
      <w:r>
        <w:rPr>
          <w:spacing w:val="-60"/>
        </w:rPr>
        <w:t> </w:t>
      </w:r>
      <w:r>
        <w:rPr/>
        <w:t>的应收账款和组合</w:t>
      </w:r>
      <w:r>
        <w:rPr>
          <w:spacing w:val="-61"/>
        </w:rPr>
        <w:t> </w:t>
      </w:r>
      <w:r>
        <w:rPr/>
        <w:t>2</w:t>
      </w:r>
      <w:r>
        <w:rPr>
          <w:spacing w:val="-60"/>
        </w:rPr>
        <w:t> </w:t>
      </w:r>
      <w:r>
        <w:rPr/>
        <w:t>的应收票据，基于所有合理且有依据的信息，对该应收账款坏</w:t>
      </w:r>
      <w:r>
        <w:rPr/>
        <w:t> 账准备的预期信用损失率进行估计如下： </w:t>
      </w:r>
    </w:p>
    <w:tbl>
      <w:tblPr>
        <w:tblW w:w="0" w:type="auto"/>
        <w:jc w:val="left"/>
        <w:tblInd w:w="116" w:type="dxa"/>
        <w:tblLayout w:type="fixed"/>
        <w:tblCellMar>
          <w:top w:w="0" w:type="dxa"/>
          <w:left w:w="0" w:type="dxa"/>
          <w:bottom w:w="0" w:type="dxa"/>
          <w:right w:w="0" w:type="dxa"/>
        </w:tblCellMar>
        <w:tblLook w:val="01E0"/>
      </w:tblPr>
      <w:tblGrid>
        <w:gridCol w:w="4942"/>
        <w:gridCol w:w="4927"/>
      </w:tblGrid>
      <w:tr>
        <w:trPr>
          <w:trHeight w:val="374" w:hRule="exact"/>
        </w:trPr>
        <w:tc>
          <w:tcPr>
            <w:tcW w:w="494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3"/>
              <w:ind w:left="109" w:right="0"/>
              <w:jc w:val="center"/>
              <w:rPr>
                <w:rFonts w:ascii="宋体" w:hAnsi="宋体" w:cs="宋体" w:eastAsia="宋体" w:hint="default"/>
                <w:sz w:val="18"/>
                <w:szCs w:val="18"/>
              </w:rPr>
            </w:pPr>
            <w:r>
              <w:rPr>
                <w:rFonts w:ascii="宋体" w:hAnsi="宋体" w:cs="宋体" w:eastAsia="宋体" w:hint="default"/>
                <w:sz w:val="18"/>
                <w:szCs w:val="18"/>
              </w:rPr>
              <w:t>账龄 </w:t>
            </w:r>
          </w:p>
        </w:tc>
        <w:tc>
          <w:tcPr>
            <w:tcW w:w="492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3"/>
              <w:ind w:left="84" w:right="0"/>
              <w:jc w:val="center"/>
              <w:rPr>
                <w:rFonts w:ascii="宋体" w:hAnsi="宋体" w:cs="宋体" w:eastAsia="宋体" w:hint="default"/>
                <w:sz w:val="18"/>
                <w:szCs w:val="18"/>
              </w:rPr>
            </w:pPr>
            <w:r>
              <w:rPr>
                <w:rFonts w:ascii="宋体" w:hAnsi="宋体" w:cs="宋体" w:eastAsia="宋体" w:hint="default"/>
                <w:sz w:val="18"/>
                <w:szCs w:val="18"/>
              </w:rPr>
              <w:t>预期信用损失率(%) </w:t>
            </w:r>
          </w:p>
        </w:tc>
      </w:tr>
      <w:tr>
        <w:trPr>
          <w:trHeight w:val="362" w:hRule="exact"/>
        </w:trPr>
        <w:tc>
          <w:tcPr>
            <w:tcW w:w="49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22"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年，以下同） </w:t>
            </w:r>
          </w:p>
        </w:tc>
        <w:tc>
          <w:tcPr>
            <w:tcW w:w="49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5"/>
              <w:jc w:val="center"/>
              <w:rPr>
                <w:rFonts w:ascii="Arial" w:hAnsi="Arial" w:cs="Arial" w:eastAsia="Arial" w:hint="default"/>
                <w:sz w:val="18"/>
                <w:szCs w:val="18"/>
              </w:rPr>
            </w:pPr>
            <w:r>
              <w:rPr>
                <w:rFonts w:ascii="Arial"/>
                <w:w w:val="90"/>
                <w:sz w:val="18"/>
              </w:rPr>
              <w:t>2.00</w:t>
            </w:r>
            <w:r>
              <w:rPr>
                <w:rFonts w:ascii="Arial"/>
                <w:sz w:val="18"/>
              </w:rPr>
            </w:r>
          </w:p>
        </w:tc>
      </w:tr>
      <w:tr>
        <w:trPr>
          <w:trHeight w:val="364" w:hRule="exact"/>
        </w:trPr>
        <w:tc>
          <w:tcPr>
            <w:tcW w:w="49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0.5-1</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49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5"/>
              <w:jc w:val="center"/>
              <w:rPr>
                <w:rFonts w:ascii="Arial" w:hAnsi="Arial" w:cs="Arial" w:eastAsia="Arial" w:hint="default"/>
                <w:sz w:val="18"/>
                <w:szCs w:val="18"/>
              </w:rPr>
            </w:pPr>
            <w:r>
              <w:rPr>
                <w:rFonts w:ascii="Arial"/>
                <w:w w:val="90"/>
                <w:sz w:val="18"/>
              </w:rPr>
              <w:t>5.00</w:t>
            </w:r>
            <w:r>
              <w:rPr>
                <w:rFonts w:ascii="Arial"/>
                <w:sz w:val="18"/>
              </w:rPr>
            </w:r>
          </w:p>
        </w:tc>
      </w:tr>
      <w:tr>
        <w:trPr>
          <w:trHeight w:val="364" w:hRule="exact"/>
        </w:trPr>
        <w:tc>
          <w:tcPr>
            <w:tcW w:w="49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49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3"/>
              <w:jc w:val="center"/>
              <w:rPr>
                <w:rFonts w:ascii="Arial" w:hAnsi="Arial" w:cs="Arial" w:eastAsia="Arial" w:hint="default"/>
                <w:sz w:val="18"/>
                <w:szCs w:val="18"/>
              </w:rPr>
            </w:pPr>
            <w:r>
              <w:rPr>
                <w:rFonts w:ascii="Arial"/>
                <w:w w:val="90"/>
                <w:sz w:val="18"/>
              </w:rPr>
              <w:t>10.00</w:t>
            </w:r>
            <w:r>
              <w:rPr>
                <w:rFonts w:ascii="Arial"/>
                <w:sz w:val="18"/>
              </w:rPr>
            </w:r>
          </w:p>
        </w:tc>
      </w:tr>
      <w:tr>
        <w:trPr>
          <w:trHeight w:val="364" w:hRule="exact"/>
        </w:trPr>
        <w:tc>
          <w:tcPr>
            <w:tcW w:w="49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49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3"/>
              <w:jc w:val="center"/>
              <w:rPr>
                <w:rFonts w:ascii="Arial" w:hAnsi="Arial" w:cs="Arial" w:eastAsia="Arial" w:hint="default"/>
                <w:sz w:val="18"/>
                <w:szCs w:val="18"/>
              </w:rPr>
            </w:pPr>
            <w:r>
              <w:rPr>
                <w:rFonts w:ascii="Arial"/>
                <w:w w:val="90"/>
                <w:sz w:val="18"/>
              </w:rPr>
              <w:t>30.00</w:t>
            </w:r>
            <w:r>
              <w:rPr>
                <w:rFonts w:ascii="Arial"/>
                <w:sz w:val="18"/>
              </w:rPr>
            </w:r>
          </w:p>
        </w:tc>
      </w:tr>
      <w:tr>
        <w:trPr>
          <w:trHeight w:val="374" w:hRule="exact"/>
        </w:trPr>
        <w:tc>
          <w:tcPr>
            <w:tcW w:w="494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3"/>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 </w:t>
            </w:r>
          </w:p>
        </w:tc>
        <w:tc>
          <w:tcPr>
            <w:tcW w:w="492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right="4"/>
              <w:jc w:val="center"/>
              <w:rPr>
                <w:rFonts w:ascii="Arial" w:hAnsi="Arial" w:cs="Arial" w:eastAsia="Arial" w:hint="default"/>
                <w:sz w:val="18"/>
                <w:szCs w:val="18"/>
              </w:rPr>
            </w:pPr>
            <w:r>
              <w:rPr>
                <w:rFonts w:ascii="Arial"/>
                <w:w w:val="90"/>
                <w:sz w:val="18"/>
              </w:rPr>
              <w:t>100.00</w:t>
            </w:r>
            <w:r>
              <w:rPr>
                <w:rFonts w:ascii="Arial"/>
                <w:sz w:val="18"/>
              </w:rPr>
            </w:r>
          </w:p>
        </w:tc>
      </w:tr>
    </w:tbl>
    <w:p>
      <w:pPr>
        <w:pStyle w:val="BodyText"/>
        <w:spacing w:line="408" w:lineRule="auto"/>
        <w:ind w:left="254" w:right="1013" w:firstLine="423"/>
        <w:jc w:val="left"/>
      </w:pPr>
      <w:r>
        <w:rPr>
          <w:spacing w:val="-1"/>
        </w:rPr>
        <w:t>如果有客观证据表明某项应收账款已经发生信用减值，则本公司对该应收账款单项计提坏账准备并确</w:t>
      </w:r>
      <w:r>
        <w:rPr/>
        <w:t> 认预期信用损失。</w:t>
      </w:r>
    </w:p>
    <w:p>
      <w:pPr>
        <w:pStyle w:val="BodyText"/>
        <w:spacing w:line="224" w:lineRule="exact" w:before="0"/>
        <w:ind w:left="677" w:right="1013"/>
        <w:jc w:val="left"/>
      </w:pPr>
      <w:r>
        <w:rPr/>
        <w:t>（3）其他金融资产计量损失准备的方法 </w:t>
      </w:r>
    </w:p>
    <w:p>
      <w:pPr>
        <w:pStyle w:val="BodyText"/>
        <w:spacing w:line="357" w:lineRule="auto" w:before="133"/>
        <w:ind w:left="254" w:right="1013" w:firstLine="423"/>
        <w:jc w:val="left"/>
      </w:pPr>
      <w:r>
        <w:rPr/>
        <w:t>对于除上述以外的金融资产，如：债权投资、其他债权投资、其他应收款、除租赁应收款以外的长期 </w:t>
      </w:r>
      <w:r>
        <w:rPr>
          <w:spacing w:val="-3"/>
        </w:rPr>
        <w:t>应收款等，本公司依据其他应收款信用风险自初始确认后是否已经显著增加，采用相当于未来 </w:t>
      </w:r>
      <w:r>
        <w:rPr/>
        <w:t>12</w:t>
      </w:r>
      <w:r>
        <w:rPr>
          <w:spacing w:val="-49"/>
        </w:rPr>
        <w:t> </w:t>
      </w:r>
      <w:r>
        <w:rPr/>
        <w:t>个月内、</w:t>
      </w:r>
      <w:r>
        <w:rPr>
          <w:spacing w:val="-1"/>
        </w:rPr>
        <w:t> </w:t>
      </w:r>
      <w:r>
        <w:rPr/>
        <w:t>或整个存续期的预期信用损失的金额计量减值损失。 </w:t>
      </w:r>
    </w:p>
    <w:p>
      <w:pPr>
        <w:pStyle w:val="BodyText"/>
        <w:spacing w:line="240" w:lineRule="auto" w:before="128"/>
        <w:ind w:left="677" w:right="1013"/>
        <w:jc w:val="left"/>
      </w:pPr>
      <w:r>
        <w:rPr/>
        <w:t>除了单项评估信用风险的其他应收款外，基于其信用风险特征，将其划分为不同组合：</w:t>
      </w:r>
      <w:r>
        <w:rPr>
          <w:color w:val="0000FF"/>
        </w:rPr>
        <w:t> </w:t>
      </w:r>
      <w:r>
        <w:rPr/>
      </w:r>
    </w:p>
    <w:p>
      <w:pPr>
        <w:spacing w:line="240" w:lineRule="auto" w:before="12"/>
        <w:rPr>
          <w:rFonts w:ascii="宋体" w:hAnsi="宋体" w:cs="宋体" w:eastAsia="宋体" w:hint="default"/>
          <w:sz w:val="9"/>
          <w:szCs w:val="9"/>
        </w:rPr>
      </w:pPr>
    </w:p>
    <w:tbl>
      <w:tblPr>
        <w:tblW w:w="0" w:type="auto"/>
        <w:jc w:val="left"/>
        <w:tblInd w:w="116" w:type="dxa"/>
        <w:tblLayout w:type="fixed"/>
        <w:tblCellMar>
          <w:top w:w="0" w:type="dxa"/>
          <w:left w:w="0" w:type="dxa"/>
          <w:bottom w:w="0" w:type="dxa"/>
          <w:right w:w="0" w:type="dxa"/>
        </w:tblCellMar>
        <w:tblLook w:val="01E0"/>
      </w:tblPr>
      <w:tblGrid>
        <w:gridCol w:w="2699"/>
        <w:gridCol w:w="3044"/>
        <w:gridCol w:w="4126"/>
      </w:tblGrid>
      <w:tr>
        <w:trPr>
          <w:trHeight w:val="370" w:hRule="exact"/>
        </w:trPr>
        <w:tc>
          <w:tcPr>
            <w:tcW w:w="2699"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组合名称 </w:t>
            </w:r>
          </w:p>
        </w:tc>
        <w:tc>
          <w:tcPr>
            <w:tcW w:w="304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确定组合的依据 </w:t>
            </w:r>
          </w:p>
        </w:tc>
        <w:tc>
          <w:tcPr>
            <w:tcW w:w="4126"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类似信用风险特征（账龄） </w:t>
            </w:r>
          </w:p>
        </w:tc>
      </w:tr>
    </w:tbl>
    <w:p>
      <w:pPr>
        <w:spacing w:after="0" w:line="240" w:lineRule="auto"/>
        <w:jc w:val="left"/>
        <w:rPr>
          <w:rFonts w:ascii="宋体" w:hAnsi="宋体" w:cs="宋体" w:eastAsia="宋体" w:hint="default"/>
          <w:sz w:val="18"/>
          <w:szCs w:val="18"/>
        </w:rPr>
        <w:sectPr>
          <w:pgSz w:w="11910" w:h="16840"/>
          <w:pgMar w:header="877" w:footer="982" w:top="1100" w:bottom="1180" w:left="880" w:right="0"/>
        </w:sectPr>
      </w:pPr>
    </w:p>
    <w:p>
      <w:pPr>
        <w:spacing w:line="240" w:lineRule="auto" w:before="6"/>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2699"/>
        <w:gridCol w:w="3044"/>
        <w:gridCol w:w="4126"/>
      </w:tblGrid>
      <w:tr>
        <w:trPr>
          <w:trHeight w:val="359" w:hRule="exact"/>
        </w:trPr>
        <w:tc>
          <w:tcPr>
            <w:tcW w:w="269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组合名称 </w:t>
            </w:r>
          </w:p>
        </w:tc>
        <w:tc>
          <w:tcPr>
            <w:tcW w:w="304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确定组合的依据 </w:t>
            </w:r>
          </w:p>
        </w:tc>
        <w:tc>
          <w:tcPr>
            <w:tcW w:w="412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类似信用风险特征（账龄） </w:t>
            </w:r>
          </w:p>
        </w:tc>
      </w:tr>
      <w:tr>
        <w:trPr>
          <w:trHeight w:val="478" w:hRule="exact"/>
        </w:trPr>
        <w:tc>
          <w:tcPr>
            <w:tcW w:w="26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122" w:right="0"/>
              <w:jc w:val="left"/>
              <w:rPr>
                <w:rFonts w:ascii="宋体" w:hAnsi="宋体" w:cs="宋体" w:eastAsia="宋体" w:hint="default"/>
                <w:sz w:val="18"/>
                <w:szCs w:val="18"/>
              </w:rPr>
            </w:pPr>
            <w:r>
              <w:rPr>
                <w:rFonts w:ascii="宋体" w:hAnsi="宋体" w:cs="宋体" w:eastAsia="宋体" w:hint="default"/>
                <w:sz w:val="18"/>
                <w:szCs w:val="18"/>
              </w:rPr>
              <w:t>其他应收款组合1 </w:t>
            </w:r>
          </w:p>
        </w:tc>
        <w:tc>
          <w:tcPr>
            <w:tcW w:w="3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合并范围内关联方往来 </w:t>
            </w:r>
          </w:p>
        </w:tc>
        <w:tc>
          <w:tcPr>
            <w:tcW w:w="4126" w:type="dxa"/>
            <w:tcBorders>
              <w:top w:val="single" w:sz="4" w:space="0" w:color="000000"/>
              <w:left w:val="single" w:sz="4" w:space="0" w:color="000000"/>
              <w:bottom w:val="single" w:sz="4" w:space="0" w:color="000000"/>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6"/>
                <w:sz w:val="18"/>
                <w:szCs w:val="18"/>
              </w:rPr>
              <w:t>本组合为日常经常活动中与合并范围内关联方产</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生的应收款项。 </w:t>
            </w:r>
          </w:p>
        </w:tc>
      </w:tr>
      <w:tr>
        <w:trPr>
          <w:trHeight w:val="359" w:hRule="exact"/>
        </w:trPr>
        <w:tc>
          <w:tcPr>
            <w:tcW w:w="269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其他应收款组合2 </w:t>
            </w:r>
          </w:p>
        </w:tc>
        <w:tc>
          <w:tcPr>
            <w:tcW w:w="304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应收其他款项 </w:t>
            </w:r>
          </w:p>
        </w:tc>
        <w:tc>
          <w:tcPr>
            <w:tcW w:w="412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本组合为日常经常活动中的其他应收款项。 </w:t>
            </w:r>
          </w:p>
        </w:tc>
      </w:tr>
    </w:tbl>
    <w:p>
      <w:pPr>
        <w:spacing w:line="240" w:lineRule="auto" w:before="11"/>
        <w:rPr>
          <w:rFonts w:ascii="宋体" w:hAnsi="宋体" w:cs="宋体" w:eastAsia="宋体" w:hint="default"/>
          <w:sz w:val="8"/>
          <w:szCs w:val="8"/>
        </w:rPr>
      </w:pPr>
    </w:p>
    <w:p>
      <w:pPr>
        <w:spacing w:before="50"/>
        <w:ind w:left="576" w:right="1013" w:firstLine="0"/>
        <w:jc w:val="left"/>
        <w:rPr>
          <w:rFonts w:ascii="宋体" w:hAnsi="宋体" w:cs="宋体" w:eastAsia="宋体" w:hint="default"/>
          <w:sz w:val="16"/>
          <w:szCs w:val="16"/>
        </w:rPr>
      </w:pPr>
      <w:r>
        <w:rPr>
          <w:rFonts w:ascii="宋体" w:hAnsi="宋体" w:cs="宋体" w:eastAsia="宋体" w:hint="default"/>
          <w:sz w:val="16"/>
          <w:szCs w:val="16"/>
        </w:rPr>
        <w:t>注：经测试，上述其他应收款组合</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一般情况下不计提预期信用损失。</w:t>
      </w:r>
    </w:p>
    <w:p>
      <w:pPr>
        <w:pStyle w:val="BodyText"/>
        <w:spacing w:line="408" w:lineRule="auto" w:before="116"/>
        <w:ind w:left="254" w:right="1115" w:firstLine="423"/>
        <w:jc w:val="left"/>
      </w:pPr>
      <w:r>
        <w:rPr/>
        <w:t>对于划分为应收其他款项组合</w:t>
      </w:r>
      <w:r>
        <w:rPr>
          <w:spacing w:val="-67"/>
        </w:rPr>
        <w:t> </w:t>
      </w:r>
      <w:r>
        <w:rPr/>
        <w:t>2</w:t>
      </w:r>
      <w:r>
        <w:rPr>
          <w:spacing w:val="-66"/>
        </w:rPr>
        <w:t> </w:t>
      </w:r>
      <w:r>
        <w:rPr/>
        <w:t>的其他应收账款，基于所有合理且有依据的信息，对该其他应收账款</w:t>
      </w:r>
      <w:r>
        <w:rPr/>
        <w:t> 坏账准备的预期信用损失率进行估计如下：</w:t>
      </w:r>
    </w:p>
    <w:tbl>
      <w:tblPr>
        <w:tblW w:w="0" w:type="auto"/>
        <w:jc w:val="left"/>
        <w:tblInd w:w="266" w:type="dxa"/>
        <w:tblLayout w:type="fixed"/>
        <w:tblCellMar>
          <w:top w:w="0" w:type="dxa"/>
          <w:left w:w="0" w:type="dxa"/>
          <w:bottom w:w="0" w:type="dxa"/>
          <w:right w:w="0" w:type="dxa"/>
        </w:tblCellMar>
        <w:tblLook w:val="01E0"/>
      </w:tblPr>
      <w:tblGrid>
        <w:gridCol w:w="4792"/>
        <w:gridCol w:w="4777"/>
      </w:tblGrid>
      <w:tr>
        <w:trPr>
          <w:trHeight w:val="374" w:hRule="exact"/>
        </w:trPr>
        <w:tc>
          <w:tcPr>
            <w:tcW w:w="479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3"/>
              <w:ind w:left="108" w:right="0"/>
              <w:jc w:val="center"/>
              <w:rPr>
                <w:rFonts w:ascii="宋体" w:hAnsi="宋体" w:cs="宋体" w:eastAsia="宋体" w:hint="default"/>
                <w:sz w:val="18"/>
                <w:szCs w:val="18"/>
              </w:rPr>
            </w:pPr>
            <w:r>
              <w:rPr>
                <w:rFonts w:ascii="宋体" w:hAnsi="宋体" w:cs="宋体" w:eastAsia="宋体" w:hint="default"/>
                <w:sz w:val="18"/>
                <w:szCs w:val="18"/>
              </w:rPr>
              <w:t>账龄 </w:t>
            </w:r>
          </w:p>
        </w:tc>
        <w:tc>
          <w:tcPr>
            <w:tcW w:w="477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3"/>
              <w:ind w:left="85" w:right="0"/>
              <w:jc w:val="center"/>
              <w:rPr>
                <w:rFonts w:ascii="宋体" w:hAnsi="宋体" w:cs="宋体" w:eastAsia="宋体" w:hint="default"/>
                <w:sz w:val="18"/>
                <w:szCs w:val="18"/>
              </w:rPr>
            </w:pPr>
            <w:r>
              <w:rPr>
                <w:rFonts w:ascii="宋体" w:hAnsi="宋体" w:cs="宋体" w:eastAsia="宋体" w:hint="default"/>
                <w:sz w:val="18"/>
                <w:szCs w:val="18"/>
              </w:rPr>
              <w:t>预期信用损失率(%) </w:t>
            </w:r>
          </w:p>
        </w:tc>
      </w:tr>
      <w:tr>
        <w:trPr>
          <w:trHeight w:val="362" w:hRule="exact"/>
        </w:trPr>
        <w:tc>
          <w:tcPr>
            <w:tcW w:w="47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22"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年，以下同） </w:t>
            </w:r>
          </w:p>
        </w:tc>
        <w:tc>
          <w:tcPr>
            <w:tcW w:w="47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4"/>
              <w:jc w:val="center"/>
              <w:rPr>
                <w:rFonts w:ascii="Arial" w:hAnsi="Arial" w:cs="Arial" w:eastAsia="Arial" w:hint="default"/>
                <w:sz w:val="18"/>
                <w:szCs w:val="18"/>
              </w:rPr>
            </w:pPr>
            <w:r>
              <w:rPr>
                <w:rFonts w:ascii="Arial"/>
                <w:w w:val="90"/>
                <w:sz w:val="18"/>
              </w:rPr>
              <w:t>2.00</w:t>
            </w:r>
            <w:r>
              <w:rPr>
                <w:rFonts w:ascii="Arial"/>
                <w:sz w:val="18"/>
              </w:rPr>
            </w:r>
          </w:p>
        </w:tc>
      </w:tr>
      <w:tr>
        <w:trPr>
          <w:trHeight w:val="364" w:hRule="exact"/>
        </w:trPr>
        <w:tc>
          <w:tcPr>
            <w:tcW w:w="47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0.5-1</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47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4"/>
              <w:jc w:val="center"/>
              <w:rPr>
                <w:rFonts w:ascii="Arial" w:hAnsi="Arial" w:cs="Arial" w:eastAsia="Arial" w:hint="default"/>
                <w:sz w:val="18"/>
                <w:szCs w:val="18"/>
              </w:rPr>
            </w:pPr>
            <w:r>
              <w:rPr>
                <w:rFonts w:ascii="Arial"/>
                <w:w w:val="90"/>
                <w:sz w:val="18"/>
              </w:rPr>
              <w:t>5.00</w:t>
            </w:r>
            <w:r>
              <w:rPr>
                <w:rFonts w:ascii="Arial"/>
                <w:sz w:val="18"/>
              </w:rPr>
            </w:r>
          </w:p>
        </w:tc>
      </w:tr>
      <w:tr>
        <w:trPr>
          <w:trHeight w:val="364" w:hRule="exact"/>
        </w:trPr>
        <w:tc>
          <w:tcPr>
            <w:tcW w:w="47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47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4"/>
              <w:jc w:val="center"/>
              <w:rPr>
                <w:rFonts w:ascii="Arial" w:hAnsi="Arial" w:cs="Arial" w:eastAsia="Arial" w:hint="default"/>
                <w:sz w:val="18"/>
                <w:szCs w:val="18"/>
              </w:rPr>
            </w:pPr>
            <w:r>
              <w:rPr>
                <w:rFonts w:ascii="Arial"/>
                <w:w w:val="90"/>
                <w:sz w:val="18"/>
              </w:rPr>
              <w:t>10.00</w:t>
            </w:r>
            <w:r>
              <w:rPr>
                <w:rFonts w:ascii="Arial"/>
                <w:sz w:val="18"/>
              </w:rPr>
            </w:r>
          </w:p>
        </w:tc>
      </w:tr>
      <w:tr>
        <w:trPr>
          <w:trHeight w:val="364" w:hRule="exact"/>
        </w:trPr>
        <w:tc>
          <w:tcPr>
            <w:tcW w:w="47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477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4"/>
              <w:jc w:val="center"/>
              <w:rPr>
                <w:rFonts w:ascii="Arial" w:hAnsi="Arial" w:cs="Arial" w:eastAsia="Arial" w:hint="default"/>
                <w:sz w:val="18"/>
                <w:szCs w:val="18"/>
              </w:rPr>
            </w:pPr>
            <w:r>
              <w:rPr>
                <w:rFonts w:ascii="Arial"/>
                <w:w w:val="90"/>
                <w:sz w:val="18"/>
              </w:rPr>
              <w:t>30.00</w:t>
            </w:r>
            <w:r>
              <w:rPr>
                <w:rFonts w:ascii="Arial"/>
                <w:sz w:val="18"/>
              </w:rPr>
            </w:r>
          </w:p>
        </w:tc>
      </w:tr>
      <w:tr>
        <w:trPr>
          <w:trHeight w:val="374" w:hRule="exact"/>
        </w:trPr>
        <w:tc>
          <w:tcPr>
            <w:tcW w:w="479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3"/>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 </w:t>
            </w:r>
          </w:p>
        </w:tc>
        <w:tc>
          <w:tcPr>
            <w:tcW w:w="477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3"/>
              <w:ind w:right="5"/>
              <w:jc w:val="center"/>
              <w:rPr>
                <w:rFonts w:ascii="Arial" w:hAnsi="Arial" w:cs="Arial" w:eastAsia="Arial" w:hint="default"/>
                <w:sz w:val="18"/>
                <w:szCs w:val="18"/>
              </w:rPr>
            </w:pPr>
            <w:r>
              <w:rPr>
                <w:rFonts w:ascii="Arial"/>
                <w:w w:val="90"/>
                <w:sz w:val="18"/>
              </w:rPr>
              <w:t>100.00</w:t>
            </w:r>
            <w:r>
              <w:rPr>
                <w:rFonts w:ascii="Arial"/>
                <w:sz w:val="18"/>
              </w:rPr>
            </w:r>
          </w:p>
        </w:tc>
      </w:tr>
    </w:tbl>
    <w:p>
      <w:pPr>
        <w:pStyle w:val="BodyText"/>
        <w:spacing w:line="408" w:lineRule="auto"/>
        <w:ind w:left="254" w:right="1013" w:firstLine="423"/>
        <w:jc w:val="left"/>
      </w:pPr>
      <w:r>
        <w:rPr>
          <w:spacing w:val="-1"/>
        </w:rPr>
        <w:t>如果有客观证据表明某项其他应收账款已经发生信用减值，则本公司对该其他应收账款单项计提坏账</w:t>
      </w:r>
      <w:r>
        <w:rPr/>
        <w:t> 准备并确认预期信用损失。</w:t>
      </w:r>
      <w:r>
        <w:rPr>
          <w:color w:val="0000FF"/>
        </w:rPr>
        <w:t> </w:t>
      </w:r>
      <w:r>
        <w:rPr/>
      </w:r>
    </w:p>
    <w:p>
      <w:pPr>
        <w:pStyle w:val="BodyText"/>
        <w:spacing w:line="324" w:lineRule="auto"/>
        <w:ind w:left="677" w:right="1013"/>
        <w:jc w:val="left"/>
      </w:pPr>
      <w:r>
        <w:rPr/>
        <w:t>2.</w:t>
      </w:r>
      <w:r>
        <w:rPr>
          <w:spacing w:val="-1"/>
        </w:rPr>
        <w:t> </w:t>
      </w:r>
      <w:r>
        <w:rPr/>
        <w:t>预期信用损失的会计处理方法 </w:t>
      </w:r>
      <w:r>
        <w:rPr>
          <w:spacing w:val="3"/>
        </w:rPr>
        <w:t>为反映金融工具的信用风险自初始确认后的变化，本公司在每个资产负债表日重新计量预期信用损</w:t>
      </w:r>
    </w:p>
    <w:p>
      <w:pPr>
        <w:pStyle w:val="BodyText"/>
        <w:spacing w:line="357" w:lineRule="auto" w:before="59"/>
        <w:ind w:left="254" w:right="1131"/>
        <w:jc w:val="both"/>
      </w:pPr>
      <w:r>
        <w:rPr>
          <w:spacing w:val="-1"/>
        </w:rPr>
        <w:t>失，由此形成的损失准备的增加或转回金额，应当作为减值损失或利得计入当期损益，并根据金融工具的</w:t>
      </w:r>
      <w:r>
        <w:rPr>
          <w:spacing w:val="-83"/>
        </w:rPr>
        <w:t> </w:t>
      </w:r>
      <w:r>
        <w:rPr>
          <w:spacing w:val="-83"/>
        </w:rPr>
      </w:r>
      <w:r>
        <w:rPr>
          <w:spacing w:val="-1"/>
        </w:rPr>
        <w:t>种类，抵减该金融资产在资产负债表中列示的账面价值或计入预计负债（贷款承诺或财务担保合同）或计</w:t>
      </w:r>
      <w:r>
        <w:rPr>
          <w:spacing w:val="-83"/>
        </w:rPr>
        <w:t> </w:t>
      </w:r>
      <w:r>
        <w:rPr>
          <w:spacing w:val="-83"/>
        </w:rPr>
      </w:r>
      <w:r>
        <w:rPr/>
        <w:t>入其他综合收益（以公允价值计量且其变动计入其他综合收益的债权投资）。 </w:t>
      </w:r>
    </w:p>
    <w:p>
      <w:pPr>
        <w:spacing w:line="240" w:lineRule="auto" w:before="12"/>
        <w:rPr>
          <w:rFonts w:ascii="宋体" w:hAnsi="宋体" w:cs="宋体" w:eastAsia="宋体" w:hint="default"/>
          <w:sz w:val="26"/>
          <w:szCs w:val="26"/>
        </w:rPr>
      </w:pPr>
    </w:p>
    <w:p>
      <w:pPr>
        <w:pStyle w:val="Heading4"/>
        <w:spacing w:line="240" w:lineRule="auto"/>
        <w:ind w:left="254" w:right="0"/>
        <w:jc w:val="both"/>
        <w:rPr>
          <w:b w:val="0"/>
          <w:bCs w:val="0"/>
        </w:rPr>
      </w:pPr>
      <w:r>
        <w:rPr>
          <w:rFonts w:ascii="Times New Roman" w:hAnsi="Times New Roman" w:cs="Times New Roman" w:eastAsia="Times New Roman" w:hint="default"/>
        </w:rPr>
        <w:t>12</w:t>
      </w:r>
      <w:r>
        <w:rPr/>
        <w:t>、金融工具</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0"/>
        <w:ind w:left="677" w:right="1013"/>
        <w:jc w:val="left"/>
      </w:pPr>
      <w:r>
        <w:rPr/>
        <w:t>2019</w:t>
      </w:r>
      <w:r>
        <w:rPr>
          <w:spacing w:val="-54"/>
        </w:rPr>
        <w:t> </w:t>
      </w:r>
      <w:r>
        <w:rPr/>
        <w:t>年</w:t>
      </w:r>
      <w:r>
        <w:rPr>
          <w:spacing w:val="-54"/>
        </w:rPr>
        <w:t> </w:t>
      </w:r>
      <w:r>
        <w:rPr/>
        <w:t>1</w:t>
      </w:r>
      <w:r>
        <w:rPr>
          <w:spacing w:val="-54"/>
        </w:rPr>
        <w:t> </w:t>
      </w:r>
      <w:r>
        <w:rPr/>
        <w:t>月</w:t>
      </w:r>
      <w:r>
        <w:rPr>
          <w:spacing w:val="-55"/>
        </w:rPr>
        <w:t> </w:t>
      </w:r>
      <w:r>
        <w:rPr/>
        <w:t>1</w:t>
      </w:r>
      <w:r>
        <w:rPr>
          <w:spacing w:val="-53"/>
        </w:rPr>
        <w:t> </w:t>
      </w:r>
      <w:r>
        <w:rPr/>
        <w:t>日前适用 </w:t>
      </w:r>
    </w:p>
    <w:p>
      <w:pPr>
        <w:pStyle w:val="BodyText"/>
        <w:spacing w:line="357" w:lineRule="auto" w:before="133"/>
        <w:ind w:left="677" w:right="1012"/>
        <w:jc w:val="left"/>
      </w:pPr>
      <w:r>
        <w:rPr/>
        <w:t>1.金融工具的分类及确认 </w:t>
      </w:r>
      <w:r>
        <w:rPr>
          <w:spacing w:val="-3"/>
        </w:rPr>
        <w:t>金融资产于初始确认时分类为：以公允价值计量且其变动计入当期损益的金融资产、持有至到期投资、</w:t>
      </w:r>
    </w:p>
    <w:p>
      <w:pPr>
        <w:pStyle w:val="BodyText"/>
        <w:spacing w:line="357" w:lineRule="auto" w:before="30"/>
        <w:ind w:left="253" w:right="1131"/>
        <w:jc w:val="both"/>
      </w:pPr>
      <w:r>
        <w:rPr>
          <w:spacing w:val="-1"/>
        </w:rPr>
        <w:t>应收款项、可供出售金融资产。除应收款项以外的金融资产的分类取决于本公司对金融资产的持有意图和</w:t>
      </w:r>
      <w:r>
        <w:rPr>
          <w:spacing w:val="-81"/>
        </w:rPr>
        <w:t> </w:t>
      </w:r>
      <w:r>
        <w:rPr>
          <w:spacing w:val="-81"/>
        </w:rPr>
      </w:r>
      <w:r>
        <w:rPr>
          <w:spacing w:val="-1"/>
        </w:rPr>
        <w:t>持有能力等。金融负债于初始确认时分类为：以公允价值计量且其变动计入当期损益的金融负债以及其他</w:t>
      </w:r>
      <w:r>
        <w:rPr>
          <w:spacing w:val="-81"/>
        </w:rPr>
        <w:t> </w:t>
      </w:r>
      <w:r>
        <w:rPr>
          <w:spacing w:val="-81"/>
        </w:rPr>
      </w:r>
      <w:r>
        <w:rPr/>
        <w:t>金融负债。 </w:t>
      </w:r>
    </w:p>
    <w:p>
      <w:pPr>
        <w:pStyle w:val="BodyText"/>
        <w:spacing w:line="357" w:lineRule="auto" w:before="30"/>
        <w:ind w:left="677" w:right="1013"/>
        <w:jc w:val="left"/>
      </w:pPr>
      <w:r>
        <w:rPr/>
        <w:t>2.金融工具的计量 </w:t>
      </w:r>
      <w:r>
        <w:rPr>
          <w:spacing w:val="-1"/>
        </w:rPr>
        <w:t>本公司金融工具初始确认按公允价值计量。后续计量分类为：以公允价值计量且其变动计入当期损益</w:t>
      </w:r>
    </w:p>
    <w:p>
      <w:pPr>
        <w:pStyle w:val="BodyText"/>
        <w:spacing w:line="357" w:lineRule="auto" w:before="30"/>
        <w:ind w:left="253" w:right="1131"/>
        <w:jc w:val="both"/>
      </w:pPr>
      <w:r>
        <w:rPr>
          <w:spacing w:val="-1"/>
        </w:rPr>
        <w:t>的金融资产、可供出售金融资产及以公允价值计量且其变动计入当期损益的金融负债按公允价值计量；持</w:t>
      </w:r>
      <w:r>
        <w:rPr>
          <w:spacing w:val="-81"/>
        </w:rPr>
        <w:t> </w:t>
      </w:r>
      <w:r>
        <w:rPr>
          <w:spacing w:val="-81"/>
        </w:rPr>
      </w:r>
      <w:r>
        <w:rPr>
          <w:spacing w:val="-1"/>
        </w:rPr>
        <w:t>有到期投资、贷款和应收款项以及其他金融负债按摊余成本计量；在活跃市场中没有报价且其公允价值不</w:t>
      </w:r>
      <w:r>
        <w:rPr>
          <w:spacing w:val="-81"/>
        </w:rPr>
        <w:t> </w:t>
      </w:r>
      <w:r>
        <w:rPr>
          <w:spacing w:val="-81"/>
        </w:rPr>
      </w:r>
      <w:r>
        <w:rPr>
          <w:spacing w:val="-1"/>
        </w:rPr>
        <w:t>能可靠计量的权益工具投资，以及与该权益工具挂钩并须通过交付该权益工具结算的衍生金融资产或者衍</w:t>
      </w:r>
      <w:r>
        <w:rPr>
          <w:spacing w:val="-81"/>
        </w:rPr>
        <w:t> </w:t>
      </w:r>
      <w:r>
        <w:rPr>
          <w:spacing w:val="-81"/>
        </w:rPr>
      </w:r>
      <w:r>
        <w:rPr>
          <w:spacing w:val="-1"/>
        </w:rPr>
        <w:t>生金融负债，按照成本计量。本公司金融资产或金融负债后续计量中公允价值变动形成的利得或损失，除</w:t>
      </w:r>
    </w:p>
    <w:p>
      <w:pPr>
        <w:spacing w:after="0" w:line="357" w:lineRule="auto"/>
        <w:jc w:val="both"/>
        <w:sectPr>
          <w:pgSz w:w="11910" w:h="16840"/>
          <w:pgMar w:header="877" w:footer="982" w:top="1100" w:bottom="1180" w:left="880" w:right="0"/>
        </w:sectPr>
      </w:pPr>
    </w:p>
    <w:p>
      <w:pPr>
        <w:spacing w:line="240" w:lineRule="auto" w:before="2"/>
        <w:rPr>
          <w:rFonts w:ascii="宋体" w:hAnsi="宋体" w:cs="宋体" w:eastAsia="宋体" w:hint="default"/>
          <w:sz w:val="19"/>
          <w:szCs w:val="19"/>
        </w:rPr>
      </w:pPr>
    </w:p>
    <w:p>
      <w:pPr>
        <w:pStyle w:val="BodyText"/>
        <w:spacing w:line="357" w:lineRule="auto" w:before="35"/>
        <w:ind w:left="254" w:right="1131"/>
        <w:jc w:val="both"/>
      </w:pPr>
      <w:r>
        <w:rPr>
          <w:spacing w:val="-1"/>
        </w:rPr>
        <w:t>与套期保值有关外，按照如下方法处理：①以公允价值计量且其变动计入当期损益的金融资产或金融负债</w:t>
      </w:r>
      <w:r>
        <w:rPr>
          <w:spacing w:val="-81"/>
        </w:rPr>
        <w:t> </w:t>
      </w:r>
      <w:r>
        <w:rPr>
          <w:spacing w:val="-81"/>
        </w:rPr>
      </w:r>
      <w:r>
        <w:rPr>
          <w:spacing w:val="-1"/>
        </w:rPr>
        <w:t>公允价值变动形成的利得或损失，计入公允价值变动损益。②可供出售金融资产的公允价值变动计入其他</w:t>
      </w:r>
      <w:r>
        <w:rPr>
          <w:spacing w:val="-81"/>
        </w:rPr>
        <w:t> </w:t>
      </w:r>
      <w:r>
        <w:rPr>
          <w:spacing w:val="-81"/>
        </w:rPr>
      </w:r>
      <w:r>
        <w:rPr/>
        <w:t>综合收益。 </w:t>
      </w:r>
    </w:p>
    <w:p>
      <w:pPr>
        <w:pStyle w:val="BodyText"/>
        <w:spacing w:line="357" w:lineRule="auto" w:before="30"/>
        <w:ind w:left="677" w:right="1013"/>
        <w:jc w:val="left"/>
      </w:pPr>
      <w:r>
        <w:rPr/>
        <w:t>3.金融资产减值 </w:t>
      </w:r>
      <w:r>
        <w:rPr>
          <w:spacing w:val="-1"/>
        </w:rPr>
        <w:t>以摊余成本计量的金融资产发生减值时，按预计未来现金流量(不包括尚未发生的未来信用损失)现值</w:t>
      </w:r>
    </w:p>
    <w:p>
      <w:pPr>
        <w:pStyle w:val="BodyText"/>
        <w:spacing w:line="357" w:lineRule="auto" w:before="30"/>
        <w:ind w:left="254" w:right="1130"/>
        <w:jc w:val="both"/>
      </w:pPr>
      <w:r>
        <w:rPr>
          <w:spacing w:val="-1"/>
        </w:rPr>
        <w:t>低于账面价值的差额，计提减值准备。如果有客观证据表明该金融资产价值已恢复，且客观上与确认该损</w:t>
      </w:r>
      <w:r>
        <w:rPr>
          <w:spacing w:val="-83"/>
        </w:rPr>
        <w:t> </w:t>
      </w:r>
      <w:r>
        <w:rPr>
          <w:spacing w:val="-83"/>
        </w:rPr>
      </w:r>
      <w:r>
        <w:rPr/>
        <w:t>失后发生的事项有关，原确认的减值损失予以转回，计入当期损益。 </w:t>
      </w:r>
    </w:p>
    <w:p>
      <w:pPr>
        <w:pStyle w:val="BodyText"/>
        <w:spacing w:line="357" w:lineRule="auto" w:before="30"/>
        <w:ind w:left="254" w:right="1131" w:firstLine="423"/>
        <w:jc w:val="both"/>
      </w:pPr>
      <w:r>
        <w:rPr>
          <w:spacing w:val="-1"/>
        </w:rPr>
        <w:t>当有客观证据表明可供出售金融资产发生减值时，原直接计入股东权益的因公允价值下降形成的累计</w:t>
      </w:r>
      <w:r>
        <w:rPr/>
        <w:t> </w:t>
      </w:r>
      <w:r>
        <w:rPr>
          <w:spacing w:val="-1"/>
        </w:rPr>
        <w:t>损失予以转出并计入减值损失。对已确认减值损失的可供出售债务工具投资，在期后公允价值上升且客观</w:t>
      </w:r>
      <w:r>
        <w:rPr>
          <w:spacing w:val="-81"/>
        </w:rPr>
        <w:t> </w:t>
      </w:r>
      <w:r>
        <w:rPr>
          <w:spacing w:val="-81"/>
        </w:rPr>
      </w:r>
      <w:r>
        <w:rPr>
          <w:spacing w:val="-1"/>
        </w:rPr>
        <w:t>上与确认原减值损失后发生的事项有关的，原确认的减值损失予以转回并计入当期损益。对已确认减值损</w:t>
      </w:r>
      <w:r>
        <w:rPr>
          <w:spacing w:val="-81"/>
        </w:rPr>
        <w:t> </w:t>
      </w:r>
      <w:r>
        <w:rPr>
          <w:spacing w:val="-81"/>
        </w:rPr>
      </w:r>
      <w:r>
        <w:rPr/>
        <w:t>失的可供出售权益工具投资，期后公允价值上升直接计入股东权益。 </w:t>
      </w:r>
    </w:p>
    <w:p>
      <w:pPr>
        <w:pStyle w:val="BodyText"/>
        <w:spacing w:line="355" w:lineRule="auto" w:before="31"/>
        <w:ind w:left="254" w:right="1131" w:firstLine="423"/>
        <w:jc w:val="both"/>
      </w:pPr>
      <w:r>
        <w:rPr>
          <w:spacing w:val="-1"/>
        </w:rPr>
        <w:t>对于权益工具投资，本公司判断其公允价值发生“严重”或“非暂时性”下跌的具体量化标准、成本</w:t>
      </w:r>
      <w:r>
        <w:rPr/>
        <w:t> 的计算方法、期末公允价值的确定方法，以及持续下跌期间的确定依据为： </w:t>
      </w:r>
    </w:p>
    <w:p>
      <w:pPr>
        <w:spacing w:line="240" w:lineRule="auto" w:before="2"/>
        <w:rPr>
          <w:rFonts w:ascii="宋体" w:hAnsi="宋体" w:cs="宋体" w:eastAsia="宋体" w:hint="default"/>
          <w:sz w:val="5"/>
          <w:szCs w:val="5"/>
        </w:rPr>
      </w:pPr>
    </w:p>
    <w:tbl>
      <w:tblPr>
        <w:tblW w:w="0" w:type="auto"/>
        <w:jc w:val="left"/>
        <w:tblInd w:w="167" w:type="dxa"/>
        <w:tblLayout w:type="fixed"/>
        <w:tblCellMar>
          <w:top w:w="0" w:type="dxa"/>
          <w:left w:w="0" w:type="dxa"/>
          <w:bottom w:w="0" w:type="dxa"/>
          <w:right w:w="0" w:type="dxa"/>
        </w:tblCellMar>
        <w:tblLook w:val="01E0"/>
      </w:tblPr>
      <w:tblGrid>
        <w:gridCol w:w="4360"/>
        <w:gridCol w:w="5407"/>
      </w:tblGrid>
      <w:tr>
        <w:trPr>
          <w:trHeight w:val="359" w:hRule="exact"/>
        </w:trPr>
        <w:tc>
          <w:tcPr>
            <w:tcW w:w="436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2"/>
              <w:ind w:left="72" w:right="0"/>
              <w:jc w:val="left"/>
              <w:rPr>
                <w:rFonts w:ascii="宋体" w:hAnsi="宋体" w:cs="宋体" w:eastAsia="宋体" w:hint="default"/>
                <w:sz w:val="18"/>
                <w:szCs w:val="18"/>
              </w:rPr>
            </w:pPr>
            <w:r>
              <w:rPr>
                <w:rFonts w:ascii="宋体" w:hAnsi="宋体" w:cs="宋体" w:eastAsia="宋体" w:hint="default"/>
                <w:sz w:val="18"/>
                <w:szCs w:val="18"/>
              </w:rPr>
              <w:t>公允价值发生“严重”下跌的具体量化标准 </w:t>
            </w:r>
          </w:p>
        </w:tc>
        <w:tc>
          <w:tcPr>
            <w:tcW w:w="540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2"/>
              <w:ind w:left="52" w:right="0"/>
              <w:jc w:val="left"/>
              <w:rPr>
                <w:rFonts w:ascii="宋体" w:hAnsi="宋体" w:cs="宋体" w:eastAsia="宋体" w:hint="default"/>
                <w:sz w:val="18"/>
                <w:szCs w:val="18"/>
              </w:rPr>
            </w:pPr>
            <w:r>
              <w:rPr>
                <w:rFonts w:ascii="宋体" w:hAnsi="宋体" w:cs="宋体" w:eastAsia="宋体" w:hint="default"/>
                <w:sz w:val="18"/>
                <w:szCs w:val="18"/>
              </w:rPr>
              <w:t>期末公允价值相对于成本的下跌幅度已达到或超过</w:t>
            </w:r>
            <w:r>
              <w:rPr>
                <w:rFonts w:ascii="宋体" w:hAnsi="宋体" w:cs="宋体" w:eastAsia="宋体" w:hint="default"/>
                <w:spacing w:val="-46"/>
                <w:sz w:val="18"/>
                <w:szCs w:val="18"/>
              </w:rPr>
              <w:t> </w:t>
            </w:r>
            <w:r>
              <w:rPr>
                <w:rFonts w:ascii="宋体" w:hAnsi="宋体" w:cs="宋体" w:eastAsia="宋体" w:hint="default"/>
                <w:sz w:val="18"/>
                <w:szCs w:val="18"/>
              </w:rPr>
              <w:t>50%。 </w:t>
            </w:r>
          </w:p>
        </w:tc>
      </w:tr>
      <w:tr>
        <w:trPr>
          <w:trHeight w:val="350" w:hRule="exact"/>
        </w:trPr>
        <w:tc>
          <w:tcPr>
            <w:tcW w:w="436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72" w:right="0"/>
              <w:jc w:val="left"/>
              <w:rPr>
                <w:rFonts w:ascii="宋体" w:hAnsi="宋体" w:cs="宋体" w:eastAsia="宋体" w:hint="default"/>
                <w:sz w:val="18"/>
                <w:szCs w:val="18"/>
              </w:rPr>
            </w:pPr>
            <w:r>
              <w:rPr>
                <w:rFonts w:ascii="宋体" w:hAnsi="宋体" w:cs="宋体" w:eastAsia="宋体" w:hint="default"/>
                <w:sz w:val="18"/>
                <w:szCs w:val="18"/>
              </w:rPr>
              <w:t>公允价值发生“非暂时性”下跌的具体量化标准 </w:t>
            </w:r>
          </w:p>
        </w:tc>
        <w:tc>
          <w:tcPr>
            <w:tcW w:w="54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52" w:right="0"/>
              <w:jc w:val="left"/>
              <w:rPr>
                <w:rFonts w:ascii="宋体" w:hAnsi="宋体" w:cs="宋体" w:eastAsia="宋体" w:hint="default"/>
                <w:sz w:val="18"/>
                <w:szCs w:val="18"/>
              </w:rPr>
            </w:pPr>
            <w:r>
              <w:rPr>
                <w:rFonts w:ascii="宋体" w:hAnsi="宋体" w:cs="宋体" w:eastAsia="宋体" w:hint="default"/>
                <w:sz w:val="18"/>
                <w:szCs w:val="18"/>
              </w:rPr>
              <w:t>连续</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个月出现下跌。 </w:t>
            </w:r>
          </w:p>
        </w:tc>
      </w:tr>
      <w:tr>
        <w:trPr>
          <w:trHeight w:val="476" w:hRule="exact"/>
        </w:trPr>
        <w:tc>
          <w:tcPr>
            <w:tcW w:w="436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72" w:right="0"/>
              <w:jc w:val="left"/>
              <w:rPr>
                <w:rFonts w:ascii="宋体" w:hAnsi="宋体" w:cs="宋体" w:eastAsia="宋体" w:hint="default"/>
                <w:sz w:val="18"/>
                <w:szCs w:val="18"/>
              </w:rPr>
            </w:pPr>
            <w:r>
              <w:rPr>
                <w:rFonts w:ascii="宋体" w:hAnsi="宋体" w:cs="宋体" w:eastAsia="宋体" w:hint="default"/>
                <w:sz w:val="18"/>
                <w:szCs w:val="18"/>
              </w:rPr>
              <w:t>成本的计算方法 </w:t>
            </w:r>
          </w:p>
        </w:tc>
        <w:tc>
          <w:tcPr>
            <w:tcW w:w="5407" w:type="dxa"/>
            <w:tcBorders>
              <w:top w:val="single" w:sz="4" w:space="0" w:color="000000"/>
              <w:left w:val="single" w:sz="4" w:space="0" w:color="000000"/>
              <w:bottom w:val="single" w:sz="4" w:space="0" w:color="000000"/>
              <w:right w:val="nil" w:sz="6" w:space="0" w:color="auto"/>
            </w:tcBorders>
          </w:tcPr>
          <w:p>
            <w:pPr>
              <w:pStyle w:val="TableParagraph"/>
              <w:spacing w:line="204" w:lineRule="exact"/>
              <w:ind w:left="52" w:right="0"/>
              <w:jc w:val="left"/>
              <w:rPr>
                <w:rFonts w:ascii="宋体" w:hAnsi="宋体" w:cs="宋体" w:eastAsia="宋体" w:hint="default"/>
                <w:sz w:val="18"/>
                <w:szCs w:val="18"/>
              </w:rPr>
            </w:pPr>
            <w:r>
              <w:rPr>
                <w:rFonts w:ascii="宋体" w:hAnsi="宋体" w:cs="宋体" w:eastAsia="宋体" w:hint="default"/>
                <w:spacing w:val="2"/>
                <w:sz w:val="18"/>
                <w:szCs w:val="18"/>
              </w:rPr>
              <w:t>取得时按支付对价（扣除已宣告但尚未发放的现金股利或已到付息</w:t>
            </w:r>
            <w:r>
              <w:rPr>
                <w:rFonts w:ascii="宋体" w:hAnsi="宋体" w:cs="宋体" w:eastAsia="宋体" w:hint="default"/>
                <w:sz w:val="18"/>
                <w:szCs w:val="18"/>
              </w:rPr>
            </w:r>
          </w:p>
          <w:p>
            <w:pPr>
              <w:pStyle w:val="TableParagraph"/>
              <w:spacing w:line="234" w:lineRule="exact"/>
              <w:ind w:left="52" w:right="0"/>
              <w:jc w:val="left"/>
              <w:rPr>
                <w:rFonts w:ascii="宋体" w:hAnsi="宋体" w:cs="宋体" w:eastAsia="宋体" w:hint="default"/>
                <w:sz w:val="18"/>
                <w:szCs w:val="18"/>
              </w:rPr>
            </w:pPr>
            <w:r>
              <w:rPr>
                <w:rFonts w:ascii="宋体" w:hAnsi="宋体" w:cs="宋体" w:eastAsia="宋体" w:hint="default"/>
                <w:sz w:val="18"/>
                <w:szCs w:val="18"/>
              </w:rPr>
              <w:t>期但尚未领取的债券利息）和相关交易费用之和作为投资成本。 </w:t>
            </w:r>
          </w:p>
        </w:tc>
      </w:tr>
      <w:tr>
        <w:trPr>
          <w:trHeight w:val="476" w:hRule="exact"/>
        </w:trPr>
        <w:tc>
          <w:tcPr>
            <w:tcW w:w="436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7"/>
              <w:ind w:left="72" w:right="0"/>
              <w:jc w:val="left"/>
              <w:rPr>
                <w:rFonts w:ascii="宋体" w:hAnsi="宋体" w:cs="宋体" w:eastAsia="宋体" w:hint="default"/>
                <w:sz w:val="18"/>
                <w:szCs w:val="18"/>
              </w:rPr>
            </w:pPr>
            <w:r>
              <w:rPr>
                <w:rFonts w:ascii="宋体" w:hAnsi="宋体" w:cs="宋体" w:eastAsia="宋体" w:hint="default"/>
                <w:sz w:val="18"/>
                <w:szCs w:val="18"/>
              </w:rPr>
              <w:t>期末公允价值的确定方法 </w:t>
            </w:r>
          </w:p>
        </w:tc>
        <w:tc>
          <w:tcPr>
            <w:tcW w:w="5407" w:type="dxa"/>
            <w:tcBorders>
              <w:top w:val="single" w:sz="4" w:space="0" w:color="000000"/>
              <w:left w:val="single" w:sz="4" w:space="0" w:color="000000"/>
              <w:bottom w:val="single" w:sz="4" w:space="0" w:color="000000"/>
              <w:right w:val="nil" w:sz="6" w:space="0" w:color="auto"/>
            </w:tcBorders>
          </w:tcPr>
          <w:p>
            <w:pPr>
              <w:pStyle w:val="TableParagraph"/>
              <w:spacing w:line="205" w:lineRule="exact"/>
              <w:ind w:left="52" w:right="0"/>
              <w:jc w:val="left"/>
              <w:rPr>
                <w:rFonts w:ascii="宋体" w:hAnsi="宋体" w:cs="宋体" w:eastAsia="宋体" w:hint="default"/>
                <w:sz w:val="18"/>
                <w:szCs w:val="18"/>
              </w:rPr>
            </w:pPr>
            <w:r>
              <w:rPr>
                <w:rFonts w:ascii="宋体" w:hAnsi="宋体" w:cs="宋体" w:eastAsia="宋体" w:hint="default"/>
                <w:spacing w:val="2"/>
                <w:sz w:val="18"/>
                <w:szCs w:val="18"/>
              </w:rPr>
              <w:t>存在活跃市场的金融工具，以活跃市场中的报价确定其公允价值；</w:t>
            </w:r>
            <w:r>
              <w:rPr>
                <w:rFonts w:ascii="宋体" w:hAnsi="宋体" w:cs="宋体" w:eastAsia="宋体" w:hint="default"/>
                <w:sz w:val="18"/>
                <w:szCs w:val="18"/>
              </w:rPr>
            </w:r>
          </w:p>
          <w:p>
            <w:pPr>
              <w:pStyle w:val="TableParagraph"/>
              <w:spacing w:line="235" w:lineRule="exact"/>
              <w:ind w:left="52" w:right="0"/>
              <w:jc w:val="left"/>
              <w:rPr>
                <w:rFonts w:ascii="宋体" w:hAnsi="宋体" w:cs="宋体" w:eastAsia="宋体" w:hint="default"/>
                <w:sz w:val="18"/>
                <w:szCs w:val="18"/>
              </w:rPr>
            </w:pPr>
            <w:r>
              <w:rPr>
                <w:rFonts w:ascii="宋体" w:hAnsi="宋体" w:cs="宋体" w:eastAsia="宋体" w:hint="default"/>
                <w:sz w:val="18"/>
                <w:szCs w:val="18"/>
              </w:rPr>
              <w:t>如不存在活跃市场的金融工具，采用估值技术确定其公允价值。 </w:t>
            </w:r>
          </w:p>
        </w:tc>
      </w:tr>
      <w:tr>
        <w:trPr>
          <w:trHeight w:val="488" w:hRule="exact"/>
        </w:trPr>
        <w:tc>
          <w:tcPr>
            <w:tcW w:w="436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7"/>
              <w:ind w:left="72" w:right="0"/>
              <w:jc w:val="left"/>
              <w:rPr>
                <w:rFonts w:ascii="宋体" w:hAnsi="宋体" w:cs="宋体" w:eastAsia="宋体" w:hint="default"/>
                <w:sz w:val="18"/>
                <w:szCs w:val="18"/>
              </w:rPr>
            </w:pPr>
            <w:r>
              <w:rPr>
                <w:rFonts w:ascii="宋体" w:hAnsi="宋体" w:cs="宋体" w:eastAsia="宋体" w:hint="default"/>
                <w:sz w:val="18"/>
                <w:szCs w:val="18"/>
              </w:rPr>
              <w:t>持续下跌期间的确定依据 </w:t>
            </w:r>
          </w:p>
        </w:tc>
        <w:tc>
          <w:tcPr>
            <w:tcW w:w="5407" w:type="dxa"/>
            <w:tcBorders>
              <w:top w:val="single" w:sz="4" w:space="0" w:color="000000"/>
              <w:left w:val="single" w:sz="4" w:space="0" w:color="000000"/>
              <w:bottom w:val="single" w:sz="12" w:space="0" w:color="000000"/>
              <w:right w:val="nil" w:sz="6" w:space="0" w:color="auto"/>
            </w:tcBorders>
          </w:tcPr>
          <w:p>
            <w:pPr>
              <w:pStyle w:val="TableParagraph"/>
              <w:spacing w:line="205" w:lineRule="exact"/>
              <w:ind w:left="52" w:right="0"/>
              <w:jc w:val="left"/>
              <w:rPr>
                <w:rFonts w:ascii="宋体" w:hAnsi="宋体" w:cs="宋体" w:eastAsia="宋体" w:hint="default"/>
                <w:sz w:val="18"/>
                <w:szCs w:val="18"/>
              </w:rPr>
            </w:pPr>
            <w:r>
              <w:rPr>
                <w:rFonts w:ascii="宋体" w:hAnsi="宋体" w:cs="宋体" w:eastAsia="宋体" w:hint="default"/>
                <w:sz w:val="18"/>
                <w:szCs w:val="18"/>
              </w:rPr>
              <w:t>连续下跌或在下跌趋势持续期间反弹上扬幅度低于</w:t>
            </w:r>
            <w:r>
              <w:rPr>
                <w:rFonts w:ascii="宋体" w:hAnsi="宋体" w:cs="宋体" w:eastAsia="宋体" w:hint="default"/>
                <w:spacing w:val="-45"/>
                <w:sz w:val="18"/>
                <w:szCs w:val="18"/>
              </w:rPr>
              <w:t> </w:t>
            </w:r>
            <w:r>
              <w:rPr>
                <w:rFonts w:ascii="宋体" w:hAnsi="宋体" w:cs="宋体" w:eastAsia="宋体" w:hint="default"/>
                <w:spacing w:val="-7"/>
                <w:sz w:val="18"/>
                <w:szCs w:val="18"/>
              </w:rPr>
              <w:t>20%，反弹持续时</w:t>
            </w:r>
          </w:p>
          <w:p>
            <w:pPr>
              <w:pStyle w:val="TableParagraph"/>
              <w:spacing w:line="234" w:lineRule="exact"/>
              <w:ind w:left="52" w:right="0"/>
              <w:jc w:val="left"/>
              <w:rPr>
                <w:rFonts w:ascii="宋体" w:hAnsi="宋体" w:cs="宋体" w:eastAsia="宋体" w:hint="default"/>
                <w:sz w:val="18"/>
                <w:szCs w:val="18"/>
              </w:rPr>
            </w:pPr>
            <w:r>
              <w:rPr>
                <w:rFonts w:ascii="宋体" w:hAnsi="宋体" w:cs="宋体" w:eastAsia="宋体" w:hint="default"/>
                <w:sz w:val="18"/>
                <w:szCs w:val="18"/>
              </w:rPr>
              <w:t>间未超过</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个月的均作为持续下跌期间。 </w:t>
            </w:r>
          </w:p>
        </w:tc>
      </w:tr>
    </w:tbl>
    <w:p>
      <w:pPr>
        <w:pStyle w:val="BodyText"/>
        <w:spacing w:line="241" w:lineRule="exact" w:before="0"/>
        <w:ind w:left="677" w:right="1013"/>
        <w:jc w:val="left"/>
      </w:pPr>
      <w:r>
        <w:rPr/>
        <w:t>4.应收款项 </w:t>
      </w:r>
    </w:p>
    <w:p>
      <w:pPr>
        <w:pStyle w:val="BodyText"/>
        <w:spacing w:line="357" w:lineRule="auto" w:before="133"/>
        <w:ind w:left="254" w:right="1013" w:firstLine="423"/>
        <w:jc w:val="left"/>
      </w:pPr>
      <w:r>
        <w:rPr>
          <w:spacing w:val="-1"/>
        </w:rPr>
        <w:t>本公司应收款项主要包括应收票据及应收账款、长期应收款和其他应收款。在资产负债表日有客观证</w:t>
      </w:r>
      <w:r>
        <w:rPr/>
        <w:t> 据表明其发生了减值的，本公司根据其账面价值与预计未来现金流量现值之间差额确认减值损失。 </w:t>
      </w:r>
    </w:p>
    <w:p>
      <w:pPr>
        <w:pStyle w:val="BodyText"/>
        <w:spacing w:line="355" w:lineRule="auto" w:before="30"/>
        <w:ind w:left="674" w:right="3651"/>
        <w:jc w:val="left"/>
      </w:pPr>
      <w:r>
        <w:rPr/>
        <w:t>（1）单项金额重大并单项计提坏账准备的应收款项 单项金额重大的判断依据或金额标准： </w:t>
      </w:r>
    </w:p>
    <w:p>
      <w:pPr>
        <w:pStyle w:val="BodyText"/>
        <w:spacing w:line="355" w:lineRule="auto" w:before="33"/>
        <w:ind w:left="254" w:right="1115" w:firstLine="420"/>
        <w:jc w:val="left"/>
      </w:pPr>
      <w:r>
        <w:rPr/>
        <w:t>应收账款余额</w:t>
      </w:r>
      <w:r>
        <w:rPr>
          <w:spacing w:val="-59"/>
        </w:rPr>
        <w:t> </w:t>
      </w:r>
      <w:r>
        <w:rPr/>
        <w:t>100</w:t>
      </w:r>
      <w:r>
        <w:rPr>
          <w:spacing w:val="-58"/>
        </w:rPr>
        <w:t> </w:t>
      </w:r>
      <w:r>
        <w:rPr/>
        <w:t>万元（含）以上款项，其他应收款</w:t>
      </w:r>
      <w:r>
        <w:rPr>
          <w:spacing w:val="-59"/>
        </w:rPr>
        <w:t> </w:t>
      </w:r>
      <w:r>
        <w:rPr/>
        <w:t>100</w:t>
      </w:r>
      <w:r>
        <w:rPr>
          <w:spacing w:val="-59"/>
        </w:rPr>
        <w:t> </w:t>
      </w:r>
      <w:r>
        <w:rPr/>
        <w:t>万元（含）以上款项单项金额重大并单独计</w:t>
      </w:r>
      <w:r>
        <w:rPr/>
        <w:t> 提坏账准备的计提方法： </w:t>
      </w:r>
    </w:p>
    <w:p>
      <w:pPr>
        <w:pStyle w:val="BodyText"/>
        <w:spacing w:line="408" w:lineRule="auto" w:before="130"/>
        <w:ind w:left="254" w:right="1013" w:firstLine="420"/>
        <w:jc w:val="left"/>
      </w:pPr>
      <w:r>
        <w:rPr>
          <w:spacing w:val="-1"/>
        </w:rPr>
        <w:t>单独进行减值测试，根据其未来现金流量现值低于其账面价值的差额计提坏账准备；经单独测试未发</w:t>
      </w:r>
      <w:r>
        <w:rPr/>
        <w:t> 生减值的，以账龄为信用风险特征根据账龄分析法计提坏账准备。</w:t>
      </w:r>
    </w:p>
    <w:p>
      <w:pPr>
        <w:pStyle w:val="BodyText"/>
        <w:spacing w:line="224" w:lineRule="exact" w:before="0"/>
        <w:ind w:left="674" w:right="1013"/>
        <w:jc w:val="left"/>
      </w:pPr>
      <w:r>
        <w:rPr/>
        <w:t>（2）按组合计提坏账准备的应收款项 </w:t>
      </w:r>
    </w:p>
    <w:p>
      <w:pPr>
        <w:spacing w:line="240" w:lineRule="auto" w:before="10"/>
        <w:rPr>
          <w:rFonts w:ascii="宋体" w:hAnsi="宋体" w:cs="宋体" w:eastAsia="宋体" w:hint="default"/>
          <w:sz w:val="12"/>
          <w:szCs w:val="12"/>
        </w:rPr>
      </w:pPr>
    </w:p>
    <w:p>
      <w:pPr>
        <w:spacing w:line="30" w:lineRule="exact"/>
        <w:ind w:left="131" w:right="0" w:firstLine="0"/>
        <w:rPr>
          <w:rFonts w:ascii="宋体" w:hAnsi="宋体" w:cs="宋体" w:eastAsia="宋体" w:hint="default"/>
          <w:sz w:val="3"/>
          <w:szCs w:val="3"/>
        </w:rPr>
      </w:pPr>
      <w:r>
        <w:rPr>
          <w:rFonts w:ascii="宋体" w:hAnsi="宋体" w:cs="宋体" w:eastAsia="宋体" w:hint="default"/>
          <w:position w:val="0"/>
          <w:sz w:val="3"/>
          <w:szCs w:val="3"/>
        </w:rPr>
        <w:pict>
          <v:group style="width:494.25pt;height:1.5pt;mso-position-horizontal-relative:char;mso-position-vertical-relative:line" coordorigin="0,0" coordsize="9885,30">
            <v:group style="position:absolute;left:15;top:15;width:9855;height:2" coordorigin="15,15" coordsize="9855,2">
              <v:shape style="position:absolute;left:15;top:15;width:9855;height:2" coordorigin="15,15" coordsize="9855,0" path="m15,15l9869,15e" filled="false" stroked="true" strokeweight="1.5pt" strokecolor="#000000">
                <v:path arrowok="t"/>
              </v:shape>
            </v:group>
          </v:group>
        </w:pict>
      </w:r>
      <w:r>
        <w:rPr>
          <w:rFonts w:ascii="宋体" w:hAnsi="宋体" w:cs="宋体" w:eastAsia="宋体" w:hint="default"/>
          <w:position w:val="0"/>
          <w:sz w:val="3"/>
          <w:szCs w:val="3"/>
        </w:rPr>
      </w:r>
    </w:p>
    <w:p>
      <w:pPr>
        <w:spacing w:before="23"/>
        <w:ind w:left="254" w:right="1013" w:firstLine="0"/>
        <w:jc w:val="left"/>
        <w:rPr>
          <w:rFonts w:ascii="宋体" w:hAnsi="宋体" w:cs="宋体" w:eastAsia="宋体" w:hint="default"/>
          <w:sz w:val="18"/>
          <w:szCs w:val="18"/>
        </w:rPr>
      </w:pPr>
      <w:r>
        <w:rPr>
          <w:rFonts w:ascii="宋体" w:hAnsi="宋体" w:cs="宋体" w:eastAsia="宋体" w:hint="default"/>
          <w:sz w:val="18"/>
          <w:szCs w:val="18"/>
        </w:rPr>
        <w:t>确定组合的依据 </w:t>
      </w:r>
    </w:p>
    <w:p>
      <w:pPr>
        <w:spacing w:line="240" w:lineRule="auto" w:before="3"/>
        <w:rPr>
          <w:rFonts w:ascii="宋体" w:hAnsi="宋体" w:cs="宋体" w:eastAsia="宋体" w:hint="default"/>
          <w:sz w:val="6"/>
          <w:szCs w:val="6"/>
        </w:rPr>
      </w:pPr>
    </w:p>
    <w:tbl>
      <w:tblPr>
        <w:tblW w:w="0" w:type="auto"/>
        <w:jc w:val="left"/>
        <w:tblInd w:w="141" w:type="dxa"/>
        <w:tblLayout w:type="fixed"/>
        <w:tblCellMar>
          <w:top w:w="0" w:type="dxa"/>
          <w:left w:w="0" w:type="dxa"/>
          <w:bottom w:w="0" w:type="dxa"/>
          <w:right w:w="0" w:type="dxa"/>
        </w:tblCellMar>
        <w:tblLook w:val="01E0"/>
      </w:tblPr>
      <w:tblGrid>
        <w:gridCol w:w="3967"/>
        <w:gridCol w:w="5887"/>
      </w:tblGrid>
      <w:tr>
        <w:trPr>
          <w:trHeight w:val="476" w:hRule="exact"/>
        </w:trPr>
        <w:tc>
          <w:tcPr>
            <w:tcW w:w="39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468"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1 </w:t>
            </w:r>
          </w:p>
        </w:tc>
        <w:tc>
          <w:tcPr>
            <w:tcW w:w="5887" w:type="dxa"/>
            <w:tcBorders>
              <w:top w:val="single" w:sz="4" w:space="0" w:color="000000"/>
              <w:left w:val="single" w:sz="4" w:space="0" w:color="000000"/>
              <w:bottom w:val="single" w:sz="4" w:space="0" w:color="000000"/>
              <w:right w:val="nil" w:sz="6" w:space="0" w:color="auto"/>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无明显减值迹象的应收款项</w:t>
            </w:r>
            <w:r>
              <w:rPr>
                <w:rFonts w:ascii="宋体" w:hAnsi="宋体" w:cs="宋体" w:eastAsia="宋体" w:hint="default"/>
                <w:spacing w:val="-89"/>
                <w:sz w:val="18"/>
                <w:szCs w:val="18"/>
              </w:rPr>
              <w:t>，</w:t>
            </w:r>
            <w:r>
              <w:rPr>
                <w:rFonts w:ascii="宋体" w:hAnsi="宋体" w:cs="宋体" w:eastAsia="宋体" w:hint="default"/>
                <w:sz w:val="18"/>
                <w:szCs w:val="18"/>
              </w:rPr>
              <w:t>相同账龄的应收款项具有类似信用风险的特</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征 </w:t>
            </w:r>
          </w:p>
        </w:tc>
      </w:tr>
      <w:tr>
        <w:trPr>
          <w:trHeight w:val="350" w:hRule="exact"/>
        </w:trPr>
        <w:tc>
          <w:tcPr>
            <w:tcW w:w="39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468"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2 </w:t>
            </w:r>
          </w:p>
        </w:tc>
        <w:tc>
          <w:tcPr>
            <w:tcW w:w="58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受本公司控制的子公司的应收款项不计提坏账准备 </w:t>
            </w:r>
          </w:p>
        </w:tc>
      </w:tr>
    </w:tbl>
    <w:p>
      <w:pPr>
        <w:spacing w:before="22"/>
        <w:ind w:left="254" w:right="1013"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按组合计提坏账准备的计提方法（账龄分析法、余额百分比法、其他方法）</w:t>
      </w:r>
      <w:r>
        <w:rPr>
          <w:rFonts w:ascii="宋体" w:hAnsi="宋体" w:cs="宋体" w:eastAsia="宋体" w:hint="default"/>
          <w:color w:val="3333FF"/>
          <w:sz w:val="18"/>
          <w:szCs w:val="18"/>
        </w:rPr>
        <w:t> </w:t>
      </w:r>
      <w:r>
        <w:rPr>
          <w:rFonts w:ascii="宋体" w:hAnsi="宋体" w:cs="宋体" w:eastAsia="宋体" w:hint="default"/>
          <w:sz w:val="18"/>
          <w:szCs w:val="18"/>
        </w:rPr>
      </w:r>
    </w:p>
    <w:p>
      <w:pPr>
        <w:spacing w:line="240" w:lineRule="auto" w:before="3"/>
        <w:rPr>
          <w:rFonts w:ascii="宋体" w:hAnsi="宋体" w:cs="宋体" w:eastAsia="宋体" w:hint="default"/>
          <w:sz w:val="6"/>
          <w:szCs w:val="6"/>
        </w:rPr>
      </w:pPr>
    </w:p>
    <w:p>
      <w:pPr>
        <w:spacing w:line="380" w:lineRule="exact"/>
        <w:ind w:left="116"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94.95pt;height:19.05pt;mso-position-horizontal-relative:char;mso-position-vertical-relative:line" coordorigin="0,0" coordsize="9899,381">
            <v:group style="position:absolute;left:29;top:5;width:9855;height:2" coordorigin="29,5" coordsize="9855,2">
              <v:shape style="position:absolute;left:29;top:5;width:9855;height:2" coordorigin="29,5" coordsize="9855,0" path="m29,5l9884,5e" filled="false" stroked="true" strokeweight=".47998pt" strokecolor="#000000">
                <v:path arrowok="t"/>
              </v:shape>
            </v:group>
            <v:group style="position:absolute;left:15;top:365;width:3977;height:2" coordorigin="15,365" coordsize="3977,2">
              <v:shape style="position:absolute;left:15;top:365;width:3977;height:2" coordorigin="15,365" coordsize="3977,0" path="m15,365l3992,365e" filled="false" stroked="true" strokeweight="1.5pt" strokecolor="#000000">
                <v:path arrowok="t"/>
              </v:shape>
            </v:group>
            <v:group style="position:absolute;left:3997;top:10;width:2;height:341" coordorigin="3997,10" coordsize="2,341">
              <v:shape style="position:absolute;left:3997;top:10;width:2;height:341" coordorigin="3997,10" coordsize="0,341" path="m3997,10l3997,350e" filled="false" stroked="true" strokeweight=".48pt" strokecolor="#000000">
                <v:path arrowok="t"/>
              </v:shape>
            </v:group>
            <v:group style="position:absolute;left:3992;top:365;width:5892;height:2" coordorigin="3992,365" coordsize="5892,2">
              <v:shape style="position:absolute;left:3992;top:365;width:5892;height:2" coordorigin="3992,365" coordsize="5892,0" path="m3992,365l9884,365e" filled="false" stroked="true" strokeweight="1.5pt" strokecolor="#000000">
                <v:path arrowok="t"/>
              </v:shape>
              <v:shape style="position:absolute;left:497;top:89;width:5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1 </w:t>
                      </w:r>
                    </w:p>
                  </w:txbxContent>
                </v:textbox>
                <w10:wrap type="none"/>
              </v:shape>
              <v:shape style="position:absolute;left:4105;top:89;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账龄分析法 </w:t>
                      </w:r>
                    </w:p>
                  </w:txbxContent>
                </v:textbox>
                <w10:wrap type="none"/>
              </v:shape>
            </v:group>
          </v:group>
        </w:pict>
      </w:r>
      <w:r>
        <w:rPr>
          <w:rFonts w:ascii="宋体" w:hAnsi="宋体" w:cs="宋体" w:eastAsia="宋体" w:hint="default"/>
          <w:position w:val="-7"/>
          <w:sz w:val="20"/>
          <w:szCs w:val="20"/>
        </w:rPr>
      </w:r>
    </w:p>
    <w:p>
      <w:pPr>
        <w:spacing w:after="0" w:line="380" w:lineRule="exact"/>
        <w:rPr>
          <w:rFonts w:ascii="宋体" w:hAnsi="宋体" w:cs="宋体" w:eastAsia="宋体" w:hint="default"/>
          <w:sz w:val="20"/>
          <w:szCs w:val="20"/>
        </w:rPr>
        <w:sectPr>
          <w:pgSz w:w="11910" w:h="16840"/>
          <w:pgMar w:header="877" w:footer="982" w:top="1100" w:bottom="1180" w:left="880" w:right="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before="44"/>
        <w:ind w:left="613" w:right="1013" w:firstLine="0"/>
        <w:jc w:val="left"/>
        <w:rPr>
          <w:rFonts w:ascii="宋体" w:hAnsi="宋体" w:cs="宋体" w:eastAsia="宋体" w:hint="default"/>
          <w:sz w:val="18"/>
          <w:szCs w:val="18"/>
        </w:rPr>
      </w:pPr>
      <w:r>
        <w:rPr>
          <w:rFonts w:ascii="宋体" w:hAnsi="宋体" w:cs="宋体" w:eastAsia="宋体" w:hint="default"/>
          <w:sz w:val="18"/>
          <w:szCs w:val="18"/>
        </w:rPr>
        <w:t>组合中，采用账龄分析法计提坏账准备的情况：</w:t>
      </w:r>
    </w:p>
    <w:p>
      <w:pPr>
        <w:spacing w:line="240" w:lineRule="auto" w:before="0"/>
        <w:rPr>
          <w:rFonts w:ascii="宋体" w:hAnsi="宋体" w:cs="宋体" w:eastAsia="宋体" w:hint="default"/>
          <w:sz w:val="14"/>
          <w:szCs w:val="14"/>
        </w:rPr>
      </w:pPr>
    </w:p>
    <w:tbl>
      <w:tblPr>
        <w:tblW w:w="0" w:type="auto"/>
        <w:jc w:val="left"/>
        <w:tblInd w:w="116" w:type="dxa"/>
        <w:tblLayout w:type="fixed"/>
        <w:tblCellMar>
          <w:top w:w="0" w:type="dxa"/>
          <w:left w:w="0" w:type="dxa"/>
          <w:bottom w:w="0" w:type="dxa"/>
          <w:right w:w="0" w:type="dxa"/>
        </w:tblCellMar>
        <w:tblLook w:val="01E0"/>
      </w:tblPr>
      <w:tblGrid>
        <w:gridCol w:w="3964"/>
        <w:gridCol w:w="2953"/>
        <w:gridCol w:w="2952"/>
      </w:tblGrid>
      <w:tr>
        <w:trPr>
          <w:trHeight w:val="361" w:hRule="exact"/>
        </w:trPr>
        <w:tc>
          <w:tcPr>
            <w:tcW w:w="396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3"/>
              <w:ind w:left="107" w:right="0"/>
              <w:jc w:val="center"/>
              <w:rPr>
                <w:rFonts w:ascii="宋体" w:hAnsi="宋体" w:cs="宋体" w:eastAsia="宋体" w:hint="default"/>
                <w:sz w:val="18"/>
                <w:szCs w:val="18"/>
              </w:rPr>
            </w:pPr>
            <w:r>
              <w:rPr>
                <w:rFonts w:ascii="宋体" w:hAnsi="宋体" w:cs="宋体" w:eastAsia="宋体" w:hint="default"/>
                <w:sz w:val="18"/>
                <w:szCs w:val="18"/>
              </w:rPr>
              <w:t>账龄 </w:t>
            </w:r>
          </w:p>
        </w:tc>
        <w:tc>
          <w:tcPr>
            <w:tcW w:w="295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3"/>
              <w:ind w:left="90" w:right="0"/>
              <w:jc w:val="center"/>
              <w:rPr>
                <w:rFonts w:ascii="宋体" w:hAnsi="宋体" w:cs="宋体" w:eastAsia="宋体" w:hint="default"/>
                <w:sz w:val="18"/>
                <w:szCs w:val="18"/>
              </w:rPr>
            </w:pPr>
            <w:r>
              <w:rPr>
                <w:rFonts w:ascii="宋体" w:hAnsi="宋体" w:cs="宋体" w:eastAsia="宋体" w:hint="default"/>
                <w:sz w:val="18"/>
                <w:szCs w:val="18"/>
              </w:rPr>
              <w:t>应收账款计提比例（%） </w:t>
            </w:r>
          </w:p>
        </w:tc>
        <w:tc>
          <w:tcPr>
            <w:tcW w:w="295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3"/>
              <w:ind w:left="84" w:right="0"/>
              <w:jc w:val="center"/>
              <w:rPr>
                <w:rFonts w:ascii="宋体" w:hAnsi="宋体" w:cs="宋体" w:eastAsia="宋体" w:hint="default"/>
                <w:sz w:val="18"/>
                <w:szCs w:val="18"/>
              </w:rPr>
            </w:pPr>
            <w:r>
              <w:rPr>
                <w:rFonts w:ascii="宋体" w:hAnsi="宋体" w:cs="宋体" w:eastAsia="宋体" w:hint="default"/>
                <w:sz w:val="18"/>
                <w:szCs w:val="18"/>
              </w:rPr>
              <w:t>其他应收款计提比例（%） </w:t>
            </w:r>
          </w:p>
        </w:tc>
      </w:tr>
      <w:tr>
        <w:trPr>
          <w:trHeight w:val="349" w:hRule="exact"/>
        </w:trPr>
        <w:tc>
          <w:tcPr>
            <w:tcW w:w="39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年，以下同） </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center"/>
              <w:rPr>
                <w:rFonts w:ascii="Arial" w:hAnsi="Arial" w:cs="Arial" w:eastAsia="Arial" w:hint="default"/>
                <w:sz w:val="18"/>
                <w:szCs w:val="18"/>
              </w:rPr>
            </w:pPr>
            <w:r>
              <w:rPr>
                <w:rFonts w:ascii="Arial"/>
                <w:w w:val="90"/>
                <w:sz w:val="18"/>
              </w:rPr>
              <w:t>2.00</w:t>
            </w:r>
            <w:r>
              <w:rPr>
                <w:rFonts w:ascii="Arial"/>
                <w:sz w:val="18"/>
              </w:rPr>
            </w:r>
          </w:p>
        </w:tc>
        <w:tc>
          <w:tcPr>
            <w:tcW w:w="29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right="5"/>
              <w:jc w:val="center"/>
              <w:rPr>
                <w:rFonts w:ascii="Arial" w:hAnsi="Arial" w:cs="Arial" w:eastAsia="Arial" w:hint="default"/>
                <w:sz w:val="18"/>
                <w:szCs w:val="18"/>
              </w:rPr>
            </w:pPr>
            <w:r>
              <w:rPr>
                <w:rFonts w:ascii="Arial"/>
                <w:w w:val="90"/>
                <w:sz w:val="18"/>
              </w:rPr>
              <w:t>2.00</w:t>
            </w:r>
            <w:r>
              <w:rPr>
                <w:rFonts w:ascii="Arial"/>
                <w:sz w:val="18"/>
              </w:rPr>
            </w:r>
          </w:p>
        </w:tc>
      </w:tr>
      <w:tr>
        <w:trPr>
          <w:trHeight w:val="350" w:hRule="exact"/>
        </w:trPr>
        <w:tc>
          <w:tcPr>
            <w:tcW w:w="39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0.5-1</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center"/>
              <w:rPr>
                <w:rFonts w:ascii="Arial" w:hAnsi="Arial" w:cs="Arial" w:eastAsia="Arial" w:hint="default"/>
                <w:sz w:val="18"/>
                <w:szCs w:val="18"/>
              </w:rPr>
            </w:pPr>
            <w:r>
              <w:rPr>
                <w:rFonts w:ascii="Arial"/>
                <w:w w:val="90"/>
                <w:sz w:val="18"/>
              </w:rPr>
              <w:t>5.00</w:t>
            </w:r>
            <w:r>
              <w:rPr>
                <w:rFonts w:ascii="Arial"/>
                <w:sz w:val="18"/>
              </w:rPr>
            </w:r>
          </w:p>
        </w:tc>
        <w:tc>
          <w:tcPr>
            <w:tcW w:w="29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5"/>
              <w:jc w:val="center"/>
              <w:rPr>
                <w:rFonts w:ascii="Arial" w:hAnsi="Arial" w:cs="Arial" w:eastAsia="Arial" w:hint="default"/>
                <w:sz w:val="18"/>
                <w:szCs w:val="18"/>
              </w:rPr>
            </w:pPr>
            <w:r>
              <w:rPr>
                <w:rFonts w:ascii="Arial"/>
                <w:w w:val="90"/>
                <w:sz w:val="18"/>
              </w:rPr>
              <w:t>5.00</w:t>
            </w:r>
            <w:r>
              <w:rPr>
                <w:rFonts w:ascii="Arial"/>
                <w:sz w:val="18"/>
              </w:rPr>
            </w:r>
          </w:p>
        </w:tc>
      </w:tr>
      <w:tr>
        <w:trPr>
          <w:trHeight w:val="350" w:hRule="exact"/>
        </w:trPr>
        <w:tc>
          <w:tcPr>
            <w:tcW w:w="39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center"/>
              <w:rPr>
                <w:rFonts w:ascii="Arial" w:hAnsi="Arial" w:cs="Arial" w:eastAsia="Arial" w:hint="default"/>
                <w:sz w:val="18"/>
                <w:szCs w:val="18"/>
              </w:rPr>
            </w:pPr>
            <w:r>
              <w:rPr>
                <w:rFonts w:ascii="Arial"/>
                <w:w w:val="90"/>
                <w:sz w:val="18"/>
              </w:rPr>
              <w:t>10.00</w:t>
            </w:r>
            <w:r>
              <w:rPr>
                <w:rFonts w:ascii="Arial"/>
                <w:sz w:val="18"/>
              </w:rPr>
            </w:r>
          </w:p>
        </w:tc>
        <w:tc>
          <w:tcPr>
            <w:tcW w:w="29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3"/>
              <w:jc w:val="center"/>
              <w:rPr>
                <w:rFonts w:ascii="Arial" w:hAnsi="Arial" w:cs="Arial" w:eastAsia="Arial" w:hint="default"/>
                <w:sz w:val="18"/>
                <w:szCs w:val="18"/>
              </w:rPr>
            </w:pPr>
            <w:r>
              <w:rPr>
                <w:rFonts w:ascii="Arial"/>
                <w:w w:val="90"/>
                <w:sz w:val="18"/>
              </w:rPr>
              <w:t>10.00</w:t>
            </w:r>
            <w:r>
              <w:rPr>
                <w:rFonts w:ascii="Arial"/>
                <w:sz w:val="18"/>
              </w:rPr>
            </w:r>
          </w:p>
        </w:tc>
      </w:tr>
      <w:tr>
        <w:trPr>
          <w:trHeight w:val="349" w:hRule="exact"/>
        </w:trPr>
        <w:tc>
          <w:tcPr>
            <w:tcW w:w="39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Arial" w:hAnsi="Arial" w:cs="Arial" w:eastAsia="Arial" w:hint="default"/>
                <w:sz w:val="18"/>
                <w:szCs w:val="18"/>
              </w:rPr>
            </w:pPr>
            <w:r>
              <w:rPr>
                <w:rFonts w:ascii="Arial"/>
                <w:w w:val="90"/>
                <w:sz w:val="18"/>
              </w:rPr>
              <w:t>30.00</w:t>
            </w:r>
            <w:r>
              <w:rPr>
                <w:rFonts w:ascii="Arial"/>
                <w:sz w:val="18"/>
              </w:rPr>
            </w:r>
          </w:p>
        </w:tc>
        <w:tc>
          <w:tcPr>
            <w:tcW w:w="29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right="3"/>
              <w:jc w:val="center"/>
              <w:rPr>
                <w:rFonts w:ascii="Arial" w:hAnsi="Arial" w:cs="Arial" w:eastAsia="Arial" w:hint="default"/>
                <w:sz w:val="18"/>
                <w:szCs w:val="18"/>
              </w:rPr>
            </w:pPr>
            <w:r>
              <w:rPr>
                <w:rFonts w:ascii="Arial"/>
                <w:w w:val="90"/>
                <w:sz w:val="18"/>
              </w:rPr>
              <w:t>30.00</w:t>
            </w:r>
            <w:r>
              <w:rPr>
                <w:rFonts w:ascii="Arial"/>
                <w:sz w:val="18"/>
              </w:rPr>
            </w:r>
          </w:p>
        </w:tc>
      </w:tr>
      <w:tr>
        <w:trPr>
          <w:trHeight w:val="361" w:hRule="exact"/>
        </w:trPr>
        <w:tc>
          <w:tcPr>
            <w:tcW w:w="396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 </w:t>
            </w:r>
          </w:p>
        </w:tc>
        <w:tc>
          <w:tcPr>
            <w:tcW w:w="295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4"/>
              <w:ind w:right="0"/>
              <w:jc w:val="center"/>
              <w:rPr>
                <w:rFonts w:ascii="Arial" w:hAnsi="Arial" w:cs="Arial" w:eastAsia="Arial" w:hint="default"/>
                <w:sz w:val="18"/>
                <w:szCs w:val="18"/>
              </w:rPr>
            </w:pPr>
            <w:r>
              <w:rPr>
                <w:rFonts w:ascii="Arial"/>
                <w:w w:val="90"/>
                <w:sz w:val="18"/>
              </w:rPr>
              <w:t>100.00</w:t>
            </w:r>
            <w:r>
              <w:rPr>
                <w:rFonts w:ascii="Arial"/>
                <w:sz w:val="18"/>
              </w:rPr>
            </w:r>
          </w:p>
        </w:tc>
        <w:tc>
          <w:tcPr>
            <w:tcW w:w="295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64"/>
              <w:ind w:right="4"/>
              <w:jc w:val="center"/>
              <w:rPr>
                <w:rFonts w:ascii="Arial" w:hAnsi="Arial" w:cs="Arial" w:eastAsia="Arial" w:hint="default"/>
                <w:sz w:val="18"/>
                <w:szCs w:val="18"/>
              </w:rPr>
            </w:pPr>
            <w:r>
              <w:rPr>
                <w:rFonts w:ascii="Arial"/>
                <w:w w:val="90"/>
                <w:sz w:val="18"/>
              </w:rPr>
              <w:t>100.00</w:t>
            </w:r>
            <w:r>
              <w:rPr>
                <w:rFonts w:ascii="Arial"/>
                <w:sz w:val="18"/>
              </w:rPr>
            </w:r>
          </w:p>
        </w:tc>
      </w:tr>
    </w:tbl>
    <w:p>
      <w:pPr>
        <w:pStyle w:val="BodyText"/>
        <w:spacing w:line="324" w:lineRule="auto" w:before="63"/>
        <w:ind w:left="674" w:right="1013"/>
        <w:jc w:val="left"/>
      </w:pPr>
      <w:r>
        <w:rPr/>
        <w:t>（3）单项金额虽不重大但单项计提坏账准备的应收款项 </w:t>
      </w:r>
      <w:r>
        <w:rPr>
          <w:spacing w:val="-1"/>
        </w:rPr>
        <w:t>单项计提坏账准备的理由：有客观证据表明可能发生了减值，如债务人出现撤销、破产或死亡，以其</w:t>
      </w:r>
    </w:p>
    <w:p>
      <w:pPr>
        <w:pStyle w:val="BodyText"/>
        <w:spacing w:line="357" w:lineRule="auto" w:before="59"/>
        <w:ind w:left="674" w:right="1090" w:hanging="420"/>
        <w:jc w:val="left"/>
      </w:pPr>
      <w:r>
        <w:rPr/>
        <w:t>破产财产或遗产清偿后，仍不能收回、现金流量严重不足等情况的。 坏账准备的计提方法：对有客观证据表明可能发生了减值的应收款项，将其从相关组合中分离出来，</w:t>
      </w:r>
    </w:p>
    <w:p>
      <w:pPr>
        <w:pStyle w:val="BodyText"/>
        <w:spacing w:line="357" w:lineRule="auto" w:before="30"/>
        <w:ind w:left="674" w:right="1013" w:hanging="420"/>
        <w:jc w:val="left"/>
      </w:pPr>
      <w:r>
        <w:rPr/>
        <w:t>单独进行减值测试，确认减值损失。 </w:t>
      </w:r>
      <w:r>
        <w:rPr>
          <w:spacing w:val="-1"/>
        </w:rPr>
        <w:t>对于单独测试后未减值的内部应收款项（公司与控股子公司之间的往来，包括单项金额重大的和非重</w:t>
      </w:r>
    </w:p>
    <w:p>
      <w:pPr>
        <w:pStyle w:val="BodyText"/>
        <w:spacing w:line="441" w:lineRule="auto" w:before="30"/>
        <w:ind w:left="674" w:right="1013" w:hanging="420"/>
        <w:jc w:val="left"/>
      </w:pPr>
      <w:r>
        <w:rPr/>
        <w:t>大的），不计提坏账准备。 </w:t>
      </w:r>
      <w:r>
        <w:rPr>
          <w:spacing w:val="-1"/>
        </w:rPr>
        <w:t>对应收票据、预付款项、应收利息、长期应收款等其他应收款项，根据其未来现金流量现值低于其账</w:t>
      </w:r>
    </w:p>
    <w:p>
      <w:pPr>
        <w:pStyle w:val="BodyText"/>
        <w:spacing w:line="240" w:lineRule="auto" w:before="17"/>
        <w:ind w:left="254" w:right="1013"/>
        <w:jc w:val="left"/>
      </w:pPr>
      <w:r>
        <w:rPr/>
        <w:t>面价值的差额计提坏账准备。</w:t>
      </w:r>
    </w:p>
    <w:p>
      <w:pPr>
        <w:spacing w:line="240" w:lineRule="auto" w:before="0"/>
        <w:rPr>
          <w:rFonts w:ascii="宋体" w:hAnsi="宋体" w:cs="宋体" w:eastAsia="宋体" w:hint="default"/>
          <w:sz w:val="20"/>
          <w:szCs w:val="20"/>
        </w:rPr>
      </w:pPr>
    </w:p>
    <w:p>
      <w:pPr>
        <w:pStyle w:val="Heading4"/>
        <w:spacing w:line="240" w:lineRule="auto" w:before="154"/>
        <w:ind w:left="253" w:right="1013"/>
        <w:jc w:val="left"/>
        <w:rPr>
          <w:b w:val="0"/>
          <w:bCs w:val="0"/>
        </w:rPr>
      </w:pPr>
      <w:r>
        <w:rPr>
          <w:rFonts w:ascii="Times New Roman" w:hAnsi="Times New Roman" w:cs="Times New Roman" w:eastAsia="Times New Roman" w:hint="default"/>
        </w:rPr>
        <w:t>13</w:t>
      </w:r>
      <w:r>
        <w:rPr/>
        <w:t>、存货</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673" w:right="1013"/>
        <w:jc w:val="left"/>
      </w:pPr>
      <w:r>
        <w:rPr/>
        <w:t>1.存货的分类 </w:t>
      </w:r>
      <w:r>
        <w:rPr>
          <w:spacing w:val="-6"/>
        </w:rPr>
        <w:t>存货分类为：原材料、包装物、低值易耗品、在产品、库存商品、发出商品、委托加工物资等七大类。</w:t>
      </w:r>
      <w:r>
        <w:rPr>
          <w:spacing w:val="-67"/>
        </w:rPr>
        <w:t> </w:t>
      </w:r>
      <w:r>
        <w:rPr/>
        <w:t>2.发出存货的计价方法 </w:t>
      </w:r>
    </w:p>
    <w:p>
      <w:pPr>
        <w:pStyle w:val="BodyText"/>
        <w:spacing w:line="408" w:lineRule="auto"/>
        <w:ind w:left="673" w:right="3651"/>
        <w:jc w:val="left"/>
      </w:pPr>
      <w:r>
        <w:rPr/>
        <w:t>存货取得按照成本进行初始计量；存货发出按照加权平均法进行核算。 3.</w:t>
      </w:r>
      <w:r>
        <w:rPr>
          <w:spacing w:val="-2"/>
        </w:rPr>
        <w:t> </w:t>
      </w:r>
      <w:r>
        <w:rPr/>
        <w:t>不同类别存货可变现净值的确定依据 </w:t>
      </w:r>
    </w:p>
    <w:p>
      <w:pPr>
        <w:pStyle w:val="BodyText"/>
        <w:spacing w:line="408" w:lineRule="auto"/>
        <w:ind w:left="253" w:right="1131" w:firstLine="420"/>
        <w:jc w:val="both"/>
      </w:pPr>
      <w:r>
        <w:rPr>
          <w:spacing w:val="-1"/>
        </w:rPr>
        <w:t>产成品、库存商品和用于出售的材料等直接用于出售的商品存货，在正常生产经营过程中，以该存货</w:t>
      </w:r>
      <w:r>
        <w:rPr/>
        <w:t> </w:t>
      </w:r>
      <w:r>
        <w:rPr>
          <w:spacing w:val="-1"/>
        </w:rPr>
        <w:t>的估计售价减去估计的销售费用和相关税费后的金额，确定其可变现净值；需要经过加工的材料存货，在</w:t>
      </w:r>
      <w:r>
        <w:rPr>
          <w:spacing w:val="-83"/>
        </w:rPr>
        <w:t> </w:t>
      </w:r>
      <w:r>
        <w:rPr>
          <w:spacing w:val="-83"/>
        </w:rPr>
      </w:r>
      <w:r>
        <w:rPr>
          <w:spacing w:val="-1"/>
        </w:rPr>
        <w:t>正常生产经营过程中，以所生产的产成品的估计售价减去至完工时估计将要发生的成本、估计的销售费用</w:t>
      </w:r>
      <w:r>
        <w:rPr>
          <w:spacing w:val="-81"/>
        </w:rPr>
        <w:t> </w:t>
      </w:r>
      <w:r>
        <w:rPr>
          <w:spacing w:val="-81"/>
        </w:rPr>
      </w:r>
      <w:r>
        <w:rPr>
          <w:spacing w:val="-1"/>
        </w:rPr>
        <w:t>和相关税费后的金额，确定其可变现净值；为执行销售合同或者劳务合同而持有的存货，其可变现净值以</w:t>
      </w:r>
      <w:r>
        <w:rPr>
          <w:spacing w:val="-83"/>
        </w:rPr>
        <w:t> </w:t>
      </w:r>
      <w:r>
        <w:rPr>
          <w:spacing w:val="-83"/>
        </w:rPr>
      </w:r>
      <w:r>
        <w:rPr>
          <w:spacing w:val="-1"/>
        </w:rPr>
        <w:t>合同价格为基础计算，若持有存货的数量多于销售合同订购数量的，超出部分的存货的可变现净值以一般</w:t>
      </w:r>
      <w:r>
        <w:rPr>
          <w:spacing w:val="-81"/>
        </w:rPr>
        <w:t> </w:t>
      </w:r>
      <w:r>
        <w:rPr>
          <w:spacing w:val="-81"/>
        </w:rPr>
      </w:r>
      <w:r>
        <w:rPr>
          <w:spacing w:val="-1"/>
        </w:rPr>
        <w:t>销售价格为基础计算。期末按照单个存货项目计提存货跌价准备；但对于数量繁多、单价较低的存货，按</w:t>
      </w:r>
      <w:r>
        <w:rPr>
          <w:spacing w:val="-82"/>
        </w:rPr>
        <w:t> </w:t>
      </w:r>
      <w:r>
        <w:rPr>
          <w:spacing w:val="-82"/>
        </w:rPr>
      </w:r>
      <w:r>
        <w:rPr>
          <w:spacing w:val="-1"/>
        </w:rPr>
        <w:t>照存货类别计提存货跌价准备；与在同一地区生产和销售的产品系列相关、具有相同或类似最终用途或目</w:t>
      </w:r>
      <w:r>
        <w:rPr>
          <w:spacing w:val="-81"/>
        </w:rPr>
        <w:t> </w:t>
      </w:r>
      <w:r>
        <w:rPr>
          <w:spacing w:val="-81"/>
        </w:rPr>
      </w:r>
      <w:r>
        <w:rPr/>
        <w:t>的，且难以与其他项目分开计量的存货，则合并计提存货跌价准备。 </w:t>
      </w:r>
    </w:p>
    <w:p>
      <w:pPr>
        <w:spacing w:after="0" w:line="408" w:lineRule="auto"/>
        <w:jc w:val="both"/>
        <w:sectPr>
          <w:pgSz w:w="11910" w:h="16840"/>
          <w:pgMar w:header="877" w:footer="982" w:top="1100" w:bottom="1180" w:left="880" w:right="0"/>
        </w:sectPr>
      </w:pPr>
    </w:p>
    <w:p>
      <w:pPr>
        <w:spacing w:line="240" w:lineRule="auto" w:before="8"/>
        <w:rPr>
          <w:rFonts w:ascii="宋体" w:hAnsi="宋体" w:cs="宋体" w:eastAsia="宋体" w:hint="default"/>
          <w:sz w:val="26"/>
          <w:szCs w:val="26"/>
        </w:rPr>
      </w:pPr>
    </w:p>
    <w:p>
      <w:pPr>
        <w:pStyle w:val="BodyText"/>
        <w:spacing w:line="408" w:lineRule="auto" w:before="35"/>
        <w:ind w:right="1117" w:firstLine="420"/>
        <w:jc w:val="left"/>
      </w:pPr>
      <w:r>
        <w:rPr>
          <w:spacing w:val="-1"/>
        </w:rPr>
        <w:t>除有明确证据表明资产负债表日市场价格异常外，存货项目的可变现净值以资产负债表日市场价格为</w:t>
      </w:r>
      <w:r>
        <w:rPr/>
        <w:t> 基础确定。 </w:t>
      </w:r>
    </w:p>
    <w:p>
      <w:pPr>
        <w:pStyle w:val="BodyText"/>
        <w:spacing w:line="408" w:lineRule="auto"/>
        <w:ind w:left="574" w:right="2650"/>
        <w:jc w:val="left"/>
      </w:pPr>
      <w:r>
        <w:rPr/>
        <w:t>本期期末存货项目的可变现净值以资产负债表日市场价格为基础确定。 4.存货的盘存制度 </w:t>
      </w:r>
    </w:p>
    <w:p>
      <w:pPr>
        <w:pStyle w:val="BodyText"/>
        <w:spacing w:line="408" w:lineRule="auto"/>
        <w:ind w:left="574" w:right="5530"/>
        <w:jc w:val="left"/>
      </w:pPr>
      <w:r>
        <w:rPr/>
        <w:t>本公司的存货盘存制度为永续盘存制。 5.低值易耗品和包装物的摊销方法 </w:t>
      </w:r>
    </w:p>
    <w:p>
      <w:pPr>
        <w:pStyle w:val="BodyText"/>
        <w:spacing w:line="240" w:lineRule="auto"/>
        <w:ind w:left="574" w:right="0"/>
        <w:jc w:val="left"/>
      </w:pPr>
      <w:r>
        <w:rPr/>
        <w:t>（1）低值易耗品采用一次转销法；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（2）包装物采用一次转销法。 </w:t>
      </w:r>
    </w:p>
    <w:p>
      <w:pPr>
        <w:spacing w:line="670" w:lineRule="atLeast" w:before="37"/>
        <w:ind w:left="573" w:right="2650"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、持有待售资产</w:t>
      </w:r>
      <w:r>
        <w:rPr>
          <w:rFonts w:ascii="宋体" w:hAnsi="宋体" w:cs="宋体" w:eastAsia="宋体" w:hint="default"/>
          <w:b/>
          <w:bCs/>
          <w:spacing w:val="1"/>
          <w:w w:val="99"/>
          <w:sz w:val="21"/>
          <w:szCs w:val="21"/>
        </w:rPr>
        <w:t> </w:t>
      </w:r>
      <w:r>
        <w:rPr>
          <w:rFonts w:ascii="宋体" w:hAnsi="宋体" w:cs="宋体" w:eastAsia="宋体" w:hint="default"/>
          <w:sz w:val="21"/>
          <w:szCs w:val="21"/>
        </w:rPr>
        <w:t>本公司将同时满足下列条件的非流动资产或处置组划分为持有待售类别： </w:t>
      </w:r>
    </w:p>
    <w:p>
      <w:pPr>
        <w:spacing w:line="240" w:lineRule="auto" w:before="10"/>
        <w:rPr>
          <w:rFonts w:ascii="宋体" w:hAnsi="宋体" w:cs="宋体" w:eastAsia="宋体" w:hint="default"/>
          <w:sz w:val="14"/>
          <w:szCs w:val="14"/>
        </w:rPr>
      </w:pPr>
    </w:p>
    <w:p>
      <w:pPr>
        <w:pStyle w:val="BodyText"/>
        <w:spacing w:line="240" w:lineRule="auto" w:before="0"/>
        <w:ind w:left="573" w:right="0"/>
        <w:jc w:val="left"/>
      </w:pPr>
      <w:r>
        <w:rPr/>
        <w:t>（1）根据类似交易中出售此类资产或处置组的惯例，在当前状况下即可立即出售； </w:t>
      </w:r>
    </w:p>
    <w:p>
      <w:pPr>
        <w:spacing w:line="240" w:lineRule="auto" w:before="10"/>
        <w:rPr>
          <w:rFonts w:ascii="宋体" w:hAnsi="宋体" w:cs="宋体" w:eastAsia="宋体" w:hint="default"/>
          <w:sz w:val="14"/>
          <w:szCs w:val="14"/>
        </w:rPr>
      </w:pPr>
    </w:p>
    <w:p>
      <w:pPr>
        <w:pStyle w:val="BodyText"/>
        <w:spacing w:line="408" w:lineRule="auto" w:before="0"/>
        <w:ind w:left="153" w:right="0" w:firstLine="420"/>
        <w:jc w:val="left"/>
      </w:pPr>
      <w:r>
        <w:rPr/>
        <w:t>（2）出售极可能发生，即本公司已经就一项出售计划作出决议且获得确定的购买承诺，预计出售将</w:t>
      </w:r>
      <w:r>
        <w:rPr>
          <w:spacing w:val="2"/>
        </w:rPr>
        <w:t> </w:t>
      </w:r>
      <w:r>
        <w:rPr/>
        <w:t>在一年内完成。有关规定要求本公司相关权力机构或者监管部门批准后方可出售的，已经获得批准。 </w:t>
      </w:r>
    </w:p>
    <w:p>
      <w:pPr>
        <w:spacing w:line="240" w:lineRule="auto" w:before="8"/>
        <w:rPr>
          <w:rFonts w:ascii="宋体" w:hAnsi="宋体" w:cs="宋体" w:eastAsia="宋体" w:hint="default"/>
          <w:sz w:val="20"/>
          <w:szCs w:val="20"/>
        </w:rPr>
      </w:pPr>
    </w:p>
    <w:p>
      <w:pPr>
        <w:pStyle w:val="Heading4"/>
        <w:spacing w:line="240" w:lineRule="auto"/>
        <w:ind w:left="153" w:right="0"/>
        <w:jc w:val="both"/>
        <w:rPr>
          <w:b w:val="0"/>
          <w:bCs w:val="0"/>
        </w:rPr>
      </w:pPr>
      <w:r>
        <w:rPr>
          <w:rFonts w:ascii="Times New Roman" w:hAnsi="Times New Roman" w:cs="Times New Roman" w:eastAsia="Times New Roman" w:hint="default"/>
        </w:rPr>
        <w:t>15</w:t>
      </w:r>
      <w:r>
        <w:rPr/>
        <w:t>、长期股权投资</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0"/>
        <w:jc w:val="left"/>
      </w:pPr>
      <w:r>
        <w:rPr/>
        <w:t>1、共同控制、重大影响的判断标准 </w:t>
      </w:r>
      <w:r>
        <w:rPr>
          <w:spacing w:val="-1"/>
        </w:rPr>
        <w:t>共同控制，是指按照相关约定对某项安排所共有的控制，并且该安排的相关活动必须经过分享控制权</w:t>
      </w:r>
    </w:p>
    <w:p>
      <w:pPr>
        <w:pStyle w:val="BodyText"/>
        <w:spacing w:line="408" w:lineRule="auto"/>
        <w:ind w:left="153" w:right="1130"/>
        <w:jc w:val="both"/>
      </w:pPr>
      <w:r>
        <w:rPr>
          <w:spacing w:val="-1"/>
        </w:rPr>
        <w:t>的参与方一致同意后才能决策。本公司与其他合营方一同对被投资单位实施共同控制且对被投资单位净资</w:t>
      </w:r>
      <w:r>
        <w:rPr>
          <w:spacing w:val="-81"/>
        </w:rPr>
        <w:t> </w:t>
      </w:r>
      <w:r>
        <w:rPr>
          <w:spacing w:val="-81"/>
        </w:rPr>
      </w:r>
      <w:r>
        <w:rPr/>
        <w:t>产享有权利的，被投资单位为本公司的合营企业。 </w:t>
      </w:r>
    </w:p>
    <w:p>
      <w:pPr>
        <w:pStyle w:val="BodyText"/>
        <w:spacing w:line="408" w:lineRule="auto"/>
        <w:ind w:left="153" w:right="0" w:firstLine="420"/>
        <w:jc w:val="left"/>
      </w:pPr>
      <w:r>
        <w:rPr>
          <w:spacing w:val="-1"/>
        </w:rPr>
        <w:t>重大影响，是指对一个企业的财务和经营决策有参与决策的权力，但并不能够控制或者与其他方一起</w:t>
      </w:r>
      <w:r>
        <w:rPr/>
        <w:t> 共同控制这些政策的制定。本公司能够对被投资单位施加重大影响的，被投资单位为本公司联营企业。 </w:t>
      </w:r>
    </w:p>
    <w:p>
      <w:pPr>
        <w:pStyle w:val="BodyText"/>
        <w:spacing w:line="240" w:lineRule="auto"/>
        <w:ind w:left="573" w:right="0"/>
        <w:jc w:val="left"/>
      </w:pPr>
      <w:r>
        <w:rPr/>
        <w:t>2、初始投资成本的确定 </w:t>
      </w:r>
    </w:p>
    <w:p>
      <w:pPr>
        <w:spacing w:line="240" w:lineRule="auto" w:before="10"/>
        <w:rPr>
          <w:rFonts w:ascii="宋体" w:hAnsi="宋体" w:cs="宋体" w:eastAsia="宋体" w:hint="default"/>
          <w:sz w:val="14"/>
          <w:szCs w:val="14"/>
        </w:rPr>
      </w:pPr>
    </w:p>
    <w:p>
      <w:pPr>
        <w:pStyle w:val="BodyText"/>
        <w:spacing w:line="408" w:lineRule="auto" w:before="0"/>
        <w:ind w:left="573" w:right="0"/>
        <w:jc w:val="left"/>
      </w:pPr>
      <w:r>
        <w:rPr/>
        <w:t>（1）企业合并形成的长期股权投资 </w:t>
      </w:r>
      <w:r>
        <w:rPr>
          <w:spacing w:val="-1"/>
        </w:rPr>
        <w:t>同一控制下的企业合并：公司以支付现金、转让非现金资产或承担债务方式以及以发行权益性证券作</w:t>
      </w:r>
    </w:p>
    <w:p>
      <w:pPr>
        <w:pStyle w:val="BodyText"/>
        <w:spacing w:line="408" w:lineRule="auto"/>
        <w:ind w:left="153" w:right="1131"/>
        <w:jc w:val="both"/>
      </w:pPr>
      <w:r>
        <w:rPr>
          <w:spacing w:val="-1"/>
        </w:rPr>
        <w:t>为合并对价的，在合并日按照取得被合并方所有者权益在最终控制方合并财务报表中的账面价值的份额作</w:t>
      </w:r>
      <w:r>
        <w:rPr>
          <w:spacing w:val="-81"/>
        </w:rPr>
        <w:t> </w:t>
      </w:r>
      <w:r>
        <w:rPr>
          <w:spacing w:val="-81"/>
        </w:rPr>
      </w:r>
      <w:r>
        <w:rPr>
          <w:spacing w:val="-1"/>
        </w:rPr>
        <w:t>为长期股权投资的初始投资成本。因追加投资等原因能够对同一控制下的被投资单位实施控制的，在合并</w:t>
      </w:r>
      <w:r>
        <w:rPr>
          <w:spacing w:val="-81"/>
        </w:rPr>
        <w:t> </w:t>
      </w:r>
      <w:r>
        <w:rPr>
          <w:spacing w:val="-81"/>
        </w:rPr>
      </w:r>
      <w:r>
        <w:rPr>
          <w:spacing w:val="-1"/>
        </w:rPr>
        <w:t>日根据合并后应享有被合并方净资产在最终控制方合并财务报表中的账面价值的份额，确定长期股权投资</w:t>
      </w:r>
      <w:r>
        <w:rPr>
          <w:spacing w:val="-81"/>
        </w:rPr>
        <w:t> </w:t>
      </w:r>
      <w:r>
        <w:rPr>
          <w:spacing w:val="-81"/>
        </w:rPr>
      </w:r>
      <w:r>
        <w:rPr>
          <w:spacing w:val="-1"/>
        </w:rPr>
        <w:t>的初始投资成本。合并日长期股权投资的初始投资成本，与达到合并前的长期股权投资账面价值加上合并</w:t>
      </w:r>
      <w:r>
        <w:rPr>
          <w:spacing w:val="-81"/>
        </w:rPr>
        <w:t> </w:t>
      </w:r>
      <w:r>
        <w:rPr>
          <w:spacing w:val="-81"/>
        </w:rPr>
      </w:r>
      <w:r>
        <w:rPr>
          <w:spacing w:val="-1"/>
        </w:rPr>
        <w:t>日进一步取得股份新支付对价的账面价值之和的差额，调整股本溢价，股本溢价不足冲减的，冲减留存收</w:t>
      </w:r>
    </w:p>
    <w:p>
      <w:pPr>
        <w:spacing w:after="0" w:line="408" w:lineRule="auto"/>
        <w:jc w:val="both"/>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right="0"/>
        <w:jc w:val="both"/>
      </w:pPr>
      <w:r>
        <w:rPr/>
        <w:t>益。 </w:t>
      </w:r>
    </w:p>
    <w:p>
      <w:pPr>
        <w:spacing w:line="240" w:lineRule="auto" w:before="10"/>
        <w:rPr>
          <w:rFonts w:ascii="宋体" w:hAnsi="宋体" w:cs="宋体" w:eastAsia="宋体" w:hint="default"/>
          <w:sz w:val="14"/>
          <w:szCs w:val="14"/>
        </w:rPr>
      </w:pPr>
    </w:p>
    <w:p>
      <w:pPr>
        <w:pStyle w:val="BodyText"/>
        <w:spacing w:line="408" w:lineRule="auto" w:before="0"/>
        <w:ind w:right="1131" w:firstLine="420"/>
        <w:jc w:val="both"/>
      </w:pPr>
      <w:r>
        <w:rPr>
          <w:spacing w:val="-1"/>
        </w:rPr>
        <w:t>非同一控制下的企业合并：公司按照购买日确定的合并成本作为长期股权投资的初始投资成本。因追</w:t>
      </w:r>
      <w:r>
        <w:rPr/>
        <w:t> </w:t>
      </w:r>
      <w:r>
        <w:rPr>
          <w:spacing w:val="-1"/>
        </w:rPr>
        <w:t>加投资等原因能够对非同一控制下的被投资单位实施控制的，按照原持有的股权投资账面价值加上新增投</w:t>
      </w:r>
      <w:r>
        <w:rPr>
          <w:spacing w:val="-81"/>
        </w:rPr>
        <w:t> </w:t>
      </w:r>
      <w:r>
        <w:rPr>
          <w:spacing w:val="-81"/>
        </w:rPr>
      </w:r>
      <w:r>
        <w:rPr/>
        <w:t>资成本之和，作为改按成本法核算的初始投资成本。 </w:t>
      </w:r>
    </w:p>
    <w:p>
      <w:pPr>
        <w:pStyle w:val="BodyText"/>
        <w:spacing w:line="408" w:lineRule="auto"/>
        <w:ind w:left="574" w:right="0"/>
        <w:jc w:val="left"/>
      </w:pPr>
      <w:r>
        <w:rPr/>
        <w:t>（2）其他方式取得的长期股权投资 以支付现金方式取得的长期股权投资，按照实际支付的购买价款作为初始投资成本。 以发行权益性证券取得的长期股权投资，按照发行权益性证券的公允价值作为初始投资成本。 </w:t>
      </w:r>
      <w:r>
        <w:rPr>
          <w:spacing w:val="-1"/>
        </w:rPr>
        <w:t>在非货币性资产交换具备商业实质和换入资产或换出资产的公允价值能够可靠计量的前提下，非货币</w:t>
      </w:r>
    </w:p>
    <w:p>
      <w:pPr>
        <w:pStyle w:val="BodyText"/>
        <w:spacing w:line="408" w:lineRule="auto"/>
        <w:ind w:right="1131"/>
        <w:jc w:val="both"/>
      </w:pPr>
      <w:r>
        <w:rPr>
          <w:spacing w:val="-1"/>
        </w:rPr>
        <w:t>性资产交换换入的长期股权投资以换出资产的公允价值和应支付的相关税费确定其初始投资成本，除非有</w:t>
      </w:r>
      <w:r>
        <w:rPr>
          <w:spacing w:val="-81"/>
        </w:rPr>
        <w:t> </w:t>
      </w:r>
      <w:r>
        <w:rPr>
          <w:spacing w:val="-81"/>
        </w:rPr>
      </w:r>
      <w:r>
        <w:rPr>
          <w:spacing w:val="-1"/>
        </w:rPr>
        <w:t>确凿证据表明换入资产的公允价值更加可靠；不满足上述前提的非货币性资产交换，以换出资产的账面价</w:t>
      </w:r>
      <w:r>
        <w:rPr>
          <w:spacing w:val="-81"/>
        </w:rPr>
        <w:t> </w:t>
      </w:r>
      <w:r>
        <w:rPr>
          <w:spacing w:val="-81"/>
        </w:rPr>
      </w:r>
      <w:r>
        <w:rPr/>
        <w:t>值和应支付的相关税费作为换入长期股权投资的初始投资成本。 </w:t>
      </w:r>
    </w:p>
    <w:p>
      <w:pPr>
        <w:pStyle w:val="BodyText"/>
        <w:spacing w:line="408" w:lineRule="auto"/>
        <w:ind w:left="574" w:right="2111"/>
        <w:jc w:val="left"/>
      </w:pPr>
      <w:r>
        <w:rPr/>
        <w:t>通过债务重组取得的长期股权投资，其初始投资成本按照公允价值为基础确定。 3、后续计量及损益确认方法 </w:t>
      </w:r>
    </w:p>
    <w:p>
      <w:pPr>
        <w:pStyle w:val="BodyText"/>
        <w:spacing w:line="408" w:lineRule="auto"/>
        <w:ind w:left="574" w:right="0"/>
        <w:jc w:val="left"/>
      </w:pPr>
      <w:r>
        <w:rPr/>
        <w:t>（1）成本法核算的长期股权投资 </w:t>
      </w:r>
      <w:r>
        <w:rPr>
          <w:spacing w:val="-1"/>
        </w:rPr>
        <w:t>公司对子公司的长期股权投资，采用成本法核算。除取得投资时实际支付的价款或对价中包含的已宣</w:t>
      </w:r>
    </w:p>
    <w:p>
      <w:pPr>
        <w:pStyle w:val="BodyText"/>
        <w:spacing w:line="408" w:lineRule="auto"/>
        <w:ind w:right="1130"/>
        <w:jc w:val="both"/>
      </w:pPr>
      <w:r>
        <w:rPr>
          <w:spacing w:val="-1"/>
        </w:rPr>
        <w:t>告但尚未发放的现金股利或利润外，公司按照享有被投资单位宣告发放的现金股利或利润确认当期投资收</w:t>
      </w:r>
      <w:r>
        <w:rPr>
          <w:spacing w:val="-81"/>
        </w:rPr>
        <w:t> </w:t>
      </w:r>
      <w:r>
        <w:rPr>
          <w:spacing w:val="-81"/>
        </w:rPr>
      </w:r>
      <w:r>
        <w:rPr/>
        <w:t>益。 </w:t>
      </w:r>
    </w:p>
    <w:p>
      <w:pPr>
        <w:pStyle w:val="BodyText"/>
        <w:spacing w:line="408" w:lineRule="auto"/>
        <w:ind w:left="574" w:right="0"/>
        <w:jc w:val="left"/>
      </w:pPr>
      <w:r>
        <w:rPr/>
        <w:t>（2）权益法核算的长期股权投资 </w:t>
      </w:r>
      <w:r>
        <w:rPr>
          <w:spacing w:val="-1"/>
        </w:rPr>
        <w:t>对联营企业和合营企业的长期股权投资，采用权益法核算。初始投资成本大于投资时应享有被投资单</w:t>
      </w:r>
    </w:p>
    <w:p>
      <w:pPr>
        <w:pStyle w:val="BodyText"/>
        <w:spacing w:line="408" w:lineRule="auto"/>
        <w:ind w:right="1131"/>
        <w:jc w:val="both"/>
      </w:pPr>
      <w:r>
        <w:rPr>
          <w:spacing w:val="-1"/>
        </w:rPr>
        <w:t>位可辨认净资产公允价值份额的差额，不调整长期股权投资的初始投资成本；初始投资成本小于投资时应</w:t>
      </w:r>
      <w:r>
        <w:rPr>
          <w:spacing w:val="-81"/>
        </w:rPr>
        <w:t> </w:t>
      </w:r>
      <w:r>
        <w:rPr>
          <w:spacing w:val="-81"/>
        </w:rPr>
      </w:r>
      <w:r>
        <w:rPr/>
        <w:t>享有被投资单位可辨认净资产公允价值份额的差额，计入当期损益。 </w:t>
      </w:r>
    </w:p>
    <w:p>
      <w:pPr>
        <w:pStyle w:val="BodyText"/>
        <w:spacing w:line="408" w:lineRule="auto"/>
        <w:ind w:left="153" w:right="1022" w:firstLine="420"/>
        <w:jc w:val="left"/>
      </w:pPr>
      <w:r>
        <w:rPr/>
        <w:t>公司按照应享有或应分担的被投资单位实现的净损益和其他综合收益的份额，分别确认投资收益和其 他综合收益，同时调整长期股权投资的账面价值；按照被投资单位宣告分派的利润或现金股利计算应享有 的部分，相应减少长期股权投资的账面价值；对于被投资单位除净损益、其他综合收益和利润分配以外所 有者权益的其他变动，调整长期股权投资的账面价值并计入所有者权益。在确认应享有被投资单位净损益 </w:t>
      </w:r>
      <w:r>
        <w:rPr>
          <w:spacing w:val="-3"/>
        </w:rPr>
        <w:t>的份额时，以取得投资时被投资单位可辨认净资产的公允价值为基础，并按照公司的会计政策及会计期间，</w:t>
      </w:r>
      <w:r>
        <w:rPr>
          <w:spacing w:val="-92"/>
        </w:rPr>
        <w:t> </w:t>
      </w:r>
      <w:r>
        <w:rPr>
          <w:spacing w:val="-92"/>
        </w:rPr>
      </w:r>
      <w:r>
        <w:rPr/>
        <w:t>对被投资单位的净利润进行调整后确认。在持有投资期间，被投资单位编制合并财务报表的，以合并财务</w:t>
      </w:r>
      <w:r>
        <w:rPr/>
        <w:t> 报表中的净利润、其他综合收益和其他所有者权益变动中归属于被投资单位的金额为基础进行核算。 </w:t>
      </w:r>
    </w:p>
    <w:p>
      <w:pPr>
        <w:pStyle w:val="BodyText"/>
        <w:spacing w:line="408" w:lineRule="auto"/>
        <w:ind w:left="153" w:right="0" w:firstLine="420"/>
        <w:jc w:val="left"/>
      </w:pPr>
      <w:r>
        <w:rPr>
          <w:spacing w:val="3"/>
        </w:rPr>
        <w:t>公司与联营企业、合营企业之间发生的未实现内部交易损益按照应享有的比例计算归属于公司的部</w:t>
      </w:r>
      <w:r>
        <w:rPr/>
        <w:t> </w:t>
      </w:r>
      <w:r>
        <w:rPr>
          <w:spacing w:val="-1"/>
        </w:rPr>
        <w:t>分，予以抵销，在此基础上确认投资收益。与被投资单位发生的未实现内部交易损失，属于资产减值损失</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right="1131"/>
        <w:jc w:val="both"/>
      </w:pPr>
      <w:r>
        <w:rPr>
          <w:spacing w:val="-1"/>
        </w:rPr>
        <w:t>的，全额确认。公司与联营企业、合营企业之间发生投出或出售资产的交易，该资产构成业务的，按照本</w:t>
      </w:r>
      <w:r>
        <w:rPr>
          <w:spacing w:val="-83"/>
        </w:rPr>
        <w:t> </w:t>
      </w:r>
      <w:r>
        <w:rPr>
          <w:spacing w:val="-83"/>
        </w:rPr>
      </w:r>
      <w:r>
        <w:rPr>
          <w:spacing w:val="-1"/>
        </w:rPr>
        <w:t>附注“三、（五）同一控制下和非同一控制下企业合并的会计处理方法”和“三、（六）合并财务报表的</w:t>
      </w:r>
      <w:r>
        <w:rPr>
          <w:spacing w:val="-83"/>
        </w:rPr>
        <w:t> </w:t>
      </w:r>
      <w:r>
        <w:rPr>
          <w:spacing w:val="-83"/>
        </w:rPr>
      </w:r>
      <w:r>
        <w:rPr/>
        <w:t>编制方法”中披露的相关政策进行会计处理。 </w:t>
      </w:r>
    </w:p>
    <w:p>
      <w:pPr>
        <w:pStyle w:val="BodyText"/>
        <w:spacing w:line="408" w:lineRule="auto"/>
        <w:ind w:right="1130" w:firstLine="420"/>
        <w:jc w:val="both"/>
      </w:pPr>
      <w:r>
        <w:rPr>
          <w:spacing w:val="-1"/>
        </w:rPr>
        <w:t>在公司确认应分担被投资单位发生的亏损时，按照以下顺序进行处理：首先，冲减长期股权投资的账</w:t>
      </w:r>
      <w:r>
        <w:rPr/>
        <w:t> </w:t>
      </w:r>
      <w:r>
        <w:rPr>
          <w:spacing w:val="-1"/>
        </w:rPr>
        <w:t>面价值。其次，长期股权投资的账面价值不足以冲减的，以其他实质上构成对被投资单位净投资的长期权</w:t>
      </w:r>
      <w:r>
        <w:rPr>
          <w:spacing w:val="-83"/>
        </w:rPr>
        <w:t> </w:t>
      </w:r>
      <w:r>
        <w:rPr>
          <w:spacing w:val="-83"/>
        </w:rPr>
      </w:r>
      <w:r>
        <w:rPr>
          <w:spacing w:val="-1"/>
        </w:rPr>
        <w:t>益账面价值为限继续确认投资损失，冲减长期应收项目等的账面价值。最后，经过上述处理，按照投资合</w:t>
      </w:r>
      <w:r>
        <w:rPr>
          <w:spacing w:val="-82"/>
        </w:rPr>
        <w:t> </w:t>
      </w:r>
      <w:r>
        <w:rPr>
          <w:spacing w:val="-82"/>
        </w:rPr>
      </w:r>
      <w:r>
        <w:rPr/>
        <w:t>同或协议约定企业仍承担额外义务的，按预计承担的义务确认预计负债，计入当期投资损失。 </w:t>
      </w:r>
    </w:p>
    <w:p>
      <w:pPr>
        <w:pStyle w:val="BodyText"/>
        <w:spacing w:line="408" w:lineRule="auto"/>
        <w:ind w:left="574" w:right="1131"/>
        <w:jc w:val="left"/>
      </w:pPr>
      <w:r>
        <w:rPr/>
        <w:t>（3）长期股权投资的处置 处置长期股权投资，其账面价值与实际取得价款的差额，计入当期损益。 </w:t>
      </w:r>
      <w:r>
        <w:rPr>
          <w:spacing w:val="-1"/>
        </w:rPr>
        <w:t>采用权益法核算的长期股权投资，在处置该项投资时，采用与被投资单位直接处置相关资产或负债相</w:t>
      </w:r>
    </w:p>
    <w:p>
      <w:pPr>
        <w:pStyle w:val="BodyText"/>
        <w:spacing w:line="408" w:lineRule="auto"/>
        <w:ind w:right="1131"/>
        <w:jc w:val="both"/>
      </w:pPr>
      <w:r>
        <w:rPr>
          <w:spacing w:val="-1"/>
        </w:rPr>
        <w:t>同的基础，按相应比例对原计入其他综合收益的部分进行会计处理。因被投资单位除净损益、其他综合收</w:t>
      </w:r>
      <w:r>
        <w:rPr>
          <w:spacing w:val="-83"/>
        </w:rPr>
        <w:t> </w:t>
      </w:r>
      <w:r>
        <w:rPr>
          <w:spacing w:val="-83"/>
        </w:rPr>
      </w:r>
      <w:r>
        <w:rPr>
          <w:spacing w:val="-1"/>
        </w:rPr>
        <w:t>益和利润分配以外的其他所有者权益变动而确认的所有者权益，按比例结转入当期损益，由于被投资方重</w:t>
      </w:r>
      <w:r>
        <w:rPr>
          <w:spacing w:val="-81"/>
        </w:rPr>
        <w:t> </w:t>
      </w:r>
      <w:r>
        <w:rPr>
          <w:spacing w:val="-81"/>
        </w:rPr>
      </w:r>
      <w:r>
        <w:rPr/>
        <w:t>新计量设定受益计划净负债或净资产变动而产生的其他综合收益除外。 </w:t>
      </w:r>
    </w:p>
    <w:p>
      <w:pPr>
        <w:pStyle w:val="BodyText"/>
        <w:spacing w:line="408" w:lineRule="auto"/>
        <w:ind w:right="1131" w:firstLine="420"/>
        <w:jc w:val="both"/>
      </w:pPr>
      <w:r>
        <w:rPr>
          <w:spacing w:val="-1"/>
        </w:rPr>
        <w:t>因处置部分股权投资等原因丧失了对被投资单位的共同控制或重大影响的，处置后的剩余股权改按金</w:t>
      </w:r>
      <w:r>
        <w:rPr/>
        <w:t> </w:t>
      </w:r>
      <w:r>
        <w:rPr>
          <w:spacing w:val="-1"/>
        </w:rPr>
        <w:t>融工具确认和计量准则核算，其在丧失共同控制或重大影响之日的公允价值与账面价值之间的差额计入当</w:t>
      </w:r>
      <w:r>
        <w:rPr>
          <w:spacing w:val="-81"/>
        </w:rPr>
        <w:t> </w:t>
      </w:r>
      <w:r>
        <w:rPr>
          <w:spacing w:val="-81"/>
        </w:rPr>
      </w:r>
      <w:r>
        <w:rPr>
          <w:spacing w:val="-1"/>
        </w:rPr>
        <w:t>期损益。原股权投资因采用权益法核算而确认的其他综合收益，在终止采用权益法核算时采用与被投资单</w:t>
      </w:r>
      <w:r>
        <w:rPr>
          <w:spacing w:val="-81"/>
        </w:rPr>
        <w:t> </w:t>
      </w:r>
      <w:r>
        <w:rPr>
          <w:spacing w:val="-81"/>
        </w:rPr>
      </w:r>
      <w:r>
        <w:rPr>
          <w:spacing w:val="-1"/>
        </w:rPr>
        <w:t>位直接处置相关资产或负债相同的基础进行会计处理。因被投资方除净损益、其他综合收益和利润分配以</w:t>
      </w:r>
      <w:r>
        <w:rPr>
          <w:spacing w:val="-81"/>
        </w:rPr>
        <w:t> </w:t>
      </w:r>
      <w:r>
        <w:rPr>
          <w:spacing w:val="-81"/>
        </w:rPr>
      </w:r>
      <w:r>
        <w:rPr/>
        <w:t>外的其他所有者权益变动而确认的所有者权益，在终止采用权益法核算时全部转入当期损益。 </w:t>
      </w:r>
    </w:p>
    <w:p>
      <w:pPr>
        <w:pStyle w:val="BodyText"/>
        <w:spacing w:line="408" w:lineRule="auto"/>
        <w:ind w:right="1131" w:firstLine="420"/>
        <w:jc w:val="both"/>
      </w:pPr>
      <w:r>
        <w:rPr>
          <w:spacing w:val="-1"/>
        </w:rPr>
        <w:t>因处置部分股权投资、因其他投资方对子公司增资而导致本公司持股比例下降等原因丧失了对被投资</w:t>
      </w:r>
      <w:r>
        <w:rPr/>
        <w:t> </w:t>
      </w:r>
      <w:r>
        <w:rPr>
          <w:spacing w:val="-1"/>
        </w:rPr>
        <w:t>单位控制权的，在编制个别财务报表时，剩余股权能够对被投资单位实施共同控制或重大影响的，改按权</w:t>
      </w:r>
      <w:r>
        <w:rPr>
          <w:spacing w:val="-83"/>
        </w:rPr>
        <w:t> </w:t>
      </w:r>
      <w:r>
        <w:rPr>
          <w:spacing w:val="-83"/>
        </w:rPr>
      </w:r>
      <w:r>
        <w:rPr>
          <w:spacing w:val="-1"/>
        </w:rPr>
        <w:t>益法核算，并对该剩余股权视同自取得时即采用权益法核算进行调整；剩余股权不能对被投资单位实施共</w:t>
      </w:r>
      <w:r>
        <w:rPr>
          <w:spacing w:val="-81"/>
        </w:rPr>
        <w:t> </w:t>
      </w:r>
      <w:r>
        <w:rPr>
          <w:spacing w:val="-81"/>
        </w:rPr>
      </w:r>
      <w:r>
        <w:rPr>
          <w:spacing w:val="-1"/>
        </w:rPr>
        <w:t>同控制或施加重大影响的，改按金融工具确认和计量准则的有关规定进行会计处理，其在丧失控制之日的</w:t>
      </w:r>
      <w:r>
        <w:rPr>
          <w:spacing w:val="-81"/>
        </w:rPr>
        <w:t> </w:t>
      </w:r>
      <w:r>
        <w:rPr>
          <w:spacing w:val="-81"/>
        </w:rPr>
      </w:r>
      <w:r>
        <w:rPr/>
        <w:t>公允价值与账面价值间的差额计入当期损益。 </w:t>
      </w:r>
    </w:p>
    <w:p>
      <w:pPr>
        <w:pStyle w:val="BodyText"/>
        <w:spacing w:line="408" w:lineRule="auto"/>
        <w:ind w:right="1131" w:firstLine="420"/>
        <w:jc w:val="both"/>
      </w:pPr>
      <w:r>
        <w:rPr>
          <w:spacing w:val="-1"/>
        </w:rPr>
        <w:t>处置的股权是因追加投资等原因通过企业合并取得的，在编制个别财务报表时，处置后的剩余股权采</w:t>
      </w:r>
      <w:r>
        <w:rPr/>
        <w:t> </w:t>
      </w:r>
      <w:r>
        <w:rPr>
          <w:spacing w:val="-1"/>
        </w:rPr>
        <w:t>用成本法或权益法核算的，购买日之前持有的股权投资因采用权益法核算而确认的其他综合收益和其他所</w:t>
      </w:r>
      <w:r>
        <w:rPr>
          <w:spacing w:val="-81"/>
        </w:rPr>
        <w:t> </w:t>
      </w:r>
      <w:r>
        <w:rPr>
          <w:spacing w:val="-81"/>
        </w:rPr>
      </w:r>
      <w:r>
        <w:rPr>
          <w:spacing w:val="-1"/>
        </w:rPr>
        <w:t>有者权益按比例结转；处置后的剩余股权改按金融工具确认和计量准则进行会计处理的，其他综合收益和</w:t>
      </w:r>
      <w:r>
        <w:rPr>
          <w:spacing w:val="-81"/>
        </w:rPr>
        <w:t> </w:t>
      </w:r>
      <w:r>
        <w:rPr>
          <w:spacing w:val="-81"/>
        </w:rPr>
      </w:r>
      <w:r>
        <w:rPr/>
        <w:t>其他所有者权益全部结转。 </w:t>
      </w:r>
    </w:p>
    <w:p>
      <w:pPr>
        <w:spacing w:line="240" w:lineRule="auto" w:before="8"/>
        <w:rPr>
          <w:rFonts w:ascii="宋体" w:hAnsi="宋体" w:cs="宋体" w:eastAsia="宋体" w:hint="default"/>
          <w:sz w:val="20"/>
          <w:szCs w:val="20"/>
        </w:rPr>
      </w:pPr>
    </w:p>
    <w:p>
      <w:pPr>
        <w:pStyle w:val="BodyText"/>
        <w:spacing w:line="489" w:lineRule="auto" w:before="0"/>
        <w:ind w:left="573" w:right="1091" w:hanging="420"/>
        <w:jc w:val="left"/>
      </w:pPr>
      <w:r>
        <w:rPr>
          <w:rFonts w:ascii="Times New Roman" w:hAnsi="Times New Roman" w:cs="Times New Roman" w:eastAsia="Times New Roman" w:hint="default"/>
          <w:b/>
          <w:bCs/>
        </w:rPr>
        <w:t>16</w:t>
      </w:r>
      <w:r>
        <w:rPr>
          <w:rFonts w:ascii="宋体" w:hAnsi="宋体" w:cs="宋体" w:eastAsia="宋体" w:hint="default"/>
          <w:b/>
          <w:bCs/>
        </w:rPr>
        <w:t>、投资性房地产</w:t>
      </w:r>
      <w:r>
        <w:rPr>
          <w:rFonts w:ascii="宋体" w:hAnsi="宋体" w:cs="宋体" w:eastAsia="宋体" w:hint="default"/>
          <w:b/>
          <w:bCs/>
          <w:spacing w:val="1"/>
          <w:w w:val="99"/>
        </w:rPr>
        <w:t> </w:t>
      </w:r>
      <w:r>
        <w:rPr/>
        <w:t>投资性房地产是指为赚取租金或资本增值，或两者兼有而持有的房地产，包括已出租的土地使用权、</w:t>
      </w:r>
    </w:p>
    <w:p>
      <w:pPr>
        <w:spacing w:after="0" w:line="489" w:lineRule="auto"/>
        <w:jc w:val="left"/>
        <w:sectPr>
          <w:pgSz w:w="11910" w:h="16840"/>
          <w:pgMar w:header="877" w:footer="982" w:top="1100" w:bottom="1180" w:left="980" w:right="0"/>
        </w:sectPr>
      </w:pPr>
    </w:p>
    <w:p>
      <w:pPr>
        <w:spacing w:line="240" w:lineRule="auto" w:before="2"/>
        <w:rPr>
          <w:rFonts w:ascii="宋体" w:hAnsi="宋体" w:cs="宋体" w:eastAsia="宋体" w:hint="default"/>
          <w:sz w:val="19"/>
          <w:szCs w:val="19"/>
        </w:rPr>
      </w:pPr>
    </w:p>
    <w:p>
      <w:pPr>
        <w:pStyle w:val="BodyText"/>
        <w:spacing w:line="355" w:lineRule="auto" w:before="35"/>
        <w:ind w:right="0"/>
        <w:jc w:val="left"/>
      </w:pPr>
      <w:r>
        <w:rPr>
          <w:spacing w:val="-1"/>
        </w:rPr>
        <w:t>持有并准备增值后转让的土地使用权、已出租的建筑物（含自行建造或开发活动完成后用于出租的建筑物</w:t>
      </w:r>
      <w:r>
        <w:rPr>
          <w:spacing w:val="-81"/>
        </w:rPr>
        <w:t> </w:t>
      </w:r>
      <w:r>
        <w:rPr>
          <w:spacing w:val="-81"/>
        </w:rPr>
      </w:r>
      <w:r>
        <w:rPr/>
        <w:t>以及正在建造或开发过程中将来用于出租的建筑物）。 </w:t>
      </w:r>
    </w:p>
    <w:p>
      <w:pPr>
        <w:pStyle w:val="BodyText"/>
        <w:spacing w:line="355" w:lineRule="auto" w:before="33"/>
        <w:ind w:left="153" w:right="0" w:firstLine="420"/>
        <w:jc w:val="left"/>
      </w:pPr>
      <w:r>
        <w:rPr>
          <w:spacing w:val="-1"/>
        </w:rPr>
        <w:t>公司对现有投资性房地产采用成本模式计量。对按照成本模式计量的投资性房地产－出租用建筑物采</w:t>
      </w:r>
      <w:r>
        <w:rPr/>
        <w:t> 用与本公司固定资产相同的折旧政策，出租用土地使用权按与无形资产相同的摊销政策执行。</w:t>
      </w:r>
      <w:r>
        <w:rPr>
          <w:color w:val="3333FF"/>
        </w:rPr>
        <w:t> </w:t>
      </w:r>
      <w:r>
        <w:rPr/>
      </w:r>
    </w:p>
    <w:p>
      <w:pPr>
        <w:spacing w:line="240" w:lineRule="auto" w:before="1"/>
        <w:rPr>
          <w:rFonts w:ascii="宋体" w:hAnsi="宋体" w:cs="宋体" w:eastAsia="宋体" w:hint="default"/>
          <w:sz w:val="27"/>
          <w:szCs w:val="27"/>
        </w:rPr>
      </w:pPr>
    </w:p>
    <w:p>
      <w:pPr>
        <w:pStyle w:val="Heading4"/>
        <w:spacing w:line="240" w:lineRule="auto"/>
        <w:ind w:left="153" w:right="0"/>
        <w:jc w:val="left"/>
        <w:rPr>
          <w:b w:val="0"/>
          <w:bCs w:val="0"/>
        </w:rPr>
      </w:pPr>
      <w:r>
        <w:rPr>
          <w:rFonts w:ascii="Times New Roman" w:hAnsi="Times New Roman" w:cs="Times New Roman" w:eastAsia="Times New Roman" w:hint="default"/>
        </w:rPr>
        <w:t>17</w:t>
      </w:r>
      <w:r>
        <w:rPr/>
        <w:t>、固定资产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）确认条件</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153" w:right="0" w:firstLine="420"/>
        <w:jc w:val="left"/>
      </w:pPr>
      <w:r>
        <w:rPr>
          <w:spacing w:val="-1"/>
        </w:rPr>
        <w:t>固定资产指为生产商品、提供劳务、出租或经营管理而持有，并且使用寿命超过一个会计年度的有形</w:t>
      </w:r>
      <w:r>
        <w:rPr/>
        <w:t> 资产。固定资产在同时满足下列条件时予以确认： </w:t>
      </w:r>
    </w:p>
    <w:p>
      <w:pPr>
        <w:pStyle w:val="BodyText"/>
        <w:spacing w:line="240" w:lineRule="auto"/>
        <w:ind w:left="573" w:right="0"/>
        <w:jc w:val="left"/>
      </w:pPr>
      <w:r>
        <w:rPr/>
        <w:t>（1）与该固定资产有关的经济利益很可能流入企业； </w:t>
      </w:r>
    </w:p>
    <w:p>
      <w:pPr>
        <w:spacing w:line="240" w:lineRule="auto" w:before="10"/>
        <w:rPr>
          <w:rFonts w:ascii="宋体" w:hAnsi="宋体" w:cs="宋体" w:eastAsia="宋体" w:hint="default"/>
          <w:sz w:val="14"/>
          <w:szCs w:val="14"/>
        </w:rPr>
      </w:pPr>
    </w:p>
    <w:p>
      <w:pPr>
        <w:pStyle w:val="BodyText"/>
        <w:spacing w:line="240" w:lineRule="auto" w:before="0"/>
        <w:ind w:left="573" w:right="0"/>
        <w:jc w:val="left"/>
      </w:pPr>
      <w:r>
        <w:rPr/>
        <w:t>（2）该固定资产的成本能够可靠地计量。 </w:t>
      </w:r>
    </w:p>
    <w:p>
      <w:pPr>
        <w:spacing w:line="240" w:lineRule="auto" w:before="0"/>
        <w:rPr>
          <w:rFonts w:ascii="宋体" w:hAnsi="宋体" w:cs="宋体" w:eastAsia="宋体" w:hint="default"/>
          <w:sz w:val="20"/>
          <w:szCs w:val="20"/>
        </w:rPr>
      </w:pPr>
    </w:p>
    <w:p>
      <w:pPr>
        <w:pStyle w:val="Heading4"/>
        <w:spacing w:line="240" w:lineRule="auto" w:before="154"/>
        <w:ind w:left="153" w:right="0"/>
        <w:jc w:val="left"/>
        <w:rPr>
          <w:b w:val="0"/>
          <w:bCs w:val="0"/>
        </w:rPr>
      </w:pPr>
      <w:r>
        <w:rPr/>
        <w:t>（</w:t>
      </w:r>
      <w:r>
        <w:rPr>
          <w:rFonts w:ascii="Times New Roman" w:hAnsi="Times New Roman" w:cs="Times New Roman" w:eastAsia="Times New Roman" w:hint="default"/>
        </w:rPr>
        <w:t>2</w:t>
      </w:r>
      <w:r>
        <w:rPr/>
        <w:t>）折旧方法</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20-40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4.75-2.375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9.50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19.00</w:t>
            </w:r>
          </w:p>
        </w:tc>
      </w:tr>
    </w:tbl>
    <w:p>
      <w:pPr>
        <w:pStyle w:val="BodyText"/>
        <w:spacing w:line="408" w:lineRule="auto" w:before="63"/>
        <w:ind w:right="1131" w:firstLine="420"/>
        <w:jc w:val="both"/>
      </w:pPr>
      <w:r>
        <w:rPr>
          <w:spacing w:val="-1"/>
        </w:rPr>
        <w:t>固定资产折旧采用年限平均法分类计提，根据固定资产类别、预计使用寿命和预计净残值率确定折旧</w:t>
      </w:r>
      <w:r>
        <w:rPr/>
        <w:t> </w:t>
      </w:r>
      <w:r>
        <w:rPr>
          <w:spacing w:val="-1"/>
        </w:rPr>
        <w:t>率。如固定资产各组成部分的使用寿命不同或者以不同方式为企业提供经济利益，则选择不同折旧率或折</w:t>
      </w:r>
      <w:r>
        <w:rPr>
          <w:spacing w:val="-81"/>
        </w:rPr>
        <w:t> </w:t>
      </w:r>
      <w:r>
        <w:rPr>
          <w:spacing w:val="-81"/>
        </w:rPr>
      </w:r>
      <w:r>
        <w:rPr>
          <w:spacing w:val="-1"/>
        </w:rPr>
        <w:t>旧方法，分别计提折旧。融资租赁方式租入的固定资产，能合理确定租赁期届满时将会取得租赁资产所有</w:t>
      </w:r>
      <w:r>
        <w:rPr>
          <w:spacing w:val="-83"/>
        </w:rPr>
        <w:t> </w:t>
      </w:r>
      <w:r>
        <w:rPr>
          <w:spacing w:val="-83"/>
        </w:rPr>
      </w:r>
      <w:r>
        <w:rPr>
          <w:spacing w:val="-1"/>
        </w:rPr>
        <w:t>权的，在租赁资产尚可使用年限内计提折旧；无法合理确定租赁期届满时能够取得租赁资产所有权的，在</w:t>
      </w:r>
      <w:r>
        <w:rPr>
          <w:spacing w:val="-83"/>
        </w:rPr>
        <w:t> </w:t>
      </w:r>
      <w:r>
        <w:rPr>
          <w:spacing w:val="-83"/>
        </w:rPr>
      </w:r>
      <w:r>
        <w:rPr/>
        <w:t>租赁期与租赁资产尚可使用年限两者中较短的期间内计提折旧。</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7"/>
        <w:rPr>
          <w:rFonts w:ascii="宋体" w:hAnsi="宋体" w:cs="宋体" w:eastAsia="宋体" w:hint="default"/>
          <w:b/>
          <w:bCs/>
          <w:sz w:val="30"/>
          <w:szCs w:val="30"/>
        </w:rPr>
      </w:pPr>
    </w:p>
    <w:p>
      <w:pPr>
        <w:pStyle w:val="BodyText"/>
        <w:spacing w:line="240" w:lineRule="auto" w:before="0"/>
        <w:ind w:left="574" w:right="0"/>
        <w:jc w:val="left"/>
      </w:pPr>
      <w:r>
        <w:rPr/>
        <w:t>公司与租赁方所签订的租赁协议条款中规定了下列条件之一的，确认为融资租入资产：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（1）租赁期满后租赁资产的所有权归属于本公司；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（2）公司具有购买资产的选择权，购买价款远低于行使选择权时该资产的公允价值；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（3）租赁期占所租赁资产使用寿命的大部分； </w:t>
      </w:r>
    </w:p>
    <w:p>
      <w:pPr>
        <w:spacing w:line="240" w:lineRule="auto" w:before="10"/>
        <w:rPr>
          <w:rFonts w:ascii="宋体" w:hAnsi="宋体" w:cs="宋体" w:eastAsia="宋体" w:hint="default"/>
          <w:sz w:val="14"/>
          <w:szCs w:val="14"/>
        </w:rPr>
      </w:pPr>
    </w:p>
    <w:p>
      <w:pPr>
        <w:pStyle w:val="BodyText"/>
        <w:spacing w:line="408" w:lineRule="auto" w:before="0"/>
        <w:ind w:right="0" w:firstLine="420"/>
        <w:jc w:val="left"/>
      </w:pPr>
      <w:r>
        <w:rPr/>
        <w:t>（4）租赁开始日的最低租赁付款额现值，与该资产的公允价值不存在较大的差异。公司在承租开始 </w:t>
      </w:r>
      <w:r>
        <w:rPr>
          <w:spacing w:val="-1"/>
        </w:rPr>
        <w:t>日，将租赁资产公允价值与最低租赁付款额现值两者中较低者作为租入资产的入账价值，将最低租赁付款</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right="0"/>
        <w:jc w:val="left"/>
      </w:pPr>
      <w:r>
        <w:rPr/>
        <w:t>额作为长期应付款的入账价值，其差额作为未确认的融资费。 </w:t>
      </w:r>
    </w:p>
    <w:p>
      <w:pPr>
        <w:spacing w:line="240" w:lineRule="auto" w:before="0"/>
        <w:rPr>
          <w:rFonts w:ascii="宋体" w:hAnsi="宋体" w:cs="宋体" w:eastAsia="宋体" w:hint="default"/>
          <w:sz w:val="20"/>
          <w:szCs w:val="20"/>
        </w:rPr>
      </w:pPr>
    </w:p>
    <w:p>
      <w:pPr>
        <w:pStyle w:val="Heading4"/>
        <w:spacing w:line="240" w:lineRule="auto" w:before="154"/>
        <w:ind w:right="0"/>
        <w:jc w:val="left"/>
        <w:rPr>
          <w:b w:val="0"/>
          <w:bCs w:val="0"/>
        </w:rPr>
      </w:pPr>
      <w:r>
        <w:rPr>
          <w:rFonts w:ascii="Times New Roman" w:hAnsi="Times New Roman" w:cs="Times New Roman" w:eastAsia="Times New Roman" w:hint="default"/>
        </w:rPr>
        <w:t>18</w:t>
      </w:r>
      <w:r>
        <w:rPr/>
        <w:t>、在建工程</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153" w:right="1022" w:firstLine="420"/>
        <w:jc w:val="left"/>
      </w:pPr>
      <w:r>
        <w:rPr/>
        <w:t>在建工程项目按建造该项资产达到预定可使用状态前所发生的必要支出，作为固定资产的入账价值。 </w:t>
      </w:r>
      <w:r>
        <w:rPr>
          <w:spacing w:val="-3"/>
        </w:rPr>
        <w:t>所建造的固定资产在工程已达到预定可使用状态，但尚未办理竣工决算的，自达到预定可使用状态之日起，</w:t>
      </w:r>
      <w:r>
        <w:rPr>
          <w:spacing w:val="-92"/>
        </w:rPr>
        <w:t> </w:t>
      </w:r>
      <w:r>
        <w:rPr>
          <w:spacing w:val="-92"/>
        </w:rPr>
      </w:r>
      <w:r>
        <w:rPr/>
        <w:t>根据工程预算、造价或者工程实际成本等，按估计的价值转入固定资产，并按本公司固定资产折旧政策计</w:t>
      </w:r>
      <w:r>
        <w:rPr/>
        <w:t> </w:t>
      </w:r>
      <w:r>
        <w:rPr>
          <w:spacing w:val="-3"/>
        </w:rPr>
        <w:t>提固定资产的折旧，待办理竣工决算后，再按实际成本调整原来的暂估价值，但不调整原已计提的折旧额。</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rFonts w:ascii="Times New Roman" w:hAnsi="Times New Roman" w:cs="Times New Roman" w:eastAsia="Times New Roman" w:hint="default"/>
        </w:rPr>
        <w:t>19</w:t>
      </w:r>
      <w:r>
        <w:rPr/>
        <w:t>、借款费用</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0"/>
        <w:jc w:val="left"/>
      </w:pPr>
      <w:r>
        <w:rPr/>
        <w:t>1.借款费用资本化的确认原则 借款费用，包括借款利息、折价或者溢价的摊销、辅助费用以及因外币借款而发生的汇兑差额等。 </w:t>
      </w:r>
      <w:r>
        <w:rPr>
          <w:spacing w:val="-1"/>
        </w:rPr>
        <w:t>公司发生的借款费用，可直接归属于符合资本化条件的资产的购建或者生产的，予以资本化，计入相</w:t>
      </w:r>
    </w:p>
    <w:p>
      <w:pPr>
        <w:pStyle w:val="BodyText"/>
        <w:spacing w:line="408" w:lineRule="auto"/>
        <w:ind w:left="573" w:right="0" w:hanging="420"/>
        <w:jc w:val="left"/>
      </w:pPr>
      <w:r>
        <w:rPr/>
        <w:t>关资产成本；其他借款费用，在发生时根据其发生额确认为费用，计入当期损益。 </w:t>
      </w:r>
      <w:r>
        <w:rPr>
          <w:spacing w:val="-1"/>
        </w:rPr>
        <w:t>符合资本化条件的资产，是指需要经过相当长时间的购建或者生产活动才能达到预定可使用或者可销</w:t>
      </w:r>
    </w:p>
    <w:p>
      <w:pPr>
        <w:pStyle w:val="BodyText"/>
        <w:spacing w:line="240" w:lineRule="auto"/>
        <w:ind w:left="153" w:right="0"/>
        <w:jc w:val="left"/>
      </w:pPr>
      <w:r>
        <w:rPr/>
        <w:t>售状态的固定资产、投资性房地产和存货等资产。借款费用同时满足下列条件时开始资本化： </w:t>
      </w:r>
    </w:p>
    <w:p>
      <w:pPr>
        <w:spacing w:line="240" w:lineRule="auto" w:before="10"/>
        <w:rPr>
          <w:rFonts w:ascii="宋体" w:hAnsi="宋体" w:cs="宋体" w:eastAsia="宋体" w:hint="default"/>
          <w:sz w:val="14"/>
          <w:szCs w:val="14"/>
        </w:rPr>
      </w:pPr>
    </w:p>
    <w:p>
      <w:pPr>
        <w:pStyle w:val="BodyText"/>
        <w:spacing w:line="408" w:lineRule="auto" w:before="0"/>
        <w:ind w:left="153" w:right="0" w:firstLine="420"/>
        <w:jc w:val="left"/>
      </w:pPr>
      <w:r>
        <w:rPr/>
        <w:t>（1）资产支出已经发生，资产支出包括为购建或者生产符合资本化条件的资产而以支付现金、转移</w:t>
      </w:r>
      <w:r>
        <w:rPr>
          <w:spacing w:val="2"/>
        </w:rPr>
        <w:t> </w:t>
      </w:r>
      <w:r>
        <w:rPr/>
        <w:t>非现金资产或者承担带息债务形式发生的支出； </w:t>
      </w:r>
    </w:p>
    <w:p>
      <w:pPr>
        <w:pStyle w:val="BodyText"/>
        <w:spacing w:line="240" w:lineRule="auto"/>
        <w:ind w:left="573" w:right="0"/>
        <w:jc w:val="left"/>
      </w:pPr>
      <w:r>
        <w:rPr/>
        <w:t>（2）借款费用已经发生； </w:t>
      </w:r>
    </w:p>
    <w:p>
      <w:pPr>
        <w:spacing w:line="240" w:lineRule="auto" w:before="10"/>
        <w:rPr>
          <w:rFonts w:ascii="宋体" w:hAnsi="宋体" w:cs="宋体" w:eastAsia="宋体" w:hint="default"/>
          <w:sz w:val="14"/>
          <w:szCs w:val="14"/>
        </w:rPr>
      </w:pPr>
    </w:p>
    <w:p>
      <w:pPr>
        <w:pStyle w:val="BodyText"/>
        <w:spacing w:line="408" w:lineRule="auto" w:before="0"/>
        <w:ind w:left="573" w:right="1117"/>
        <w:jc w:val="left"/>
      </w:pPr>
      <w:r>
        <w:rPr/>
        <w:t>（3）为使资产达到预定可使用或者可销售状态所必要的购建或者生产活动已经开始。 2、借款费用资本化期间 </w:t>
      </w:r>
      <w:r>
        <w:rPr>
          <w:spacing w:val="-1"/>
        </w:rPr>
        <w:t>资本化期间，指从借款费用开始资本化时点到停止资本化时点的期间，借款费用暂停资本化的期间不</w:t>
      </w:r>
    </w:p>
    <w:p>
      <w:pPr>
        <w:pStyle w:val="BodyText"/>
        <w:spacing w:line="240" w:lineRule="auto"/>
        <w:ind w:left="153" w:right="0"/>
        <w:jc w:val="left"/>
      </w:pPr>
      <w:r>
        <w:rPr/>
        <w:t>包括在内。 </w:t>
      </w:r>
    </w:p>
    <w:p>
      <w:pPr>
        <w:spacing w:line="240" w:lineRule="auto" w:before="10"/>
        <w:rPr>
          <w:rFonts w:ascii="宋体" w:hAnsi="宋体" w:cs="宋体" w:eastAsia="宋体" w:hint="default"/>
          <w:sz w:val="14"/>
          <w:szCs w:val="14"/>
        </w:rPr>
      </w:pPr>
    </w:p>
    <w:p>
      <w:pPr>
        <w:pStyle w:val="BodyText"/>
        <w:spacing w:line="408" w:lineRule="auto" w:before="0"/>
        <w:ind w:left="573" w:right="0"/>
        <w:jc w:val="left"/>
      </w:pPr>
      <w:r>
        <w:rPr/>
        <w:t>当购建或者生产符合资本化条件的资产达到预定可使用或者可销售状态时，借款费用停止资本化。 </w:t>
      </w:r>
      <w:r>
        <w:rPr>
          <w:spacing w:val="-1"/>
        </w:rPr>
        <w:t>当购建或者生产符合资本化条件的资产中部分项目分别完工且可单独使用时，该部分资产借款费用停</w:t>
      </w:r>
    </w:p>
    <w:p>
      <w:pPr>
        <w:pStyle w:val="BodyText"/>
        <w:spacing w:line="240" w:lineRule="auto"/>
        <w:ind w:left="153" w:right="0"/>
        <w:jc w:val="left"/>
      </w:pPr>
      <w:r>
        <w:rPr/>
        <w:t>止资本化。 </w:t>
      </w:r>
    </w:p>
    <w:p>
      <w:pPr>
        <w:spacing w:line="240" w:lineRule="auto" w:before="10"/>
        <w:rPr>
          <w:rFonts w:ascii="宋体" w:hAnsi="宋体" w:cs="宋体" w:eastAsia="宋体" w:hint="default"/>
          <w:sz w:val="14"/>
          <w:szCs w:val="14"/>
        </w:rPr>
      </w:pPr>
    </w:p>
    <w:p>
      <w:pPr>
        <w:pStyle w:val="BodyText"/>
        <w:spacing w:line="408" w:lineRule="auto" w:before="0"/>
        <w:ind w:left="153" w:right="0" w:firstLine="420"/>
        <w:jc w:val="left"/>
      </w:pPr>
      <w:r>
        <w:rPr>
          <w:spacing w:val="-1"/>
        </w:rPr>
        <w:t>购建或者生产的资产的各部分分别完工，但必须等到整体完工后才可使用或可对外销售的，在该资产</w:t>
      </w:r>
      <w:r>
        <w:rPr/>
        <w:t> 整体完工时停止借款费用资本化。 </w:t>
      </w:r>
    </w:p>
    <w:p>
      <w:pPr>
        <w:pStyle w:val="BodyText"/>
        <w:spacing w:line="408" w:lineRule="auto"/>
        <w:ind w:left="573" w:right="0"/>
        <w:jc w:val="left"/>
      </w:pPr>
      <w:r>
        <w:rPr/>
        <w:t>3、暂停资本化期间 符合资本化条件的资产在购建或生产过程中发生的非正常中断、且中断时间连续超过3个月的，则借</w:t>
      </w:r>
    </w:p>
    <w:p>
      <w:pPr>
        <w:pStyle w:val="BodyText"/>
        <w:spacing w:line="240" w:lineRule="auto"/>
        <w:ind w:left="153" w:right="0"/>
        <w:jc w:val="left"/>
      </w:pPr>
      <w:r>
        <w:rPr/>
        <w:t>款费用暂停资本化；该项中断如是所购建或生产的符合资本化条件的资产达到预定可使用状态或者可销售</w:t>
      </w:r>
    </w:p>
    <w:p>
      <w:pPr>
        <w:spacing w:after="0" w:line="240"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left="254" w:right="1130"/>
        <w:jc w:val="both"/>
      </w:pPr>
      <w:r>
        <w:rPr>
          <w:spacing w:val="-1"/>
        </w:rPr>
        <w:t>状态必要的程序，则借款费用继续资本化。在中断期间发生的借款费用确认为当期损益，直至资产的购建</w:t>
      </w:r>
      <w:r>
        <w:rPr>
          <w:spacing w:val="-83"/>
        </w:rPr>
        <w:t> </w:t>
      </w:r>
      <w:r>
        <w:rPr>
          <w:spacing w:val="-83"/>
        </w:rPr>
      </w:r>
      <w:r>
        <w:rPr/>
        <w:t>或者生产活动重新开始后借款费用继续资本化。 </w:t>
      </w:r>
    </w:p>
    <w:p>
      <w:pPr>
        <w:pStyle w:val="BodyText"/>
        <w:spacing w:line="408" w:lineRule="auto"/>
        <w:ind w:left="674" w:right="1013"/>
        <w:jc w:val="left"/>
      </w:pPr>
      <w:r>
        <w:rPr/>
        <w:t>4、借款费用资本化率、资本化金额的计算方法 </w:t>
      </w:r>
      <w:r>
        <w:rPr>
          <w:spacing w:val="3"/>
        </w:rPr>
        <w:t>对于为购建或者生产符合资本化条件的资产而借入的专门借款，以专门借款当期实际发生的借款费</w:t>
      </w:r>
    </w:p>
    <w:p>
      <w:pPr>
        <w:pStyle w:val="BodyText"/>
        <w:spacing w:line="408" w:lineRule="auto"/>
        <w:ind w:left="254" w:right="1131"/>
        <w:jc w:val="both"/>
      </w:pPr>
      <w:r>
        <w:rPr>
          <w:spacing w:val="-1"/>
        </w:rPr>
        <w:t>用，减去尚未动用的借款资金存入银行取得的利息收入或进行暂时性投资取得的投资收益后的金额，来确</w:t>
      </w:r>
      <w:r>
        <w:rPr>
          <w:spacing w:val="-81"/>
        </w:rPr>
        <w:t> </w:t>
      </w:r>
      <w:r>
        <w:rPr>
          <w:spacing w:val="-81"/>
        </w:rPr>
      </w:r>
      <w:r>
        <w:rPr>
          <w:spacing w:val="-1"/>
        </w:rPr>
        <w:t>定借款费用的资本化金额。对于为购建或者生产符合资本化条件的资产而占用的一般借款，根据累计资产</w:t>
      </w:r>
      <w:r>
        <w:rPr>
          <w:spacing w:val="-81"/>
        </w:rPr>
        <w:t> </w:t>
      </w:r>
      <w:r>
        <w:rPr>
          <w:spacing w:val="-81"/>
        </w:rPr>
      </w:r>
      <w:r>
        <w:rPr>
          <w:spacing w:val="-1"/>
        </w:rPr>
        <w:t>支出超过专门借款部分的资产支出加权平均数乘以所占用一般借款的资本化率，计算确定一般借款应予资</w:t>
      </w:r>
      <w:r>
        <w:rPr>
          <w:spacing w:val="-81"/>
        </w:rPr>
        <w:t> </w:t>
      </w:r>
      <w:r>
        <w:rPr>
          <w:spacing w:val="-81"/>
        </w:rPr>
      </w:r>
      <w:r>
        <w:rPr/>
        <w:t>本化的借款费用金额。资本化率根据一般借款加权平均利率计算确定。 </w:t>
      </w:r>
    </w:p>
    <w:p>
      <w:pPr>
        <w:spacing w:line="240" w:lineRule="auto" w:before="8"/>
        <w:rPr>
          <w:rFonts w:ascii="宋体" w:hAnsi="宋体" w:cs="宋体" w:eastAsia="宋体" w:hint="default"/>
          <w:sz w:val="20"/>
          <w:szCs w:val="20"/>
        </w:rPr>
      </w:pPr>
    </w:p>
    <w:p>
      <w:pPr>
        <w:pStyle w:val="Heading4"/>
        <w:spacing w:line="240" w:lineRule="auto"/>
        <w:ind w:left="254" w:right="0"/>
        <w:jc w:val="both"/>
        <w:rPr>
          <w:b w:val="0"/>
          <w:bCs w:val="0"/>
        </w:rPr>
      </w:pPr>
      <w:r>
        <w:rPr>
          <w:rFonts w:ascii="Times New Roman" w:hAnsi="Times New Roman" w:cs="Times New Roman" w:eastAsia="Times New Roman" w:hint="default"/>
        </w:rPr>
        <w:t>20</w:t>
      </w:r>
      <w:r>
        <w:rPr/>
        <w:t>、无形资产</w:t>
      </w:r>
      <w:r>
        <w:rPr>
          <w:b w:val="0"/>
          <w:bCs w:val="0"/>
        </w:rPr>
      </w:r>
    </w:p>
    <w:p>
      <w:pPr>
        <w:spacing w:line="240" w:lineRule="auto" w:before="7"/>
        <w:rPr>
          <w:rFonts w:ascii="宋体" w:hAnsi="宋体" w:cs="宋体" w:eastAsia="宋体" w:hint="default"/>
          <w:b/>
          <w:bCs/>
          <w:sz w:val="30"/>
          <w:szCs w:val="30"/>
        </w:rPr>
      </w:pPr>
    </w:p>
    <w:p>
      <w:pPr>
        <w:pStyle w:val="BodyText"/>
        <w:spacing w:line="240" w:lineRule="auto" w:before="0"/>
        <w:ind w:left="673" w:right="1013"/>
        <w:jc w:val="left"/>
      </w:pPr>
      <w:r>
        <w:rPr/>
        <w:t>1.无形资产的计价方法 </w:t>
      </w:r>
    </w:p>
    <w:p>
      <w:pPr>
        <w:pStyle w:val="BodyText"/>
        <w:spacing w:line="355" w:lineRule="auto" w:before="96"/>
        <w:ind w:left="673" w:right="1013"/>
        <w:jc w:val="left"/>
      </w:pPr>
      <w:r>
        <w:rPr/>
        <w:t>（1）公司取得无形资产时按成本进行初始计量； </w:t>
      </w:r>
      <w:r>
        <w:rPr>
          <w:spacing w:val="-1"/>
        </w:rPr>
        <w:t>外购无形资产的成本，包括购买价款、相关税费以及直接归属于使该项资产达到预定用途所发生的其</w:t>
      </w:r>
    </w:p>
    <w:p>
      <w:pPr>
        <w:pStyle w:val="BodyText"/>
        <w:spacing w:line="357" w:lineRule="auto" w:before="33"/>
        <w:ind w:left="253" w:right="1025"/>
        <w:jc w:val="both"/>
      </w:pPr>
      <w:r>
        <w:rPr/>
        <w:t>他支出。购买无形资产的价款超过正常信用条件延期支付，实质上具有融资性质的，无形资产的成本以购 买价款的现值为基础确定。债务重组取得债务人用以抵债的无形资产，以该无形资产的公允价值为基础确 定其入账价值，并将重组债务的账面价值与该用以抵债的无形资产公允价值之间的差额，计入当期损益。 </w:t>
      </w:r>
    </w:p>
    <w:p>
      <w:pPr>
        <w:pStyle w:val="BodyText"/>
        <w:spacing w:line="357" w:lineRule="auto" w:before="30"/>
        <w:ind w:left="253" w:right="1130" w:firstLine="420"/>
        <w:jc w:val="both"/>
      </w:pPr>
      <w:r>
        <w:rPr>
          <w:spacing w:val="-1"/>
        </w:rPr>
        <w:t>在非货币性资产交换具备商业实质且换入资产或换出资产的公允价值能够可靠计量的前提下，非货币</w:t>
      </w:r>
      <w:r>
        <w:rPr/>
        <w:t> </w:t>
      </w:r>
      <w:r>
        <w:rPr>
          <w:spacing w:val="-1"/>
        </w:rPr>
        <w:t>性资产交换换入的无形资产以换出资产的公允价值为基础确定其入账价值，除非有确凿证据表明换入资产</w:t>
      </w:r>
      <w:r>
        <w:rPr>
          <w:spacing w:val="-81"/>
        </w:rPr>
        <w:t> </w:t>
      </w:r>
      <w:r>
        <w:rPr>
          <w:spacing w:val="-81"/>
        </w:rPr>
      </w:r>
      <w:r>
        <w:rPr>
          <w:spacing w:val="-1"/>
        </w:rPr>
        <w:t>的公允价值更加可靠；不满足上述前提的非货币性资产交换，以换出资产的账面价值和应支付的相关税费</w:t>
      </w:r>
      <w:r>
        <w:rPr>
          <w:spacing w:val="-81"/>
        </w:rPr>
        <w:t> </w:t>
      </w:r>
      <w:r>
        <w:rPr>
          <w:spacing w:val="-81"/>
        </w:rPr>
      </w:r>
      <w:r>
        <w:rPr/>
        <w:t>作为换入无形资产的成本，不确认损益。 </w:t>
      </w:r>
    </w:p>
    <w:p>
      <w:pPr>
        <w:pStyle w:val="BodyText"/>
        <w:spacing w:line="355" w:lineRule="auto" w:before="31"/>
        <w:ind w:left="673" w:right="5226"/>
        <w:jc w:val="left"/>
      </w:pPr>
      <w:r>
        <w:rPr/>
        <w:t>（2）后续计量 在取得无形资产时分析判断其使用寿命。 </w:t>
      </w:r>
    </w:p>
    <w:p>
      <w:pPr>
        <w:pStyle w:val="BodyText"/>
        <w:spacing w:line="355" w:lineRule="auto" w:before="33"/>
        <w:ind w:left="253" w:right="1130" w:firstLine="420"/>
        <w:jc w:val="both"/>
      </w:pPr>
      <w:r>
        <w:rPr>
          <w:spacing w:val="-1"/>
        </w:rPr>
        <w:t>对于使用寿命有限的无形资产，在为企业带来经济利益的期限内按直线法摊销；无法预见无形资产为</w:t>
      </w:r>
      <w:r>
        <w:rPr/>
        <w:t> 企业带来经济利益期限的，视为使用寿命不确定的无形资产，不予摊销。 </w:t>
      </w:r>
    </w:p>
    <w:p>
      <w:pPr>
        <w:pStyle w:val="BodyText"/>
        <w:spacing w:line="240" w:lineRule="auto" w:before="33"/>
        <w:ind w:left="673" w:right="1013"/>
        <w:jc w:val="left"/>
      </w:pPr>
      <w:r>
        <w:rPr/>
        <w:t>2、使用寿命有限的无形资产的使用寿命估计情况： </w:t>
      </w:r>
    </w:p>
    <w:p>
      <w:pPr>
        <w:spacing w:line="240" w:lineRule="auto" w:before="10"/>
        <w:rPr>
          <w:rFonts w:ascii="宋体" w:hAnsi="宋体" w:cs="宋体" w:eastAsia="宋体" w:hint="default"/>
          <w:sz w:val="12"/>
          <w:szCs w:val="12"/>
        </w:rPr>
      </w:pPr>
    </w:p>
    <w:tbl>
      <w:tblPr>
        <w:tblW w:w="0" w:type="auto"/>
        <w:jc w:val="left"/>
        <w:tblInd w:w="116" w:type="dxa"/>
        <w:tblLayout w:type="fixed"/>
        <w:tblCellMar>
          <w:top w:w="0" w:type="dxa"/>
          <w:left w:w="0" w:type="dxa"/>
          <w:bottom w:w="0" w:type="dxa"/>
          <w:right w:w="0" w:type="dxa"/>
        </w:tblCellMar>
        <w:tblLook w:val="01E0"/>
      </w:tblPr>
      <w:tblGrid>
        <w:gridCol w:w="3298"/>
        <w:gridCol w:w="2927"/>
        <w:gridCol w:w="3644"/>
      </w:tblGrid>
      <w:tr>
        <w:trPr>
          <w:trHeight w:val="359" w:hRule="exact"/>
        </w:trPr>
        <w:tc>
          <w:tcPr>
            <w:tcW w:w="329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2"/>
              <w:ind w:left="109" w:right="0"/>
              <w:jc w:val="center"/>
              <w:rPr>
                <w:rFonts w:ascii="宋体" w:hAnsi="宋体" w:cs="宋体" w:eastAsia="宋体" w:hint="default"/>
                <w:sz w:val="18"/>
                <w:szCs w:val="18"/>
              </w:rPr>
            </w:pPr>
            <w:r>
              <w:rPr>
                <w:rFonts w:ascii="宋体" w:hAnsi="宋体" w:cs="宋体" w:eastAsia="宋体" w:hint="default"/>
                <w:sz w:val="18"/>
                <w:szCs w:val="18"/>
              </w:rPr>
              <w:t>资产类别 </w:t>
            </w:r>
          </w:p>
        </w:tc>
        <w:tc>
          <w:tcPr>
            <w:tcW w:w="292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2"/>
              <w:ind w:left="88" w:right="0"/>
              <w:jc w:val="center"/>
              <w:rPr>
                <w:rFonts w:ascii="宋体" w:hAnsi="宋体" w:cs="宋体" w:eastAsia="宋体" w:hint="default"/>
                <w:sz w:val="18"/>
                <w:szCs w:val="18"/>
              </w:rPr>
            </w:pPr>
            <w:r>
              <w:rPr>
                <w:rFonts w:ascii="宋体" w:hAnsi="宋体" w:cs="宋体" w:eastAsia="宋体" w:hint="default"/>
                <w:sz w:val="18"/>
                <w:szCs w:val="18"/>
              </w:rPr>
              <w:t>预计使用寿命 </w:t>
            </w:r>
          </w:p>
        </w:tc>
        <w:tc>
          <w:tcPr>
            <w:tcW w:w="3644"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2"/>
              <w:ind w:left="84" w:right="0"/>
              <w:jc w:val="center"/>
              <w:rPr>
                <w:rFonts w:ascii="宋体" w:hAnsi="宋体" w:cs="宋体" w:eastAsia="宋体" w:hint="default"/>
                <w:sz w:val="18"/>
                <w:szCs w:val="18"/>
              </w:rPr>
            </w:pPr>
            <w:r>
              <w:rPr>
                <w:rFonts w:ascii="宋体" w:hAnsi="宋体" w:cs="宋体" w:eastAsia="宋体" w:hint="default"/>
                <w:sz w:val="18"/>
                <w:szCs w:val="18"/>
              </w:rPr>
              <w:t>依据 </w:t>
            </w:r>
          </w:p>
        </w:tc>
      </w:tr>
      <w:tr>
        <w:trPr>
          <w:trHeight w:val="350" w:hRule="exact"/>
        </w:trPr>
        <w:tc>
          <w:tcPr>
            <w:tcW w:w="32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土地使用权 </w:t>
            </w:r>
          </w:p>
        </w:tc>
        <w:tc>
          <w:tcPr>
            <w:tcW w:w="2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center"/>
              <w:rPr>
                <w:rFonts w:ascii="Arial" w:hAnsi="Arial" w:cs="Arial" w:eastAsia="Arial" w:hint="default"/>
                <w:sz w:val="18"/>
                <w:szCs w:val="18"/>
              </w:rPr>
            </w:pPr>
            <w:r>
              <w:rPr>
                <w:rFonts w:ascii="Arial"/>
                <w:w w:val="90"/>
                <w:sz w:val="18"/>
              </w:rPr>
              <w:t>50</w:t>
            </w:r>
            <w:r>
              <w:rPr>
                <w:rFonts w:ascii="Arial"/>
                <w:sz w:val="18"/>
              </w:rPr>
            </w:r>
          </w:p>
        </w:tc>
        <w:tc>
          <w:tcPr>
            <w:tcW w:w="36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土地使用权证规定使用年限 </w:t>
            </w:r>
          </w:p>
        </w:tc>
      </w:tr>
      <w:tr>
        <w:trPr>
          <w:trHeight w:val="350" w:hRule="exact"/>
        </w:trPr>
        <w:tc>
          <w:tcPr>
            <w:tcW w:w="32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软件 </w:t>
            </w:r>
          </w:p>
        </w:tc>
        <w:tc>
          <w:tcPr>
            <w:tcW w:w="2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Arial" w:hAnsi="Arial" w:cs="Arial" w:eastAsia="Arial" w:hint="default"/>
                <w:sz w:val="18"/>
                <w:szCs w:val="18"/>
              </w:rPr>
            </w:pPr>
            <w:r>
              <w:rPr>
                <w:rFonts w:ascii="Arial"/>
                <w:w w:val="90"/>
                <w:sz w:val="18"/>
              </w:rPr>
              <w:t>5-10</w:t>
            </w:r>
            <w:r>
              <w:rPr>
                <w:rFonts w:ascii="Arial"/>
                <w:sz w:val="18"/>
              </w:rPr>
            </w:r>
          </w:p>
        </w:tc>
        <w:tc>
          <w:tcPr>
            <w:tcW w:w="36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合同约定使用年限 </w:t>
            </w:r>
          </w:p>
        </w:tc>
      </w:tr>
      <w:tr>
        <w:trPr>
          <w:trHeight w:val="349" w:hRule="exact"/>
        </w:trPr>
        <w:tc>
          <w:tcPr>
            <w:tcW w:w="32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游艇泊位 </w:t>
            </w:r>
          </w:p>
        </w:tc>
        <w:tc>
          <w:tcPr>
            <w:tcW w:w="2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
              <w:jc w:val="center"/>
              <w:rPr>
                <w:rFonts w:ascii="Arial" w:hAnsi="Arial" w:cs="Arial" w:eastAsia="Arial" w:hint="default"/>
                <w:sz w:val="18"/>
                <w:szCs w:val="18"/>
              </w:rPr>
            </w:pPr>
            <w:r>
              <w:rPr>
                <w:rFonts w:ascii="Arial"/>
                <w:w w:val="90"/>
                <w:sz w:val="18"/>
              </w:rPr>
              <w:t>45</w:t>
            </w:r>
            <w:r>
              <w:rPr>
                <w:rFonts w:ascii="Arial"/>
                <w:sz w:val="18"/>
              </w:rPr>
            </w:r>
          </w:p>
        </w:tc>
        <w:tc>
          <w:tcPr>
            <w:tcW w:w="36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泊位合约书和协议约定使用年限 </w:t>
            </w:r>
          </w:p>
        </w:tc>
      </w:tr>
      <w:tr>
        <w:trPr>
          <w:trHeight w:val="361" w:hRule="exact"/>
        </w:trPr>
        <w:tc>
          <w:tcPr>
            <w:tcW w:w="329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其他特许权 </w:t>
            </w:r>
          </w:p>
        </w:tc>
        <w:tc>
          <w:tcPr>
            <w:tcW w:w="292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4"/>
              <w:ind w:right="0"/>
              <w:jc w:val="center"/>
              <w:rPr>
                <w:rFonts w:ascii="Arial" w:hAnsi="Arial" w:cs="Arial" w:eastAsia="Arial" w:hint="default"/>
                <w:sz w:val="18"/>
                <w:szCs w:val="18"/>
              </w:rPr>
            </w:pPr>
            <w:r>
              <w:rPr>
                <w:rFonts w:ascii="Arial"/>
                <w:w w:val="90"/>
                <w:sz w:val="18"/>
              </w:rPr>
              <w:t>3-10</w:t>
            </w:r>
            <w:r>
              <w:rPr>
                <w:rFonts w:ascii="Arial"/>
                <w:sz w:val="18"/>
              </w:rPr>
            </w:r>
          </w:p>
        </w:tc>
        <w:tc>
          <w:tcPr>
            <w:tcW w:w="364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合同约定使用年限 </w:t>
            </w:r>
          </w:p>
        </w:tc>
      </w:tr>
    </w:tbl>
    <w:p>
      <w:pPr>
        <w:pStyle w:val="BodyText"/>
        <w:spacing w:line="408" w:lineRule="auto" w:before="63"/>
        <w:ind w:left="674" w:right="1013"/>
        <w:jc w:val="left"/>
      </w:pPr>
      <w:r>
        <w:rPr/>
        <w:t>每年度终了，对使用寿命有限的无形资产的使用寿命及摊销方法进行复核。 经复核，本年期末无形资产的使用寿命及摊销方法与以前估计未有不同。 3、使用寿命不确定的无形资产的判断依据以及对其使用寿命进行复核的程序 </w:t>
      </w:r>
    </w:p>
    <w:p>
      <w:pPr>
        <w:spacing w:after="0" w:line="408" w:lineRule="auto"/>
        <w:jc w:val="left"/>
        <w:sectPr>
          <w:pgSz w:w="11910" w:h="16840"/>
          <w:pgMar w:header="877" w:footer="982" w:top="1100" w:bottom="1180" w:left="880" w:right="0"/>
        </w:sectPr>
      </w:pPr>
    </w:p>
    <w:p>
      <w:pPr>
        <w:spacing w:line="240" w:lineRule="auto" w:before="2"/>
        <w:rPr>
          <w:rFonts w:ascii="宋体" w:hAnsi="宋体" w:cs="宋体" w:eastAsia="宋体" w:hint="default"/>
          <w:sz w:val="19"/>
          <w:szCs w:val="19"/>
        </w:rPr>
      </w:pPr>
    </w:p>
    <w:p>
      <w:pPr>
        <w:pStyle w:val="BodyText"/>
        <w:spacing w:line="355" w:lineRule="auto" w:before="35"/>
        <w:ind w:left="574" w:right="2111"/>
        <w:jc w:val="left"/>
      </w:pPr>
      <w:r>
        <w:rPr/>
        <w:t>对于使用寿命不确定的无形资产，每期末进行减值测试。 4、划分研究阶段和开发阶段的具体标准 </w:t>
      </w:r>
    </w:p>
    <w:p>
      <w:pPr>
        <w:pStyle w:val="BodyText"/>
        <w:spacing w:line="408" w:lineRule="auto" w:before="130"/>
        <w:ind w:left="574" w:right="0"/>
        <w:jc w:val="left"/>
      </w:pPr>
      <w:r>
        <w:rPr/>
        <w:t>公司内部研究开发项目的支出分为研究阶段支出和开发阶段支出。 研究阶段：为获取并理解新的科学或技术知识等而进行的独创性的有计划调查、研究活动的阶段。 </w:t>
      </w:r>
      <w:r>
        <w:rPr>
          <w:spacing w:val="-1"/>
        </w:rPr>
        <w:t>开发阶段：在进行商业性生产或使用前，将研究成果或其他知识应用于某项计划或设计，以生产出新</w:t>
      </w:r>
    </w:p>
    <w:p>
      <w:pPr>
        <w:pStyle w:val="BodyText"/>
        <w:spacing w:line="408" w:lineRule="auto"/>
        <w:ind w:left="574" w:right="2650" w:hanging="420"/>
        <w:jc w:val="left"/>
      </w:pPr>
      <w:r>
        <w:rPr/>
        <w:t>的或具有实质性改进的材料、装置、产品等活动的阶段。 5、开发阶段支出资本化的具体条件 内部研究开发项目开发阶段的支出，同时满足下列条件时确认为无形资产： </w:t>
      </w:r>
    </w:p>
    <w:p>
      <w:pPr>
        <w:pStyle w:val="BodyText"/>
        <w:spacing w:line="240" w:lineRule="auto"/>
        <w:ind w:left="574" w:right="0"/>
        <w:jc w:val="left"/>
      </w:pPr>
      <w:r>
        <w:rPr/>
        <w:t>（1）完成该无形资产以使其能够使用或出售在技术上具有可行性；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（2）具有完成该无形资产并使用或出售的意图； </w:t>
      </w:r>
    </w:p>
    <w:p>
      <w:pPr>
        <w:spacing w:line="240" w:lineRule="auto" w:before="10"/>
        <w:rPr>
          <w:rFonts w:ascii="宋体" w:hAnsi="宋体" w:cs="宋体" w:eastAsia="宋体" w:hint="default"/>
          <w:sz w:val="14"/>
          <w:szCs w:val="14"/>
        </w:rPr>
      </w:pPr>
    </w:p>
    <w:p>
      <w:pPr>
        <w:pStyle w:val="BodyText"/>
        <w:spacing w:line="408" w:lineRule="auto" w:before="0"/>
        <w:ind w:right="1195" w:firstLine="420"/>
        <w:jc w:val="left"/>
      </w:pPr>
      <w:r>
        <w:rPr/>
        <w:t>（3）无形资产产生经济利益的方式，包括能够证明运用该无形资产生产的产品存在市场或无形资产 自身存在市场，无形资产将在内部使用的，能够证明其有用性； </w:t>
      </w:r>
    </w:p>
    <w:p>
      <w:pPr>
        <w:pStyle w:val="BodyText"/>
        <w:spacing w:line="408" w:lineRule="auto"/>
        <w:ind w:right="1195" w:firstLine="420"/>
        <w:jc w:val="left"/>
      </w:pPr>
      <w:r>
        <w:rPr/>
        <w:t>（4）有足够的技术、财务资源和其他资源支持，以完成该无形资产的开发，并有能力使用或出售该 无形资产； </w:t>
      </w:r>
    </w:p>
    <w:p>
      <w:pPr>
        <w:pStyle w:val="BodyText"/>
        <w:spacing w:line="408" w:lineRule="auto"/>
        <w:ind w:left="574" w:right="0"/>
        <w:jc w:val="left"/>
      </w:pPr>
      <w:r>
        <w:rPr/>
        <w:t>（5）归属于该无形资产开发阶段的支出能够可靠地计量。 </w:t>
      </w:r>
      <w:r>
        <w:rPr>
          <w:spacing w:val="-1"/>
        </w:rPr>
        <w:t>开发阶段的支出，若不满足上列条件的，在发生时计入当期损益。研究阶段的支出，在发生时计入当</w:t>
      </w:r>
    </w:p>
    <w:p>
      <w:pPr>
        <w:pStyle w:val="BodyText"/>
        <w:spacing w:line="240" w:lineRule="auto"/>
        <w:ind w:right="0"/>
        <w:jc w:val="both"/>
      </w:pPr>
      <w:r>
        <w:rPr/>
        <w:t>期损益。 </w:t>
      </w:r>
    </w:p>
    <w:p>
      <w:pPr>
        <w:pStyle w:val="BodyText"/>
        <w:spacing w:line="670" w:lineRule="atLeast" w:before="37"/>
        <w:ind w:left="573" w:right="0" w:hanging="420"/>
        <w:jc w:val="left"/>
      </w:pPr>
      <w:r>
        <w:rPr>
          <w:rFonts w:ascii="Times New Roman" w:hAnsi="Times New Roman" w:cs="Times New Roman" w:eastAsia="Times New Roman" w:hint="default"/>
          <w:b/>
          <w:bCs/>
        </w:rPr>
        <w:t>21</w:t>
      </w:r>
      <w:r>
        <w:rPr>
          <w:rFonts w:ascii="宋体" w:hAnsi="宋体" w:cs="宋体" w:eastAsia="宋体" w:hint="default"/>
          <w:b/>
          <w:bCs/>
        </w:rPr>
        <w:t>、长期资产减值</w:t>
      </w:r>
      <w:r>
        <w:rPr>
          <w:rFonts w:ascii="宋体" w:hAnsi="宋体" w:cs="宋体" w:eastAsia="宋体" w:hint="default"/>
          <w:b/>
          <w:bCs/>
          <w:spacing w:val="1"/>
          <w:w w:val="99"/>
        </w:rPr>
        <w:t> </w:t>
      </w:r>
      <w:r>
        <w:rPr>
          <w:spacing w:val="-1"/>
        </w:rPr>
        <w:t>长期股权投资、采用成本模式计量的投资性房地产、固定资产、在建工程、使用寿命有限的无形资产</w:t>
      </w:r>
    </w:p>
    <w:p>
      <w:pPr>
        <w:spacing w:line="240" w:lineRule="auto" w:before="10"/>
        <w:rPr>
          <w:rFonts w:ascii="宋体" w:hAnsi="宋体" w:cs="宋体" w:eastAsia="宋体" w:hint="default"/>
          <w:sz w:val="14"/>
          <w:szCs w:val="14"/>
        </w:rPr>
      </w:pPr>
    </w:p>
    <w:p>
      <w:pPr>
        <w:pStyle w:val="BodyText"/>
        <w:spacing w:line="408" w:lineRule="auto" w:before="0"/>
        <w:ind w:left="153" w:right="1131"/>
        <w:jc w:val="both"/>
      </w:pPr>
      <w:r>
        <w:rPr>
          <w:spacing w:val="-1"/>
        </w:rPr>
        <w:t>等长期资产，于资产负债表日存在减值迹象的，进行减值测试。减值测试结果表明资产的可收回金额低于</w:t>
      </w:r>
      <w:r>
        <w:rPr>
          <w:spacing w:val="-83"/>
        </w:rPr>
        <w:t> </w:t>
      </w:r>
      <w:r>
        <w:rPr>
          <w:spacing w:val="-83"/>
        </w:rPr>
      </w:r>
      <w:r>
        <w:rPr>
          <w:spacing w:val="-1"/>
        </w:rPr>
        <w:t>其账面价值的，按其差额计提减值准备并计入减值损失。可收回金额为资产的公允价值减去处置费用后的</w:t>
      </w:r>
      <w:r>
        <w:rPr>
          <w:spacing w:val="-81"/>
        </w:rPr>
        <w:t> </w:t>
      </w:r>
      <w:r>
        <w:rPr>
          <w:spacing w:val="-81"/>
        </w:rPr>
      </w:r>
      <w:r>
        <w:rPr>
          <w:spacing w:val="-1"/>
        </w:rPr>
        <w:t>净额与资产预计未来现金流量的现值两者之间的较高者。资产减值准备按单项资产为基础计算并确认，如</w:t>
      </w:r>
      <w:r>
        <w:rPr>
          <w:spacing w:val="-81"/>
        </w:rPr>
        <w:t> </w:t>
      </w:r>
      <w:r>
        <w:rPr>
          <w:spacing w:val="-81"/>
        </w:rPr>
      </w:r>
      <w:r>
        <w:rPr>
          <w:spacing w:val="-1"/>
        </w:rPr>
        <w:t>果难以对单项资产的可收回金额进行估计的，以该资产所属的资产组确定资产组的可收回金额。资产组是</w:t>
      </w:r>
      <w:r>
        <w:rPr>
          <w:spacing w:val="-81"/>
        </w:rPr>
        <w:t> </w:t>
      </w:r>
      <w:r>
        <w:rPr>
          <w:spacing w:val="-81"/>
        </w:rPr>
      </w:r>
      <w:r>
        <w:rPr/>
        <w:t>能够独立产生现金流入的最小资产组合。</w:t>
      </w:r>
    </w:p>
    <w:p>
      <w:pPr>
        <w:pStyle w:val="BodyText"/>
        <w:spacing w:line="408" w:lineRule="auto"/>
        <w:ind w:left="573" w:right="0"/>
        <w:jc w:val="left"/>
      </w:pPr>
      <w:r>
        <w:rPr/>
        <w:t>商誉至少在每年年度终了进行减值测试。 </w:t>
      </w:r>
      <w:r>
        <w:rPr>
          <w:spacing w:val="-1"/>
        </w:rPr>
        <w:t>本公司进行商誉减值测试，对于因企业合并形成的商誉的账面价值，自购买日起按照合理的方法分摊</w:t>
      </w:r>
    </w:p>
    <w:p>
      <w:pPr>
        <w:pStyle w:val="BodyText"/>
        <w:spacing w:line="408" w:lineRule="auto"/>
        <w:ind w:left="153" w:right="1131"/>
        <w:jc w:val="both"/>
      </w:pPr>
      <w:r>
        <w:rPr>
          <w:spacing w:val="-1"/>
        </w:rPr>
        <w:t>至相关的资产组；难以分摊至相关的资产组的，将其分摊至相关的资产组组合。在将商誉的账面价值分摊</w:t>
      </w:r>
      <w:r>
        <w:rPr>
          <w:spacing w:val="-83"/>
        </w:rPr>
        <w:t> </w:t>
      </w:r>
      <w:r>
        <w:rPr>
          <w:spacing w:val="-83"/>
        </w:rPr>
      </w:r>
      <w:r>
        <w:rPr>
          <w:spacing w:val="-1"/>
        </w:rPr>
        <w:t>至相关的资产组或者资产组组合时，按照各资产组或者资产组组合的公允价值占相关资产组或者资产组组</w:t>
      </w:r>
      <w:r>
        <w:rPr>
          <w:spacing w:val="-81"/>
        </w:rPr>
        <w:t> </w:t>
      </w:r>
      <w:r>
        <w:rPr>
          <w:spacing w:val="-81"/>
        </w:rPr>
      </w:r>
      <w:r>
        <w:rPr>
          <w:spacing w:val="-1"/>
        </w:rPr>
        <w:t>合公允价值总额的比例进行分摊。公允价值难以可靠计量的，按照各资产组或者资产组组合的账面价值占</w:t>
      </w:r>
    </w:p>
    <w:p>
      <w:pPr>
        <w:spacing w:after="0" w:line="408" w:lineRule="auto"/>
        <w:jc w:val="both"/>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left="153" w:right="0"/>
        <w:jc w:val="left"/>
      </w:pPr>
      <w:r>
        <w:rPr/>
        <w:t>相关资产组或者资产组组合账面价值总额的比例进行分摊。 </w:t>
      </w:r>
      <w:r>
        <w:rPr>
          <w:spacing w:val="-1"/>
        </w:rPr>
        <w:t>在对包含商誉的相关资产组或者资产组组合进行减值测试时，如与商誉相关的资产组或者资产组组合存在</w:t>
      </w:r>
      <w:r>
        <w:rPr>
          <w:spacing w:val="-81"/>
        </w:rPr>
        <w:t> </w:t>
      </w:r>
      <w:r>
        <w:rPr>
          <w:spacing w:val="-81"/>
        </w:rPr>
      </w:r>
      <w:r>
        <w:rPr>
          <w:spacing w:val="-1"/>
        </w:rPr>
        <w:t>减值迹象的，先对不包含商誉的资产组或者资产组组合进行减值测试，计算可收回金额，并与相关账面价</w:t>
      </w:r>
      <w:r>
        <w:rPr>
          <w:spacing w:val="-83"/>
        </w:rPr>
        <w:t> </w:t>
      </w:r>
      <w:r>
        <w:rPr>
          <w:spacing w:val="-83"/>
        </w:rPr>
      </w:r>
      <w:r>
        <w:rPr>
          <w:spacing w:val="-1"/>
        </w:rPr>
        <w:t>值相比较，确认相应的减值损失。再对包含商誉的资产组或者资产组组合进行减值测试，比较这些相关资</w:t>
      </w:r>
      <w:r>
        <w:rPr>
          <w:spacing w:val="-83"/>
        </w:rPr>
        <w:t> </w:t>
      </w:r>
      <w:r>
        <w:rPr>
          <w:spacing w:val="-83"/>
        </w:rPr>
      </w:r>
      <w:r>
        <w:rPr>
          <w:spacing w:val="-1"/>
        </w:rPr>
        <w:t>产组或者资产组组合的账面价值（包括所分摊的商誉的账面价值部分）与其可收回金额，如相关资产组或</w:t>
      </w:r>
      <w:r>
        <w:rPr>
          <w:spacing w:val="-83"/>
        </w:rPr>
        <w:t> </w:t>
      </w:r>
      <w:r>
        <w:rPr>
          <w:spacing w:val="-83"/>
        </w:rPr>
      </w:r>
      <w:r>
        <w:rPr>
          <w:spacing w:val="-1"/>
        </w:rPr>
        <w:t>者资产组组合的可收回金额低于其账面价值的，确认商誉的减值损失。上述资产减值损失一经确认，在以</w:t>
      </w:r>
      <w:r>
        <w:rPr>
          <w:spacing w:val="-83"/>
        </w:rPr>
        <w:t> </w:t>
      </w:r>
      <w:r>
        <w:rPr>
          <w:spacing w:val="-83"/>
        </w:rPr>
      </w:r>
      <w:r>
        <w:rPr/>
        <w:t>后会计期间不予转回。</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rFonts w:ascii="Times New Roman" w:hAnsi="Times New Roman" w:cs="Times New Roman" w:eastAsia="Times New Roman" w:hint="default"/>
        </w:rPr>
        <w:t>22</w:t>
      </w:r>
      <w:r>
        <w:rPr/>
        <w:t>、长期待摊费用</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2111"/>
        <w:jc w:val="left"/>
      </w:pPr>
      <w:r>
        <w:rPr/>
        <w:t>长期待摊费用为已经发生但应由本期和以后各期负担的分摊期限在一年以上的各项费用。 1、摊销方法 </w:t>
      </w:r>
    </w:p>
    <w:p>
      <w:pPr>
        <w:pStyle w:val="BodyText"/>
        <w:spacing w:line="408" w:lineRule="auto"/>
        <w:ind w:left="573" w:right="6790"/>
        <w:jc w:val="left"/>
      </w:pPr>
      <w:r>
        <w:rPr/>
        <w:t>长期待摊费用在受益期内平均摊销 2、摊销年限 </w:t>
      </w:r>
    </w:p>
    <w:p>
      <w:pPr>
        <w:pStyle w:val="BodyText"/>
        <w:spacing w:line="408" w:lineRule="auto"/>
        <w:ind w:left="153" w:right="1108" w:firstLine="420"/>
        <w:jc w:val="both"/>
      </w:pPr>
      <w:r>
        <w:rPr>
          <w:spacing w:val="-1"/>
        </w:rPr>
        <w:t>长期待摊费用在取得时按照实际成本计价，开办费在发生时计入当期损益；经营性租赁固定资产的装</w:t>
      </w:r>
      <w:r>
        <w:rPr/>
        <w:t> 修费用在可使用年限和租赁期两者较低年限进行平均摊销，其他长期待摊费用按项目的受益期平均摊销。 </w:t>
      </w:r>
      <w:r>
        <w:rPr>
          <w:spacing w:val="-1"/>
        </w:rPr>
        <w:t>对于在以后会计期间已无法带来预期经济利益的长期待摊费用，本公司对其尚未摊销的摊余价值全部转入</w:t>
      </w:r>
      <w:r>
        <w:rPr>
          <w:spacing w:val="-81"/>
        </w:rPr>
        <w:t> </w:t>
      </w:r>
      <w:r>
        <w:rPr>
          <w:spacing w:val="-81"/>
        </w:rPr>
      </w:r>
      <w:r>
        <w:rPr/>
        <w:t>当期损益。 </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rFonts w:ascii="Times New Roman" w:hAnsi="Times New Roman" w:cs="Times New Roman" w:eastAsia="Times New Roman" w:hint="default"/>
        </w:rPr>
        <w:t>23</w:t>
      </w:r>
      <w:r>
        <w:rPr/>
        <w:t>、职工薪酬</w:t>
      </w:r>
      <w:r>
        <w:rPr>
          <w:b w:val="0"/>
          <w:bCs w:val="0"/>
        </w:rPr>
      </w:r>
    </w:p>
    <w:p>
      <w:pPr>
        <w:spacing w:line="690" w:lineRule="exact" w:before="15"/>
        <w:ind w:left="573" w:right="0"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本公司在职工为本公司提供服务的会计期间，将实际发生的短期薪酬确认为负债，并计入当期损益或</w:t>
      </w:r>
    </w:p>
    <w:p>
      <w:pPr>
        <w:pStyle w:val="BodyText"/>
        <w:spacing w:line="408" w:lineRule="auto" w:before="84"/>
        <w:ind w:left="573" w:right="1117" w:hanging="420"/>
        <w:jc w:val="left"/>
      </w:pPr>
      <w:r>
        <w:rPr/>
        <w:t>相关资产成本。 </w:t>
      </w:r>
      <w:r>
        <w:rPr>
          <w:spacing w:val="-1"/>
        </w:rPr>
        <w:t>本公司为职工缴纳的社会保险费和住房公积金，以及按规定提取的工会经费和职工教育经费，在职工</w:t>
      </w:r>
    </w:p>
    <w:p>
      <w:pPr>
        <w:pStyle w:val="BodyText"/>
        <w:spacing w:line="408" w:lineRule="auto"/>
        <w:ind w:left="573" w:right="1931" w:hanging="420"/>
        <w:jc w:val="left"/>
      </w:pPr>
      <w:r>
        <w:rPr/>
        <w:t>为本公司提供服务的会计期间，根据规定的计提基础和计提比例计算确定相应的职工薪酬金额。 职工福利费为非货币性福利的，如能够可靠计量的，按照公允价值计量。</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0"/>
        <w:jc w:val="left"/>
      </w:pPr>
      <w:r>
        <w:rPr/>
        <w:t>（1）设定提存计划 </w:t>
      </w:r>
      <w:r>
        <w:rPr>
          <w:spacing w:val="-1"/>
        </w:rPr>
        <w:t>本公司按当地政府的相关规定为职工缴纳基本养老保险和失业保险，在职工为本公司提供服务的会计</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left="574" w:right="0" w:hanging="420"/>
        <w:jc w:val="left"/>
      </w:pPr>
      <w:r>
        <w:rPr/>
        <w:t>期间，按以当地规定的缴纳基数和比例计算应缴纳金额，确认为负债，并计入当期损益或相关资产成本。 除基本养老保险外，本公司还依据国家企业年金制度的相关政策建立了企业年金缴费制度（补充养老</w:t>
      </w:r>
    </w:p>
    <w:p>
      <w:pPr>
        <w:pStyle w:val="BodyText"/>
        <w:spacing w:line="408" w:lineRule="auto"/>
        <w:ind w:right="0"/>
        <w:jc w:val="left"/>
      </w:pPr>
      <w:r>
        <w:rPr>
          <w:spacing w:val="-1"/>
        </w:rPr>
        <w:t>保险）/企业年金计划。本公司按职工工资总额的一定比例向当地社会保险机构缴费/年金计划缴费，相应</w:t>
      </w:r>
      <w:r>
        <w:rPr>
          <w:spacing w:val="-86"/>
        </w:rPr>
        <w:t> </w:t>
      </w:r>
      <w:r>
        <w:rPr>
          <w:spacing w:val="-86"/>
        </w:rPr>
      </w:r>
      <w:r>
        <w:rPr/>
        <w:t>支出计入当期损益或相关资产成本。 </w:t>
      </w:r>
    </w:p>
    <w:p>
      <w:pPr>
        <w:pStyle w:val="BodyText"/>
        <w:spacing w:line="408" w:lineRule="auto"/>
        <w:ind w:left="574" w:right="0"/>
        <w:jc w:val="left"/>
      </w:pPr>
      <w:r>
        <w:rPr/>
        <w:t>（2）设定受益计划 </w:t>
      </w:r>
      <w:r>
        <w:rPr>
          <w:spacing w:val="3"/>
        </w:rPr>
        <w:t>本公司根据预期累计福利单位法确定的公式将设定受益计划产生的福利义务归属于职工提供服务的</w:t>
      </w:r>
    </w:p>
    <w:p>
      <w:pPr>
        <w:pStyle w:val="BodyText"/>
        <w:spacing w:line="408" w:lineRule="auto"/>
        <w:ind w:left="574" w:right="0" w:hanging="420"/>
        <w:jc w:val="left"/>
      </w:pPr>
      <w:r>
        <w:rPr/>
        <w:t>期间，并计入当期损益或相关资产成本。 </w:t>
      </w:r>
      <w:r>
        <w:rPr>
          <w:spacing w:val="3"/>
        </w:rPr>
        <w:t>设定受益计划义务现值减去设定受益计划资产公允价值所形成的赤字或盈余确认为一项设定受益计</w:t>
      </w:r>
    </w:p>
    <w:p>
      <w:pPr>
        <w:pStyle w:val="BodyText"/>
        <w:spacing w:line="408" w:lineRule="auto"/>
        <w:ind w:right="0"/>
        <w:jc w:val="left"/>
      </w:pPr>
      <w:r>
        <w:rPr>
          <w:spacing w:val="-1"/>
        </w:rPr>
        <w:t>划净负债或净资产。设定受益计划存在盈余的，本公司以设定受益计划的盈余和资产上限两项的孰低者计</w:t>
      </w:r>
      <w:r>
        <w:rPr>
          <w:spacing w:val="-81"/>
        </w:rPr>
        <w:t> </w:t>
      </w:r>
      <w:r>
        <w:rPr>
          <w:spacing w:val="-81"/>
        </w:rPr>
      </w:r>
      <w:r>
        <w:rPr/>
        <w:t>量设定受益计划净资产。 </w:t>
      </w:r>
    </w:p>
    <w:p>
      <w:pPr>
        <w:pStyle w:val="BodyText"/>
        <w:spacing w:line="408" w:lineRule="auto"/>
        <w:ind w:right="1108" w:firstLine="420"/>
        <w:jc w:val="both"/>
      </w:pPr>
      <w:r>
        <w:rPr/>
        <w:t>所有设定受益计划义务，包括预期在职工提供服务的年度报告期间结束后的十二个月内支付的义务， </w:t>
      </w:r>
      <w:r>
        <w:rPr>
          <w:spacing w:val="3"/>
        </w:rPr>
        <w:t>根据资产负债表日与设定受益计划义务期限和币种相匹配的国债或活跃市场上的高质量公司债券的市场</w:t>
      </w:r>
      <w:r>
        <w:rPr>
          <w:spacing w:val="-78"/>
        </w:rPr>
        <w:t> </w:t>
      </w:r>
      <w:r>
        <w:rPr>
          <w:spacing w:val="-78"/>
        </w:rPr>
      </w:r>
      <w:r>
        <w:rPr/>
        <w:t>收益率予以折现。 </w:t>
      </w:r>
    </w:p>
    <w:p>
      <w:pPr>
        <w:pStyle w:val="BodyText"/>
        <w:spacing w:line="408" w:lineRule="auto"/>
        <w:ind w:right="1108" w:firstLine="420"/>
        <w:jc w:val="both"/>
      </w:pPr>
      <w:r>
        <w:rPr>
          <w:spacing w:val="3"/>
        </w:rPr>
        <w:t>设定受益计划产生的服务成本和设定受益计划净负债或净资产的利息净额计入当期损益或相关资产</w:t>
      </w:r>
      <w:r>
        <w:rPr/>
        <w:t> </w:t>
      </w:r>
      <w:r>
        <w:rPr>
          <w:spacing w:val="-1"/>
        </w:rPr>
        <w:t>成本；重新计量设定受益计划净负债或净资产所产生的变动计入其他综合收益，并且在后续会计期间不转</w:t>
      </w:r>
      <w:r>
        <w:rPr>
          <w:spacing w:val="-81"/>
        </w:rPr>
        <w:t> </w:t>
      </w:r>
      <w:r>
        <w:rPr>
          <w:spacing w:val="-81"/>
        </w:rPr>
      </w:r>
      <w:r>
        <w:rPr/>
        <w:t>回至损益，在原设定受益计划终止时在权益范围内将原计入其他综合收益的部分全部结转至未分配利润。 </w:t>
      </w:r>
      <w:r>
        <w:rPr>
          <w:spacing w:val="-1"/>
        </w:rPr>
        <w:t>在设定受益计划结算时，按在结算日确定的设定受益计划义务现值和结算价格两者的差额，确认结算利得</w:t>
      </w:r>
      <w:r>
        <w:rPr>
          <w:spacing w:val="-81"/>
        </w:rPr>
        <w:t> </w:t>
      </w:r>
      <w:r>
        <w:rPr>
          <w:spacing w:val="-81"/>
        </w:rPr>
      </w:r>
      <w:r>
        <w:rPr/>
        <w:t>或损失。 </w:t>
      </w:r>
    </w:p>
    <w:p>
      <w:pPr>
        <w:pStyle w:val="BodyText"/>
        <w:spacing w:line="240" w:lineRule="auto"/>
        <w:ind w:left="574" w:right="0"/>
        <w:jc w:val="left"/>
      </w:pPr>
      <w:r>
        <w:rPr/>
        <w:t>详见本附注“五、(二十一)</w:t>
      </w:r>
      <w:r>
        <w:rPr>
          <w:spacing w:val="-4"/>
        </w:rPr>
        <w:t> </w:t>
      </w:r>
      <w:r>
        <w:rPr/>
        <w:t>应付职工薪酬”。 </w:t>
      </w:r>
    </w:p>
    <w:p>
      <w:pPr>
        <w:spacing w:line="240" w:lineRule="auto" w:before="0"/>
        <w:rPr>
          <w:rFonts w:ascii="宋体" w:hAnsi="宋体" w:cs="宋体" w:eastAsia="宋体" w:hint="default"/>
          <w:sz w:val="20"/>
          <w:szCs w:val="20"/>
        </w:rPr>
      </w:pPr>
    </w:p>
    <w:p>
      <w:pPr>
        <w:pStyle w:val="Heading4"/>
        <w:spacing w:line="240" w:lineRule="auto" w:before="154"/>
        <w:ind w:right="0"/>
        <w:jc w:val="left"/>
        <w:rPr>
          <w:b w:val="0"/>
          <w:bCs w:val="0"/>
        </w:rPr>
      </w:pP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153" w:right="0"/>
        <w:jc w:val="left"/>
      </w:pPr>
      <w:r>
        <w:rPr>
          <w:spacing w:val="-1"/>
        </w:rPr>
        <w:t>本公司在不能单方面撤回因解除劳动关系计划或裁减建议所提供的辞退福利时，或确认与涉及支付辞退福</w:t>
      </w:r>
      <w:r>
        <w:rPr>
          <w:spacing w:val="-81"/>
        </w:rPr>
        <w:t> </w:t>
      </w:r>
      <w:r>
        <w:rPr>
          <w:spacing w:val="-81"/>
        </w:rPr>
      </w:r>
      <w:r>
        <w:rPr/>
        <w:t>利的重组相关的成本或费用时（两者孰早），确认辞退福利产生的职工薪酬负债，并计入当期损益</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rFonts w:ascii="Times New Roman" w:hAnsi="Times New Roman" w:cs="Times New Roman" w:eastAsia="Times New Roman" w:hint="default"/>
        </w:rPr>
        <w:t>24</w:t>
      </w:r>
      <w:r>
        <w:rPr/>
        <w:t>、预计负债</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0"/>
        <w:jc w:val="left"/>
      </w:pPr>
      <w:r>
        <w:rPr/>
        <w:t>1、预计负债的确认标准 </w:t>
      </w:r>
      <w:r>
        <w:rPr>
          <w:spacing w:val="-1"/>
        </w:rPr>
        <w:t>与诉讼、债务担保、亏损合同、重组事项等或有事项相关的义务同时满足下列条件时，本公司确认为</w:t>
      </w:r>
    </w:p>
    <w:p>
      <w:pPr>
        <w:pStyle w:val="BodyText"/>
        <w:spacing w:line="240" w:lineRule="auto"/>
        <w:ind w:left="153" w:right="0"/>
        <w:jc w:val="left"/>
      </w:pPr>
      <w:r>
        <w:rPr/>
        <w:t>预计负债： </w:t>
      </w:r>
    </w:p>
    <w:p>
      <w:pPr>
        <w:spacing w:after="0" w:line="240"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left="574" w:right="0"/>
        <w:jc w:val="left"/>
      </w:pPr>
      <w:r>
        <w:rPr/>
        <w:t>（1）该义务是本公司承担的现时义务；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（2）履行该义务很可能导致经济利益流出本公司； </w:t>
      </w:r>
    </w:p>
    <w:p>
      <w:pPr>
        <w:spacing w:line="240" w:lineRule="auto" w:before="10"/>
        <w:rPr>
          <w:rFonts w:ascii="宋体" w:hAnsi="宋体" w:cs="宋体" w:eastAsia="宋体" w:hint="default"/>
          <w:sz w:val="14"/>
          <w:szCs w:val="14"/>
        </w:rPr>
      </w:pPr>
    </w:p>
    <w:p>
      <w:pPr>
        <w:pStyle w:val="BodyText"/>
        <w:spacing w:line="408" w:lineRule="auto" w:before="0"/>
        <w:ind w:left="574" w:right="6790"/>
        <w:jc w:val="left"/>
      </w:pPr>
      <w:r>
        <w:rPr/>
        <w:t>（3）该义务的金额能够可靠地计量。 2、各类预计负债的计量方法 </w:t>
      </w:r>
    </w:p>
    <w:p>
      <w:pPr>
        <w:pStyle w:val="BodyText"/>
        <w:spacing w:line="408" w:lineRule="auto"/>
        <w:ind w:right="1021" w:firstLine="420"/>
        <w:jc w:val="left"/>
      </w:pPr>
      <w:r>
        <w:rPr/>
        <w:t>本公司预计负债按履行相关现时义务所需的支出的最佳估计数进行初始计量。本公司在确定最佳估计 </w:t>
      </w:r>
      <w:r>
        <w:rPr>
          <w:spacing w:val="-3"/>
        </w:rPr>
        <w:t>数时，综合考虑与或有事项有关的风险、不确定性和货币时间价值等因素。对于货币时间价值影响重大的，</w:t>
      </w:r>
      <w:r>
        <w:rPr>
          <w:spacing w:val="-90"/>
        </w:rPr>
        <w:t> </w:t>
      </w:r>
      <w:r>
        <w:rPr>
          <w:spacing w:val="-90"/>
        </w:rPr>
      </w:r>
      <w:r>
        <w:rPr/>
        <w:t>通过对相关未来现金流出进行折现后确定最佳估计数。 </w:t>
      </w:r>
    </w:p>
    <w:p>
      <w:pPr>
        <w:pStyle w:val="BodyText"/>
        <w:spacing w:line="408" w:lineRule="auto"/>
        <w:ind w:left="574" w:right="0"/>
        <w:jc w:val="left"/>
      </w:pPr>
      <w:r>
        <w:rPr/>
        <w:t>最佳估计数分别以下情况处理： </w:t>
      </w:r>
      <w:r>
        <w:rPr>
          <w:spacing w:val="-1"/>
        </w:rPr>
        <w:t>所需支出存在一个连续范围（或区间），且该范围内各种结果发生的可能性相同的，则最佳估计数按</w:t>
      </w:r>
    </w:p>
    <w:p>
      <w:pPr>
        <w:pStyle w:val="BodyText"/>
        <w:spacing w:line="408" w:lineRule="auto"/>
        <w:ind w:left="574" w:right="0" w:hanging="420"/>
        <w:jc w:val="left"/>
      </w:pPr>
      <w:r>
        <w:rPr/>
        <w:t>照该范围的中间值即上下限金额的平均数确定。 </w:t>
      </w:r>
      <w:r>
        <w:rPr>
          <w:spacing w:val="-1"/>
        </w:rPr>
        <w:t>所需支出不存在一个连续范围（或区间），或虽然存在一个连续范围但该范围内各种结果发生的可能</w:t>
      </w:r>
    </w:p>
    <w:p>
      <w:pPr>
        <w:pStyle w:val="BodyText"/>
        <w:spacing w:line="408" w:lineRule="auto"/>
        <w:ind w:right="0"/>
        <w:jc w:val="left"/>
      </w:pPr>
      <w:r>
        <w:rPr>
          <w:spacing w:val="-1"/>
        </w:rPr>
        <w:t>性不相同的，如或有事项涉及单个项目的，则最佳估计数按照最可能发生金额确定；如或有事项涉及多个</w:t>
      </w:r>
      <w:r>
        <w:rPr>
          <w:spacing w:val="-83"/>
        </w:rPr>
        <w:t> </w:t>
      </w:r>
      <w:r>
        <w:rPr>
          <w:spacing w:val="-83"/>
        </w:rPr>
      </w:r>
      <w:r>
        <w:rPr/>
        <w:t>项目的，则最佳估计数按各种可能结果及相关概率计算确定。 </w:t>
      </w:r>
    </w:p>
    <w:p>
      <w:pPr>
        <w:pStyle w:val="BodyText"/>
        <w:spacing w:line="408" w:lineRule="auto"/>
        <w:ind w:right="0" w:firstLine="420"/>
        <w:jc w:val="left"/>
      </w:pPr>
      <w:r>
        <w:rPr>
          <w:spacing w:val="-1"/>
        </w:rPr>
        <w:t>本公司清偿预计负债所需支出全部或部分预期由第三方补偿的，补偿金额在基本确定能够收到时，作</w:t>
      </w:r>
      <w:r>
        <w:rPr/>
        <w:t> 为资产单独确认，确认的补偿金额不超过预计负债的账面价值。 </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25</w:t>
      </w:r>
      <w:r>
        <w:rPr/>
        <w:t>、股份支付</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153" w:right="0" w:firstLine="420"/>
        <w:jc w:val="left"/>
      </w:pPr>
      <w:r>
        <w:rPr>
          <w:spacing w:val="3"/>
        </w:rPr>
        <w:t>本公司的股份支付是为了获取职工[或其他方]提供服务而授予权益工具或者承担以权益工具为基础</w:t>
      </w:r>
      <w:r>
        <w:rPr/>
        <w:t> 确定的负债的交易。本公司的股份支付分为以权益结算的股份支付和以现金结算的股份支付。 </w:t>
      </w:r>
    </w:p>
    <w:p>
      <w:pPr>
        <w:pStyle w:val="BodyText"/>
        <w:spacing w:line="408" w:lineRule="auto"/>
        <w:ind w:left="573" w:right="0"/>
        <w:jc w:val="left"/>
      </w:pPr>
      <w:r>
        <w:rPr/>
        <w:t>1、以权益结算的股份支付及权益工具 </w:t>
      </w:r>
      <w:r>
        <w:rPr>
          <w:spacing w:val="-1"/>
        </w:rPr>
        <w:t>以权益结算的股份支付换取职工提供服务的，以授予职工权益工具的公允价值计量。本公司以限制性</w:t>
      </w:r>
    </w:p>
    <w:p>
      <w:pPr>
        <w:pStyle w:val="BodyText"/>
        <w:spacing w:line="408" w:lineRule="auto"/>
        <w:ind w:left="153" w:right="0"/>
        <w:jc w:val="left"/>
      </w:pPr>
      <w:r>
        <w:rPr/>
        <w:t>股票进行股份支付的，职工出资认购股票，股票在达到解锁条件并解锁前不得上市流通或转让；如果最终 股权激励计划规定的解锁条件未能达到，则本公司按照事先约定的价格回购股票。本公司取得职工认购限 制性股票支付的款项时，按照取得的认股款确认股本和资本公积（股本溢价），同时就回购义务全额确认 一项负债并确认库存股。在等待期内每个资产负债表日，本公司根据最新取得的[可行权职工人数变动]</w:t>
      </w:r>
      <w:r>
        <w:rPr>
          <w:spacing w:val="-45"/>
        </w:rPr>
        <w:t> </w:t>
      </w:r>
      <w:r>
        <w:rPr/>
        <w:t>、</w:t>
      </w:r>
      <w:r>
        <w:rPr>
          <w:spacing w:val="-1"/>
        </w:rPr>
        <w:t> </w:t>
      </w:r>
      <w:r>
        <w:rPr/>
        <w:t>[是否达到规定业绩条件]等后续信息对可行权权益工具数量作出最佳估计，以此为基础，按照授予日的公</w:t>
      </w:r>
      <w:r>
        <w:rPr/>
        <w:t> 允价值，将当期取得的服务计入相关成本或费用，相应增加资本公积。在可行权日之后不再对已确认的相 关成本或费用和所有者权益总额进行调整。但授予后立即可行权的，在授予日按照公允价值计入相关成本 或费用，相应增加资本公积。 </w:t>
      </w:r>
    </w:p>
    <w:p>
      <w:pPr>
        <w:pStyle w:val="BodyText"/>
        <w:spacing w:line="240" w:lineRule="auto"/>
        <w:ind w:left="573" w:right="0"/>
        <w:jc w:val="left"/>
      </w:pPr>
      <w:r>
        <w:rPr/>
        <w:t>对于最终未能行权的股份支付，不确认成本或费用，除非行权条件是市场条件或非可行权条件，此时</w:t>
      </w:r>
    </w:p>
    <w:p>
      <w:pPr>
        <w:spacing w:after="0" w:line="240"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left="574" w:right="0" w:hanging="420"/>
        <w:jc w:val="left"/>
      </w:pPr>
      <w:r>
        <w:rPr/>
        <w:t>无论是否满足市场条件或非可行权条件，只要满足所有可行权条件中的非市场条件，即视为可行权。 </w:t>
      </w:r>
      <w:r>
        <w:rPr>
          <w:spacing w:val="-1"/>
        </w:rPr>
        <w:t>如果修改了以权益结算的股份支付的条款，至少按照未修改条款的情况确认取得的服务。此外，任何</w:t>
      </w:r>
    </w:p>
    <w:p>
      <w:pPr>
        <w:pStyle w:val="BodyText"/>
        <w:spacing w:line="408" w:lineRule="auto"/>
        <w:ind w:left="574" w:right="0" w:hanging="420"/>
        <w:jc w:val="left"/>
      </w:pPr>
      <w:r>
        <w:rPr/>
        <w:t>增加所授予权益工具公允价值的修改，或在修改日对职工有利的变更，均确认取得服务的增加。 </w:t>
      </w:r>
      <w:r>
        <w:rPr>
          <w:spacing w:val="-1"/>
        </w:rPr>
        <w:t>如果取消了以权益结算的股份支付，则于取消日作为加速行权处理，立即确认尚未确认的金额。职工</w:t>
      </w:r>
    </w:p>
    <w:p>
      <w:pPr>
        <w:pStyle w:val="BodyText"/>
        <w:spacing w:line="408" w:lineRule="auto"/>
        <w:ind w:left="153" w:right="1022"/>
        <w:jc w:val="left"/>
      </w:pPr>
      <w:r>
        <w:rPr>
          <w:spacing w:val="-3"/>
        </w:rPr>
        <w:t>或其他方能够选择满足非可行权条件但在等待期内未满足的，作为取消以权益结算的股份支付处理。但是，</w:t>
      </w:r>
      <w:r>
        <w:rPr>
          <w:spacing w:val="-92"/>
        </w:rPr>
        <w:t> </w:t>
      </w:r>
      <w:r>
        <w:rPr>
          <w:spacing w:val="-92"/>
        </w:rPr>
      </w:r>
      <w:r>
        <w:rPr>
          <w:spacing w:val="3"/>
        </w:rPr>
        <w:t>如果授予新的权益工具，并在新权益工具授予日认定所授予的新权益工具是用于替代被取消的权益工具</w:t>
      </w:r>
      <w:r>
        <w:rPr>
          <w:spacing w:val="-78"/>
        </w:rPr>
        <w:t> </w:t>
      </w:r>
      <w:r>
        <w:rPr>
          <w:spacing w:val="-78"/>
        </w:rPr>
      </w:r>
      <w:r>
        <w:rPr/>
        <w:t>的，则以与处理原权益工具条款和条件修改相同的方式，对所授予的替代权益工具进行处理。 </w:t>
      </w:r>
    </w:p>
    <w:p>
      <w:pPr>
        <w:pStyle w:val="BodyText"/>
        <w:spacing w:line="408" w:lineRule="auto"/>
        <w:ind w:left="573" w:right="0"/>
        <w:jc w:val="left"/>
      </w:pPr>
      <w:r>
        <w:rPr/>
        <w:t>2、以现金结算的股份支付及权益工具 </w:t>
      </w:r>
      <w:r>
        <w:rPr>
          <w:spacing w:val="-1"/>
        </w:rPr>
        <w:t>以现金结算的股份支付，按照本公司承担的以股份或其他权益工具为基础计算确定的负债的公允价值</w:t>
      </w:r>
    </w:p>
    <w:p>
      <w:pPr>
        <w:pStyle w:val="BodyText"/>
        <w:spacing w:line="408" w:lineRule="auto"/>
        <w:ind w:left="153" w:right="1130"/>
        <w:jc w:val="both"/>
      </w:pPr>
      <w:r>
        <w:rPr>
          <w:spacing w:val="-1"/>
        </w:rPr>
        <w:t>计量。授予后立即可行权的，在授予日以承担负债的公允价值计入成本或费用，相应增加负债；完成等待</w:t>
      </w:r>
      <w:r>
        <w:rPr>
          <w:spacing w:val="-82"/>
        </w:rPr>
        <w:t> </w:t>
      </w:r>
      <w:r>
        <w:rPr>
          <w:spacing w:val="-82"/>
        </w:rPr>
      </w:r>
      <w:r>
        <w:rPr>
          <w:spacing w:val="-1"/>
        </w:rPr>
        <w:t>期内的服务或达到规定业绩条件才可行权的，在等待期内以对可行权情况的最佳估计为基础，按照承担负</w:t>
      </w:r>
      <w:r>
        <w:rPr>
          <w:spacing w:val="-81"/>
        </w:rPr>
        <w:t> </w:t>
      </w:r>
      <w:r>
        <w:rPr>
          <w:spacing w:val="-81"/>
        </w:rPr>
      </w:r>
      <w:r>
        <w:rPr>
          <w:spacing w:val="-1"/>
        </w:rPr>
        <w:t>债的公允价值，将当期取得的服务计入相关成本或费用，增加相应负债。在相关负债结算前的每个资产负</w:t>
      </w:r>
      <w:r>
        <w:rPr>
          <w:spacing w:val="-83"/>
        </w:rPr>
        <w:t> </w:t>
      </w:r>
      <w:r>
        <w:rPr>
          <w:spacing w:val="-83"/>
        </w:rPr>
      </w:r>
      <w:r>
        <w:rPr/>
        <w:t>债表日以及结算日，对负债的公允价值重新计量，其变动计入当期损益。 </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rFonts w:ascii="Times New Roman" w:hAnsi="Times New Roman" w:cs="Times New Roman" w:eastAsia="Times New Roman" w:hint="default"/>
        </w:rPr>
        <w:t>26</w:t>
      </w:r>
      <w:r>
        <w:rPr/>
        <w:t>、收入</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6"/>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pStyle w:val="BodyText"/>
        <w:spacing w:line="408" w:lineRule="auto" w:before="155"/>
        <w:ind w:left="574" w:right="0"/>
        <w:jc w:val="left"/>
      </w:pPr>
      <w:r>
        <w:rPr/>
        <w:t>1、销售商品收入确认时间的具体判断标准 </w:t>
      </w:r>
      <w:r>
        <w:rPr>
          <w:spacing w:val="-1"/>
        </w:rPr>
        <w:t>销售商品收入确认和计量的总体原则公司已将商品所有权上的主要风险和报酬转移给购买方；公司既</w:t>
      </w:r>
    </w:p>
    <w:p>
      <w:pPr>
        <w:pStyle w:val="BodyText"/>
        <w:spacing w:line="408" w:lineRule="auto"/>
        <w:ind w:right="1131"/>
        <w:jc w:val="both"/>
      </w:pPr>
      <w:r>
        <w:rPr>
          <w:spacing w:val="-1"/>
        </w:rPr>
        <w:t>没有保留与所有权相联系的继续管理权，也没有对已售出的商品实施有效控制；收入的金额能够可靠地计</w:t>
      </w:r>
      <w:r>
        <w:rPr>
          <w:spacing w:val="-81"/>
        </w:rPr>
        <w:t> </w:t>
      </w:r>
      <w:r>
        <w:rPr>
          <w:spacing w:val="-81"/>
        </w:rPr>
      </w:r>
      <w:r>
        <w:rPr>
          <w:spacing w:val="-1"/>
        </w:rPr>
        <w:t>量；相关的经济利益很可能流入企业；相关的已发生或将发生的成本能够可靠地计量时，确认商品销售收</w:t>
      </w:r>
      <w:r>
        <w:rPr>
          <w:spacing w:val="-83"/>
        </w:rPr>
        <w:t> </w:t>
      </w:r>
      <w:r>
        <w:rPr>
          <w:spacing w:val="-83"/>
        </w:rPr>
      </w:r>
      <w:r>
        <w:rPr/>
        <w:t>入实现。 </w:t>
      </w:r>
    </w:p>
    <w:p>
      <w:pPr>
        <w:pStyle w:val="BodyText"/>
        <w:spacing w:line="408" w:lineRule="auto"/>
        <w:ind w:left="574" w:right="0"/>
        <w:jc w:val="left"/>
      </w:pPr>
      <w:r>
        <w:rPr/>
        <w:t>2、确认让渡资产使用权收入的依据 </w:t>
      </w:r>
      <w:r>
        <w:rPr>
          <w:spacing w:val="-1"/>
        </w:rPr>
        <w:t>与交易相关的经济利益很可能流入企业，收入的金额能够可靠地计量时。分别下列情况确定让渡资产</w:t>
      </w:r>
    </w:p>
    <w:p>
      <w:pPr>
        <w:pStyle w:val="BodyText"/>
        <w:spacing w:line="240" w:lineRule="auto"/>
        <w:ind w:right="0"/>
        <w:jc w:val="left"/>
      </w:pPr>
      <w:r>
        <w:rPr/>
        <w:t>使用权收入金额： </w:t>
      </w:r>
    </w:p>
    <w:p>
      <w:pPr>
        <w:spacing w:line="240" w:lineRule="auto" w:before="10"/>
        <w:rPr>
          <w:rFonts w:ascii="宋体" w:hAnsi="宋体" w:cs="宋体" w:eastAsia="宋体" w:hint="default"/>
          <w:sz w:val="14"/>
          <w:szCs w:val="14"/>
        </w:rPr>
      </w:pPr>
    </w:p>
    <w:p>
      <w:pPr>
        <w:pStyle w:val="BodyText"/>
        <w:spacing w:line="240" w:lineRule="auto" w:before="0"/>
        <w:ind w:left="574" w:right="0"/>
        <w:jc w:val="left"/>
      </w:pPr>
      <w:r>
        <w:rPr/>
        <w:t>（1）利息收入金额，按照他人使用本企业货币资金的时间和实际利率计算确定。 </w:t>
      </w:r>
    </w:p>
    <w:p>
      <w:pPr>
        <w:spacing w:line="240" w:lineRule="auto" w:before="10"/>
        <w:rPr>
          <w:rFonts w:ascii="宋体" w:hAnsi="宋体" w:cs="宋体" w:eastAsia="宋体" w:hint="default"/>
          <w:sz w:val="14"/>
          <w:szCs w:val="14"/>
        </w:rPr>
      </w:pPr>
    </w:p>
    <w:p>
      <w:pPr>
        <w:pStyle w:val="BodyText"/>
        <w:spacing w:line="408" w:lineRule="auto" w:before="0"/>
        <w:ind w:left="574" w:right="0"/>
        <w:jc w:val="left"/>
      </w:pPr>
      <w:r>
        <w:rPr/>
        <w:t>（2）使用费收入金额，按照有关合同或协议约定的收费时间和方法计算确定。 3、按完工百分比法确认提供劳务的收入和建造合同收入时，确定合同完工进度的依据和方法 </w:t>
      </w:r>
      <w:r>
        <w:rPr>
          <w:spacing w:val="-1"/>
        </w:rPr>
        <w:t>在资产负债表日提供劳务交易的结果能够可靠估计的，采用完工百分比法确认提供劳务收入。提供劳</w:t>
      </w:r>
    </w:p>
    <w:p>
      <w:pPr>
        <w:pStyle w:val="BodyText"/>
        <w:spacing w:line="240" w:lineRule="auto"/>
        <w:ind w:right="0"/>
        <w:jc w:val="left"/>
      </w:pPr>
      <w:r>
        <w:rPr/>
        <w:t>务交易的完工进度，依据已完工作的测量确定。 </w:t>
      </w:r>
    </w:p>
    <w:p>
      <w:pPr>
        <w:spacing w:after="0" w:line="240"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right="1130" w:firstLine="420"/>
        <w:jc w:val="both"/>
      </w:pPr>
      <w:r>
        <w:rPr>
          <w:spacing w:val="-1"/>
        </w:rPr>
        <w:t>按照已收或应收的合同或协议价款确定提供劳务收入总额，但已收或应收的合同或协议价款不公允的</w:t>
      </w:r>
      <w:r>
        <w:rPr/>
        <w:t> </w:t>
      </w:r>
      <w:r>
        <w:rPr>
          <w:spacing w:val="-1"/>
        </w:rPr>
        <w:t>除外。资产负债表日按照提供劳务收入总额乘以完工进度扣除以前会计期间累计已确认提供劳务收入后的</w:t>
      </w:r>
      <w:r>
        <w:rPr>
          <w:spacing w:val="-81"/>
        </w:rPr>
        <w:t> </w:t>
      </w:r>
      <w:r>
        <w:rPr>
          <w:spacing w:val="-81"/>
        </w:rPr>
      </w:r>
      <w:r>
        <w:rPr>
          <w:spacing w:val="-1"/>
        </w:rPr>
        <w:t>金额，确认当期提供劳务收入；同时，按照提供劳务估计总成本乘以完工进度扣除以前会计期间累计已确</w:t>
      </w:r>
      <w:r>
        <w:rPr>
          <w:spacing w:val="-83"/>
        </w:rPr>
        <w:t> </w:t>
      </w:r>
      <w:r>
        <w:rPr>
          <w:spacing w:val="-83"/>
        </w:rPr>
      </w:r>
      <w:r>
        <w:rPr/>
        <w:t>认劳务成本后的金额，结转当期劳务成本。 </w:t>
      </w:r>
    </w:p>
    <w:p>
      <w:pPr>
        <w:pStyle w:val="BodyText"/>
        <w:spacing w:line="240" w:lineRule="auto"/>
        <w:ind w:left="574" w:right="0"/>
        <w:jc w:val="left"/>
      </w:pPr>
      <w:r>
        <w:rPr/>
        <w:t>在资产负债表日提供劳务交易结果不能够可靠估计的，分别下列情况处理： </w:t>
      </w:r>
    </w:p>
    <w:p>
      <w:pPr>
        <w:spacing w:line="240" w:lineRule="auto" w:before="10"/>
        <w:rPr>
          <w:rFonts w:ascii="宋体" w:hAnsi="宋体" w:cs="宋体" w:eastAsia="宋体" w:hint="default"/>
          <w:sz w:val="14"/>
          <w:szCs w:val="14"/>
        </w:rPr>
      </w:pPr>
    </w:p>
    <w:p>
      <w:pPr>
        <w:pStyle w:val="BodyText"/>
        <w:spacing w:line="408" w:lineRule="auto" w:before="0"/>
        <w:ind w:right="1213" w:firstLine="420"/>
        <w:jc w:val="both"/>
      </w:pPr>
      <w:r>
        <w:rPr/>
        <w:t>（1）已经发生的劳务成本预计能够得到补偿的，按照已经发生的劳务成本金额确认提供劳务收入， 并按相同金额结转劳务成本。 </w:t>
      </w:r>
    </w:p>
    <w:p>
      <w:pPr>
        <w:pStyle w:val="BodyText"/>
        <w:spacing w:line="408" w:lineRule="auto"/>
        <w:ind w:right="1213" w:firstLine="420"/>
        <w:jc w:val="both"/>
      </w:pPr>
      <w:r>
        <w:rPr/>
        <w:t>（2）已经发生的劳务成本预计不能够得到补偿的，将已经发生的劳务成本计入当期损益，不确认提 供劳务收入。 </w:t>
      </w:r>
    </w:p>
    <w:p>
      <w:pPr>
        <w:pStyle w:val="BodyText"/>
        <w:spacing w:line="408" w:lineRule="auto"/>
        <w:ind w:left="574" w:right="2650"/>
        <w:jc w:val="left"/>
      </w:pPr>
      <w:r>
        <w:rPr/>
        <w:t>4、本公司收入确认的具体方法 版权技术业务：根据版权技术服务阶段性成果确认收入； 版权保护业务：完成版权认证服务后确认收入； 版权交易业务：根据交易平台数据核对后确认收入； 版权增值业务：完成版权增值服务后确认收入； 商务信息用纸：购货方收到货物并签收后确认收入； 影视剧投资业务：根据联合摄制主导方的实际结算单金额确认收入。 </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27</w:t>
      </w:r>
      <w:r>
        <w:rPr/>
        <w:t>、政府补助</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1117"/>
        <w:jc w:val="left"/>
      </w:pPr>
      <w:r>
        <w:rPr/>
        <w:t>1.类型 </w:t>
      </w:r>
      <w:r>
        <w:rPr>
          <w:spacing w:val="-1"/>
        </w:rPr>
        <w:t>政府补助，是本公司从政府无偿取得的货币性资产与非货币性资产。分为与资产相关的政府补助和与</w:t>
      </w:r>
    </w:p>
    <w:p>
      <w:pPr>
        <w:pStyle w:val="BodyText"/>
        <w:spacing w:line="408" w:lineRule="auto"/>
        <w:ind w:left="573" w:right="0" w:hanging="420"/>
        <w:jc w:val="left"/>
      </w:pPr>
      <w:r>
        <w:rPr/>
        <w:t>收益相关的政府补助。 </w:t>
      </w:r>
      <w:r>
        <w:rPr>
          <w:spacing w:val="-1"/>
        </w:rPr>
        <w:t>与资产相关的政府补助，是指本公司取得的、用于购建或以其他方式形成长期资产的政府补助。与收</w:t>
      </w:r>
    </w:p>
    <w:p>
      <w:pPr>
        <w:pStyle w:val="BodyText"/>
        <w:spacing w:line="408" w:lineRule="auto"/>
        <w:ind w:left="573" w:right="2650" w:hanging="420"/>
        <w:jc w:val="left"/>
      </w:pPr>
      <w:r>
        <w:rPr/>
        <w:t>益相关的政府补助，是指除与资产相关的政府补助之外的政府补助。 2.政府补助确认时点 </w:t>
      </w:r>
    </w:p>
    <w:p>
      <w:pPr>
        <w:pStyle w:val="BodyText"/>
        <w:spacing w:line="408" w:lineRule="auto"/>
        <w:ind w:left="573" w:right="6470"/>
        <w:jc w:val="left"/>
      </w:pPr>
      <w:r>
        <w:rPr/>
        <w:t>按实际收到政府补助款项为确认时点。 3、会计处理 </w:t>
      </w:r>
    </w:p>
    <w:p>
      <w:pPr>
        <w:pStyle w:val="BodyText"/>
        <w:spacing w:line="408" w:lineRule="auto"/>
        <w:ind w:left="153" w:right="1130" w:firstLine="420"/>
        <w:jc w:val="both"/>
      </w:pPr>
      <w:r>
        <w:rPr>
          <w:spacing w:val="-1"/>
        </w:rPr>
        <w:t>与资产相关的政府补助，冲减相关资产账面价值或确认为递延收益。确认为递延收益的，在相关资产</w:t>
      </w:r>
      <w:r>
        <w:rPr/>
        <w:t> </w:t>
      </w:r>
      <w:r>
        <w:rPr>
          <w:spacing w:val="-1"/>
        </w:rPr>
        <w:t>使用寿命内按照合理、系统的方法分期计入当期损益（与本公司日常活动相关的，计入其他收益；与本公</w:t>
      </w:r>
      <w:r>
        <w:rPr>
          <w:spacing w:val="-82"/>
        </w:rPr>
        <w:t> </w:t>
      </w:r>
      <w:r>
        <w:rPr>
          <w:spacing w:val="-82"/>
        </w:rPr>
      </w:r>
      <w:r>
        <w:rPr/>
        <w:t>司日常活动无关的，计入营业外收入）； </w:t>
      </w:r>
    </w:p>
    <w:p>
      <w:pPr>
        <w:pStyle w:val="BodyText"/>
        <w:spacing w:line="240" w:lineRule="auto"/>
        <w:ind w:left="573" w:right="0"/>
        <w:jc w:val="left"/>
      </w:pPr>
      <w:r>
        <w:rPr/>
        <w:t>与收益相关的政府补助，用于补偿本公司以后期间的相关成本费用或损失的，确认为递延收益，并在</w:t>
      </w:r>
    </w:p>
    <w:p>
      <w:pPr>
        <w:spacing w:after="0" w:line="240"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408" w:lineRule="auto" w:before="35"/>
        <w:ind w:right="1130"/>
        <w:jc w:val="both"/>
      </w:pPr>
      <w:r>
        <w:rPr>
          <w:spacing w:val="-1"/>
        </w:rPr>
        <w:t>确认相关成本费用或损失的期间，计入当期损益（与本公司日常活动相关的，计入其他收益；与本公司日</w:t>
      </w:r>
      <w:r>
        <w:rPr>
          <w:spacing w:val="-82"/>
        </w:rPr>
        <w:t> </w:t>
      </w:r>
      <w:r>
        <w:rPr>
          <w:spacing w:val="-82"/>
        </w:rPr>
      </w:r>
      <w:r>
        <w:rPr>
          <w:spacing w:val="-1"/>
        </w:rPr>
        <w:t>常活动无关的，计入营业外收入）或冲减相关成本费用或损失；用于补偿本公司已发生的相关成本费用或</w:t>
      </w:r>
      <w:r>
        <w:rPr>
          <w:spacing w:val="-83"/>
        </w:rPr>
        <w:t> </w:t>
      </w:r>
      <w:r>
        <w:rPr>
          <w:spacing w:val="-83"/>
        </w:rPr>
      </w:r>
      <w:r>
        <w:rPr>
          <w:spacing w:val="-1"/>
        </w:rPr>
        <w:t>损失的，直接计入当期损益（与本公司日常活动相关的，计入其他收益；与本公司日常活动无关的，计入</w:t>
      </w:r>
      <w:r>
        <w:rPr>
          <w:spacing w:val="-83"/>
        </w:rPr>
        <w:t> </w:t>
      </w:r>
      <w:r>
        <w:rPr>
          <w:spacing w:val="-83"/>
        </w:rPr>
      </w:r>
      <w:r>
        <w:rPr/>
        <w:t>营业外收入）或冲减相关成本费用或损失。 </w:t>
      </w:r>
    </w:p>
    <w:p>
      <w:pPr>
        <w:pStyle w:val="BodyText"/>
        <w:spacing w:line="240" w:lineRule="auto"/>
        <w:ind w:left="574" w:right="0"/>
        <w:jc w:val="left"/>
      </w:pPr>
      <w:r>
        <w:rPr/>
        <w:t>本公司取得的政策性优惠贷款贴息，区分以下两种情况，分别进行会计处理： </w:t>
      </w:r>
    </w:p>
    <w:p>
      <w:pPr>
        <w:spacing w:line="240" w:lineRule="auto" w:before="10"/>
        <w:rPr>
          <w:rFonts w:ascii="宋体" w:hAnsi="宋体" w:cs="宋体" w:eastAsia="宋体" w:hint="default"/>
          <w:sz w:val="14"/>
          <w:szCs w:val="14"/>
        </w:rPr>
      </w:pPr>
    </w:p>
    <w:p>
      <w:pPr>
        <w:pStyle w:val="BodyText"/>
        <w:spacing w:line="408" w:lineRule="auto" w:before="0"/>
        <w:ind w:right="0" w:firstLine="420"/>
        <w:jc w:val="left"/>
      </w:pPr>
      <w:r>
        <w:rPr/>
        <w:t>（1）财政将贴息资金拨付给贷款银行，由贷款银行以政策性优惠利率向本公司提供贷款的，本公司</w:t>
      </w:r>
      <w:r>
        <w:rPr>
          <w:spacing w:val="2"/>
        </w:rPr>
        <w:t> </w:t>
      </w:r>
      <w:r>
        <w:rPr/>
        <w:t>以实际收到的借款金额作为借款的入账价值，按照借款本金和该政策性优惠利率计算相关借款费用。 </w:t>
      </w:r>
    </w:p>
    <w:p>
      <w:pPr>
        <w:pStyle w:val="BodyText"/>
        <w:spacing w:line="240" w:lineRule="auto"/>
        <w:ind w:left="574" w:right="0"/>
        <w:jc w:val="left"/>
      </w:pPr>
      <w:r>
        <w:rPr/>
        <w:t>（2）财政将贴息资金直接拨付给本公司的，本公司将对应的贴息冲减相关借款费用。 </w:t>
      </w:r>
    </w:p>
    <w:p>
      <w:pPr>
        <w:spacing w:line="670" w:lineRule="atLeast" w:before="37"/>
        <w:ind w:left="574" w:right="0" w:hanging="42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28</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b/>
          <w:bCs/>
          <w:w w:val="99"/>
          <w:sz w:val="21"/>
          <w:szCs w:val="21"/>
        </w:rPr>
        <w:t> </w:t>
      </w:r>
      <w:r>
        <w:rPr>
          <w:rFonts w:ascii="宋体" w:hAnsi="宋体" w:cs="宋体" w:eastAsia="宋体" w:hint="default"/>
          <w:spacing w:val="-1"/>
          <w:sz w:val="21"/>
          <w:szCs w:val="21"/>
        </w:rPr>
        <w:t>对于可抵扣暂时性差异确认递延所得税资产，以未来期间很可能取得的用来抵扣可抵扣暂时性差异的</w:t>
      </w:r>
    </w:p>
    <w:p>
      <w:pPr>
        <w:spacing w:line="240" w:lineRule="auto" w:before="10"/>
        <w:rPr>
          <w:rFonts w:ascii="宋体" w:hAnsi="宋体" w:cs="宋体" w:eastAsia="宋体" w:hint="default"/>
          <w:sz w:val="14"/>
          <w:szCs w:val="14"/>
        </w:rPr>
      </w:pPr>
    </w:p>
    <w:p>
      <w:pPr>
        <w:pStyle w:val="BodyText"/>
        <w:spacing w:line="408" w:lineRule="auto" w:before="0"/>
        <w:ind w:right="0"/>
        <w:jc w:val="left"/>
      </w:pPr>
      <w:r>
        <w:rPr>
          <w:spacing w:val="-1"/>
        </w:rPr>
        <w:t>应纳税所得额为限。对于能够结转以后年度的可抵扣亏损和税款抵减，以很可能获得用来抵扣可抵扣亏损</w:t>
      </w:r>
      <w:r>
        <w:rPr>
          <w:spacing w:val="-81"/>
        </w:rPr>
        <w:t> </w:t>
      </w:r>
      <w:r>
        <w:rPr>
          <w:spacing w:val="-81"/>
        </w:rPr>
      </w:r>
      <w:r>
        <w:rPr/>
        <w:t>和税款抵减的未来应纳税所得额为限，确认相应的递延所得税资产。</w:t>
      </w:r>
    </w:p>
    <w:p>
      <w:pPr>
        <w:pStyle w:val="BodyText"/>
        <w:spacing w:line="408" w:lineRule="auto"/>
        <w:ind w:left="574" w:right="0"/>
        <w:jc w:val="left"/>
      </w:pPr>
      <w:r>
        <w:rPr/>
        <w:t>对于应纳税暂时性差异，除特殊情况外，确认递延所得税负债。 </w:t>
      </w:r>
      <w:r>
        <w:rPr>
          <w:spacing w:val="-1"/>
        </w:rPr>
        <w:t>不确认递延所得税资产或递延所得税负债的特殊情况包括：商誉的初始确认；除企业合并以外的发生</w:t>
      </w:r>
    </w:p>
    <w:p>
      <w:pPr>
        <w:pStyle w:val="BodyText"/>
        <w:spacing w:line="408" w:lineRule="auto"/>
        <w:ind w:left="574" w:right="0" w:hanging="420"/>
        <w:jc w:val="left"/>
      </w:pPr>
      <w:r>
        <w:rPr/>
        <w:t>时既不影响会计利润也不影响应纳税所得额（或可抵扣亏损）的其他交易或事项。 </w:t>
      </w:r>
      <w:r>
        <w:rPr>
          <w:spacing w:val="-1"/>
        </w:rPr>
        <w:t>当拥有以净额结算的法定权利，且意图以净额结算或取得资产、清偿负债同时进行时，当期所得税资</w:t>
      </w:r>
    </w:p>
    <w:p>
      <w:pPr>
        <w:pStyle w:val="BodyText"/>
        <w:spacing w:line="408" w:lineRule="auto"/>
        <w:ind w:right="0"/>
        <w:jc w:val="left"/>
      </w:pPr>
      <w:r>
        <w:rPr/>
        <w:t>产及当期所得税负债以抵销后的净额列报。 </w:t>
      </w:r>
      <w:r>
        <w:rPr>
          <w:spacing w:val="-1"/>
        </w:rPr>
        <w:t>当拥有以净额结算当期所得税资产及当期所得税负债的法定权利，且递延所得税资产及递延所得税负债是</w:t>
      </w:r>
      <w:r>
        <w:rPr>
          <w:spacing w:val="-81"/>
        </w:rPr>
        <w:t> </w:t>
      </w:r>
      <w:r>
        <w:rPr>
          <w:spacing w:val="-81"/>
        </w:rPr>
      </w:r>
      <w:r>
        <w:rPr>
          <w:spacing w:val="-1"/>
        </w:rPr>
        <w:t>与同一税收征管部门对同一纳税主体征收的所得税相关或者是对不同的纳税主体相关，但在未来每一具有</w:t>
      </w:r>
      <w:r>
        <w:rPr>
          <w:spacing w:val="-81"/>
        </w:rPr>
        <w:t> </w:t>
      </w:r>
      <w:r>
        <w:rPr>
          <w:spacing w:val="-81"/>
        </w:rPr>
      </w:r>
      <w:r>
        <w:rPr>
          <w:spacing w:val="-1"/>
        </w:rPr>
        <w:t>重要性的递延所得税资产及负债转回的期间内，涉及的纳税主体意图以净额结算当期所得税资产和负债或</w:t>
      </w:r>
      <w:r>
        <w:rPr>
          <w:spacing w:val="-81"/>
        </w:rPr>
        <w:t> </w:t>
      </w:r>
      <w:r>
        <w:rPr>
          <w:spacing w:val="-81"/>
        </w:rPr>
      </w:r>
      <w:r>
        <w:rPr/>
        <w:t>是同时取得资产、清偿负债时，递延所得税资产及递延所得税负债以抵销后的净额列报。</w:t>
      </w:r>
    </w:p>
    <w:p>
      <w:pPr>
        <w:spacing w:line="240" w:lineRule="auto" w:before="8"/>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29</w:t>
      </w:r>
      <w:r>
        <w:rPr/>
        <w:t>、租赁</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7"/>
        <w:rPr>
          <w:rFonts w:ascii="宋体" w:hAnsi="宋体" w:cs="宋体" w:eastAsia="宋体" w:hint="default"/>
          <w:b/>
          <w:bCs/>
          <w:sz w:val="30"/>
          <w:szCs w:val="30"/>
        </w:rPr>
      </w:pPr>
    </w:p>
    <w:p>
      <w:pPr>
        <w:pStyle w:val="BodyText"/>
        <w:spacing w:line="386" w:lineRule="auto" w:before="0"/>
        <w:ind w:right="0" w:firstLine="420"/>
        <w:jc w:val="left"/>
      </w:pPr>
      <w:r>
        <w:rPr/>
        <w:t>（</w:t>
      </w:r>
      <w:r>
        <w:rPr>
          <w:rFonts w:ascii="Times New Roman" w:hAnsi="Times New Roman" w:cs="Times New Roman" w:eastAsia="Times New Roman" w:hint="default"/>
        </w:rPr>
        <w:t>1</w:t>
      </w:r>
      <w:r>
        <w:rPr/>
        <w:t>）公司租入资产所支付的租赁费，在不扣除免租期的整个租赁期内，按直线法进行分摊，计入当</w:t>
      </w:r>
      <w:r>
        <w:rPr>
          <w:spacing w:val="2"/>
        </w:rPr>
        <w:t> </w:t>
      </w:r>
      <w:r>
        <w:rPr/>
        <w:t>期费用。公司支付的与租赁交易相关的初始直接费用，计入当期费用。</w:t>
      </w:r>
    </w:p>
    <w:p>
      <w:pPr>
        <w:pStyle w:val="BodyText"/>
        <w:spacing w:line="408" w:lineRule="auto" w:before="65"/>
        <w:ind w:right="0" w:firstLine="420"/>
        <w:jc w:val="left"/>
      </w:pPr>
      <w:r>
        <w:rPr>
          <w:spacing w:val="-1"/>
        </w:rPr>
        <w:t>资产出租方承担了应由公司承担的与租赁相关的费用时，公司将该部分费用从租金总额中扣除，按扣</w:t>
      </w:r>
      <w:r>
        <w:rPr/>
        <w:t> 除后的租金费用在租赁期内分摊，计入当期费用。</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398" w:lineRule="auto" w:before="35"/>
        <w:ind w:right="1108" w:firstLine="168"/>
        <w:jc w:val="both"/>
      </w:pPr>
      <w:r>
        <w:rPr>
          <w:spacing w:val="-2"/>
        </w:rPr>
        <w:t>（</w:t>
      </w:r>
      <w:r>
        <w:rPr>
          <w:rFonts w:ascii="Times New Roman" w:hAnsi="Times New Roman" w:cs="Times New Roman" w:eastAsia="Times New Roman" w:hint="default"/>
          <w:spacing w:val="-2"/>
        </w:rPr>
        <w:t>2</w:t>
      </w:r>
      <w:r>
        <w:rPr>
          <w:spacing w:val="-2"/>
        </w:rPr>
        <w:t>）公司出租资产所收取的租赁费，在不扣除免租期的整个租赁期内，按直线法进行分摊，确认为租赁</w:t>
      </w:r>
      <w:r>
        <w:rPr/>
        <w:t> 相关收入。公司支付的与租赁交易相关的初始直接费用，计入当期费用；如金额较大的，则予以资本化， 在整个租赁期间内按照与租赁相关收入确认相同的基础分期计入当期收益。</w:t>
      </w:r>
    </w:p>
    <w:p>
      <w:pPr>
        <w:pStyle w:val="BodyText"/>
        <w:spacing w:line="408" w:lineRule="auto" w:before="54"/>
        <w:ind w:left="153" w:right="0" w:firstLine="420"/>
        <w:jc w:val="left"/>
      </w:pPr>
      <w:r>
        <w:rPr>
          <w:spacing w:val="-1"/>
        </w:rPr>
        <w:t>公司承担了应由承租方承担的与租赁相关的费用时，公司将该部分费用从租金收入总额中扣除，按扣</w:t>
      </w:r>
      <w:r>
        <w:rPr/>
        <w:t> 除后的租金费用在租赁期内分配。</w:t>
      </w:r>
    </w:p>
    <w:p>
      <w:pPr>
        <w:spacing w:line="240" w:lineRule="auto" w:before="8"/>
        <w:rPr>
          <w:rFonts w:ascii="宋体" w:hAnsi="宋体" w:cs="宋体" w:eastAsia="宋体" w:hint="default"/>
          <w:sz w:val="20"/>
          <w:szCs w:val="20"/>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0" w:lineRule="auto" w:before="0"/>
        <w:ind w:left="153" w:right="1022" w:firstLine="420"/>
        <w:jc w:val="left"/>
      </w:pPr>
      <w:r>
        <w:rPr/>
        <w:t>（</w:t>
      </w:r>
      <w:r>
        <w:rPr>
          <w:rFonts w:ascii="Times New Roman" w:hAnsi="Times New Roman" w:cs="Times New Roman" w:eastAsia="Times New Roman" w:hint="default"/>
        </w:rPr>
        <w:t>1</w:t>
      </w:r>
      <w:r>
        <w:rPr/>
        <w:t>）融资租入资产：公司在承租开始日，将租赁资产公允价值与最低租赁付款额现值两者中较低者</w:t>
      </w:r>
      <w:r>
        <w:rPr>
          <w:spacing w:val="2"/>
        </w:rPr>
        <w:t> </w:t>
      </w:r>
      <w:r>
        <w:rPr>
          <w:spacing w:val="-3"/>
        </w:rPr>
        <w:t>作为租入资产的入账价值，将最低租赁付款额作为长期应付款的入账价值，其差额作为未确认的融资费用。</w:t>
      </w:r>
      <w:r>
        <w:rPr>
          <w:spacing w:val="-92"/>
        </w:rPr>
        <w:t> </w:t>
      </w:r>
      <w:r>
        <w:rPr>
          <w:spacing w:val="-92"/>
        </w:rPr>
      </w:r>
      <w:r>
        <w:rPr/>
        <w:t>公司采用实际利率法对未确认的融资费用，在资产租赁期间内摊销，计入财务费用。公司发生的初始直接</w:t>
      </w:r>
      <w:r>
        <w:rPr/>
        <w:t> 费用，计入租入资产价值。</w:t>
      </w:r>
    </w:p>
    <w:p>
      <w:pPr>
        <w:pStyle w:val="BodyText"/>
        <w:spacing w:line="398" w:lineRule="auto" w:before="52"/>
        <w:ind w:left="153" w:right="1127" w:firstLine="420"/>
        <w:jc w:val="both"/>
      </w:pPr>
      <w:r>
        <w:rPr/>
        <w:t>（</w:t>
      </w:r>
      <w:r>
        <w:rPr>
          <w:rFonts w:ascii="Times New Roman" w:hAnsi="Times New Roman" w:cs="Times New Roman" w:eastAsia="Times New Roman" w:hint="default"/>
        </w:rPr>
        <w:t>2</w:t>
      </w:r>
      <w:r>
        <w:rPr/>
        <w:t>）融资租出资产：公司在租赁开始日，将应收融资租赁款，未担保余值之和与其现值的差额确认</w:t>
      </w:r>
      <w:r>
        <w:rPr>
          <w:spacing w:val="2"/>
        </w:rPr>
        <w:t> </w:t>
      </w:r>
      <w:r>
        <w:rPr>
          <w:spacing w:val="-1"/>
        </w:rPr>
        <w:t>为未实现融资收益，在将来收到租金的各期间内确认为租赁收入。公司发生的与出租交易相关的初始直接</w:t>
      </w:r>
      <w:r>
        <w:rPr>
          <w:spacing w:val="-81"/>
        </w:rPr>
        <w:t> </w:t>
      </w:r>
      <w:r>
        <w:rPr>
          <w:spacing w:val="-81"/>
        </w:rPr>
      </w:r>
      <w:r>
        <w:rPr/>
        <w:t>费用，计入应收融资租赁款的初始计量中，并减少租赁期内确认的收益金额。</w:t>
      </w:r>
    </w:p>
    <w:p>
      <w:pPr>
        <w:spacing w:line="240" w:lineRule="auto" w:before="3"/>
        <w:rPr>
          <w:rFonts w:ascii="宋体" w:hAnsi="宋体" w:cs="宋体" w:eastAsia="宋体" w:hint="default"/>
          <w:sz w:val="21"/>
          <w:szCs w:val="21"/>
        </w:rPr>
      </w:pPr>
    </w:p>
    <w:p>
      <w:pPr>
        <w:pStyle w:val="Heading4"/>
        <w:spacing w:line="240" w:lineRule="auto"/>
        <w:ind w:left="153" w:right="0"/>
        <w:jc w:val="left"/>
        <w:rPr>
          <w:b w:val="0"/>
          <w:bCs w:val="0"/>
        </w:rPr>
      </w:pPr>
      <w:r>
        <w:rPr>
          <w:rFonts w:ascii="Times New Roman" w:hAnsi="Times New Roman" w:cs="Times New Roman" w:eastAsia="Times New Roman" w:hint="default"/>
        </w:rPr>
        <w:t>30</w:t>
      </w:r>
      <w:r>
        <w:rPr/>
        <w:t>、</w:t>
      </w:r>
      <w:r>
        <w:rPr>
          <w:spacing w:val="-4"/>
        </w:rPr>
        <w:t> </w:t>
      </w:r>
      <w:r>
        <w:rPr/>
        <w:t>终止经营</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153" w:right="0" w:firstLine="420"/>
        <w:jc w:val="left"/>
      </w:pPr>
      <w:r>
        <w:rPr>
          <w:spacing w:val="-1"/>
        </w:rPr>
        <w:t>终止经营是满足下列条件之一的、能够单独区分的组成部分，且该组成部分已被本公司处置或被本公</w:t>
      </w:r>
      <w:r>
        <w:rPr/>
        <w:t> 司划归为持有待售类别：</w:t>
      </w:r>
    </w:p>
    <w:p>
      <w:pPr>
        <w:pStyle w:val="BodyText"/>
        <w:spacing w:line="240" w:lineRule="auto"/>
        <w:ind w:left="573" w:right="0"/>
        <w:jc w:val="left"/>
      </w:pPr>
      <w:r>
        <w:rPr/>
        <w:t>（</w:t>
      </w:r>
      <w:r>
        <w:rPr>
          <w:rFonts w:ascii="Times New Roman" w:hAnsi="Times New Roman" w:cs="Times New Roman" w:eastAsia="Times New Roman" w:hint="default"/>
        </w:rPr>
        <w:t>1</w:t>
      </w:r>
      <w:r>
        <w:rPr/>
        <w:t>）该组成部分代表一项独立的主要业务或一个单独的主要经营地区；</w:t>
      </w:r>
    </w:p>
    <w:p>
      <w:pPr>
        <w:pStyle w:val="BodyText"/>
        <w:spacing w:line="386" w:lineRule="auto" w:before="177"/>
        <w:ind w:left="153" w:right="1117" w:firstLine="420"/>
        <w:jc w:val="left"/>
      </w:pPr>
      <w:r>
        <w:rPr/>
        <w:t>（</w:t>
      </w:r>
      <w:r>
        <w:rPr>
          <w:rFonts w:ascii="Times New Roman" w:hAnsi="Times New Roman" w:cs="Times New Roman" w:eastAsia="Times New Roman" w:hint="default"/>
        </w:rPr>
        <w:t>2</w:t>
      </w:r>
      <w:r>
        <w:rPr/>
        <w:t>）该组成部分是拟对一项独立的主要业务或一个单独的主要经营地区进行处置的一项相关联计划</w:t>
      </w:r>
      <w:r>
        <w:rPr>
          <w:spacing w:val="2"/>
        </w:rPr>
        <w:t> </w:t>
      </w:r>
      <w:r>
        <w:rPr/>
        <w:t>的一部分；</w:t>
      </w:r>
    </w:p>
    <w:p>
      <w:pPr>
        <w:pStyle w:val="BodyText"/>
        <w:spacing w:line="240" w:lineRule="auto" w:before="65"/>
        <w:ind w:left="573" w:right="0"/>
        <w:jc w:val="left"/>
      </w:pPr>
      <w:r>
        <w:rPr/>
        <w:t>（</w:t>
      </w:r>
      <w:r>
        <w:rPr>
          <w:rFonts w:ascii="Times New Roman" w:hAnsi="Times New Roman" w:cs="Times New Roman" w:eastAsia="Times New Roman" w:hint="default"/>
        </w:rPr>
        <w:t>3</w:t>
      </w:r>
      <w:r>
        <w:rPr/>
        <w:t>）该组成部分是专为转售而取得的子公司。</w:t>
      </w:r>
    </w:p>
    <w:p>
      <w:pPr>
        <w:spacing w:line="240" w:lineRule="auto" w:before="8"/>
        <w:rPr>
          <w:rFonts w:ascii="宋体" w:hAnsi="宋体" w:cs="宋体" w:eastAsia="宋体" w:hint="default"/>
          <w:sz w:val="30"/>
          <w:szCs w:val="30"/>
        </w:rPr>
      </w:pPr>
    </w:p>
    <w:p>
      <w:pPr>
        <w:pStyle w:val="Heading4"/>
        <w:spacing w:line="240" w:lineRule="auto"/>
        <w:ind w:left="153" w:right="0"/>
        <w:jc w:val="left"/>
        <w:rPr>
          <w:b w:val="0"/>
          <w:bCs w:val="0"/>
        </w:rPr>
      </w:pPr>
      <w:r>
        <w:rPr>
          <w:rFonts w:ascii="Times New Roman" w:hAnsi="Times New Roman" w:cs="Times New Roman" w:eastAsia="Times New Roman" w:hint="default"/>
        </w:rPr>
        <w:t>31</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）重要会计政策变更</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402"/>
        <w:gridCol w:w="3402"/>
        <w:gridCol w:w="2765"/>
      </w:tblGrid>
      <w:tr>
        <w:trPr>
          <w:trHeight w:val="402" w:hRule="exact"/>
        </w:trPr>
        <w:tc>
          <w:tcPr>
            <w:tcW w:w="34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4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27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2"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财政部发布新的企业会计准则</w:t>
            </w:r>
          </w:p>
        </w:tc>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第四届董事会第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次会议审议通过</w:t>
            </w:r>
          </w:p>
        </w:tc>
        <w:tc>
          <w:tcPr>
            <w:tcW w:w="2765"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63"/>
        <w:ind w:left="574" w:right="0"/>
        <w:jc w:val="left"/>
      </w:pPr>
      <w:r>
        <w:rPr/>
        <w:t>（</w:t>
      </w:r>
      <w:r>
        <w:rPr>
          <w:rFonts w:ascii="Times New Roman" w:hAnsi="Times New Roman" w:cs="Times New Roman" w:eastAsia="Times New Roman" w:hint="default"/>
        </w:rPr>
        <w:t>1</w:t>
      </w:r>
      <w:r>
        <w:rPr/>
        <w:t>）财政部于</w:t>
      </w:r>
      <w:r>
        <w:rPr>
          <w:rFonts w:ascii="Times New Roman" w:hAnsi="Times New Roman" w:cs="Times New Roman" w:eastAsia="Times New Roman" w:hint="default"/>
        </w:rPr>
        <w:t>2017</w:t>
      </w:r>
      <w:r>
        <w:rPr/>
        <w:t>年发布了修订后的《企业会计准则第 </w:t>
      </w:r>
      <w:r>
        <w:rPr>
          <w:rFonts w:ascii="Times New Roman" w:hAnsi="Times New Roman" w:cs="Times New Roman" w:eastAsia="Times New Roman" w:hint="default"/>
        </w:rPr>
        <w:t>22</w:t>
      </w:r>
      <w:r>
        <w:rPr>
          <w:rFonts w:ascii="Times New Roman" w:hAnsi="Times New Roman" w:cs="Times New Roman" w:eastAsia="Times New Roman" w:hint="default"/>
          <w:spacing w:val="-29"/>
        </w:rPr>
        <w:t> </w:t>
      </w:r>
      <w:r>
        <w:rPr>
          <w:spacing w:val="-3"/>
        </w:rPr>
        <w:t>号</w:t>
      </w:r>
      <w:r>
        <w:rPr>
          <w:rFonts w:ascii="Times New Roman" w:hAnsi="Times New Roman" w:cs="Times New Roman" w:eastAsia="Times New Roman" w:hint="default"/>
          <w:spacing w:val="-3"/>
        </w:rPr>
        <w:t>——</w:t>
      </w:r>
      <w:r>
        <w:rPr>
          <w:spacing w:val="-3"/>
        </w:rPr>
        <w:t>金融工具确认和计量》、《企业会</w:t>
      </w:r>
    </w:p>
    <w:p>
      <w:pPr>
        <w:pStyle w:val="BodyText"/>
        <w:spacing w:line="240" w:lineRule="auto" w:before="177"/>
        <w:ind w:right="0"/>
        <w:jc w:val="left"/>
      </w:pPr>
      <w:r>
        <w:rPr/>
        <w:t>计准则第 </w:t>
      </w:r>
      <w:r>
        <w:rPr>
          <w:rFonts w:ascii="Times New Roman" w:hAnsi="Times New Roman" w:cs="Times New Roman" w:eastAsia="Times New Roman" w:hint="default"/>
        </w:rPr>
        <w:t>23 </w:t>
      </w:r>
      <w:r>
        <w:rPr>
          <w:spacing w:val="-3"/>
        </w:rPr>
        <w:t>号</w:t>
      </w:r>
      <w:r>
        <w:rPr>
          <w:rFonts w:ascii="Times New Roman" w:hAnsi="Times New Roman" w:cs="Times New Roman" w:eastAsia="Times New Roman" w:hint="default"/>
          <w:spacing w:val="-3"/>
        </w:rPr>
        <w:t>——</w:t>
      </w:r>
      <w:r>
        <w:rPr>
          <w:spacing w:val="-3"/>
        </w:rPr>
        <w:t>金融资产转移》、《企业会计准则第 </w:t>
      </w:r>
      <w:r>
        <w:rPr>
          <w:rFonts w:ascii="Times New Roman" w:hAnsi="Times New Roman" w:cs="Times New Roman" w:eastAsia="Times New Roman" w:hint="default"/>
        </w:rPr>
        <w:t>24 </w:t>
      </w:r>
      <w:r>
        <w:rPr>
          <w:spacing w:val="-4"/>
        </w:rPr>
        <w:t>号</w:t>
      </w:r>
      <w:r>
        <w:rPr>
          <w:rFonts w:ascii="Times New Roman" w:hAnsi="Times New Roman" w:cs="Times New Roman" w:eastAsia="Times New Roman" w:hint="default"/>
          <w:spacing w:val="-4"/>
        </w:rPr>
        <w:t>——</w:t>
      </w:r>
      <w:r>
        <w:rPr>
          <w:spacing w:val="-4"/>
        </w:rPr>
        <w:t>套期会计》、《企业会计准则第 </w:t>
      </w:r>
      <w:r>
        <w:rPr>
          <w:rFonts w:ascii="Times New Roman" w:hAnsi="Times New Roman" w:cs="Times New Roman" w:eastAsia="Times New Roman" w:hint="default"/>
        </w:rPr>
        <w:t>37 </w:t>
      </w:r>
      <w:r>
        <w:rPr>
          <w:rFonts w:ascii="Times New Roman" w:hAnsi="Times New Roman" w:cs="Times New Roman" w:eastAsia="Times New Roman" w:hint="default"/>
          <w:spacing w:val="1"/>
        </w:rPr>
        <w:t> </w:t>
      </w:r>
      <w:r>
        <w:rPr/>
        <w:t>号</w:t>
      </w:r>
    </w:p>
    <w:p>
      <w:pPr>
        <w:spacing w:after="0" w:line="240"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386" w:lineRule="auto" w:before="35"/>
        <w:ind w:left="573" w:right="0" w:hanging="420"/>
        <w:jc w:val="left"/>
      </w:pPr>
      <w:r>
        <w:rPr>
          <w:rFonts w:ascii="Times New Roman" w:hAnsi="Times New Roman" w:cs="Times New Roman" w:eastAsia="Times New Roman" w:hint="default"/>
        </w:rPr>
        <w:t>——</w:t>
      </w:r>
      <w:r>
        <w:rPr/>
        <w:t>金融工具列报》（上述四项准则以下统称</w:t>
      </w:r>
      <w:r>
        <w:rPr>
          <w:rFonts w:ascii="Times New Roman" w:hAnsi="Times New Roman" w:cs="Times New Roman" w:eastAsia="Times New Roman" w:hint="default"/>
        </w:rPr>
        <w:t>“</w:t>
      </w:r>
      <w:r>
        <w:rPr/>
        <w:t>新金融工具准则</w:t>
      </w:r>
      <w:r>
        <w:rPr>
          <w:rFonts w:ascii="Times New Roman" w:hAnsi="Times New Roman" w:cs="Times New Roman" w:eastAsia="Times New Roman" w:hint="default"/>
        </w:rPr>
        <w:t>”</w:t>
      </w:r>
      <w:r>
        <w:rPr/>
        <w:t>）。 </w:t>
      </w:r>
      <w:r>
        <w:rPr>
          <w:spacing w:val="-1"/>
        </w:rPr>
        <w:t>新金融工具准则将金融资产划分为三个类别：（</w:t>
      </w:r>
      <w:r>
        <w:rPr>
          <w:rFonts w:ascii="Times New Roman" w:hAnsi="Times New Roman" w:cs="Times New Roman" w:eastAsia="Times New Roman" w:hint="default"/>
          <w:spacing w:val="-1"/>
        </w:rPr>
        <w:t>1</w:t>
      </w:r>
      <w:r>
        <w:rPr>
          <w:spacing w:val="-1"/>
        </w:rPr>
        <w:t>）以摊余成本计量的金融资产；（</w:t>
      </w:r>
      <w:r>
        <w:rPr>
          <w:rFonts w:ascii="Times New Roman" w:hAnsi="Times New Roman" w:cs="Times New Roman" w:eastAsia="Times New Roman" w:hint="default"/>
          <w:spacing w:val="-1"/>
        </w:rPr>
        <w:t>2</w:t>
      </w:r>
      <w:r>
        <w:rPr>
          <w:spacing w:val="-1"/>
        </w:rPr>
        <w:t>）以公允价值计</w:t>
      </w:r>
    </w:p>
    <w:p>
      <w:pPr>
        <w:pStyle w:val="BodyText"/>
        <w:spacing w:line="398" w:lineRule="auto" w:before="35"/>
        <w:ind w:right="1127"/>
        <w:jc w:val="both"/>
      </w:pPr>
      <w:r>
        <w:rPr/>
        <w:t>量且其变动计入其他综合收益的金融资产；（</w:t>
      </w:r>
      <w:r>
        <w:rPr>
          <w:rFonts w:ascii="Times New Roman" w:hAnsi="Times New Roman" w:cs="Times New Roman" w:eastAsia="Times New Roman" w:hint="default"/>
        </w:rPr>
        <w:t>3</w:t>
      </w:r>
      <w:r>
        <w:rPr/>
        <w:t>）以公允价值计量且其变动计入当期损益的金融资产。在</w:t>
      </w:r>
      <w:r>
        <w:rPr>
          <w:spacing w:val="-35"/>
        </w:rPr>
        <w:t> </w:t>
      </w:r>
      <w:r>
        <w:rPr>
          <w:spacing w:val="-35"/>
        </w:rPr>
      </w:r>
      <w:r>
        <w:rPr>
          <w:spacing w:val="-1"/>
        </w:rPr>
        <w:t>新金融工具准则下，金融资产的分类是基于本公司管理金融资产的业务模式及该资产的合同现金流量特征</w:t>
      </w:r>
      <w:r>
        <w:rPr>
          <w:spacing w:val="-81"/>
        </w:rPr>
        <w:t> </w:t>
      </w:r>
      <w:r>
        <w:rPr>
          <w:spacing w:val="-81"/>
        </w:rPr>
      </w:r>
      <w:r>
        <w:rPr>
          <w:spacing w:val="-1"/>
        </w:rPr>
        <w:t>而确定。新金融工具准则取消了原金融工具准则中规定的持有至到期投资、贷款和应收款项、可供出售金</w:t>
      </w:r>
      <w:r>
        <w:rPr>
          <w:spacing w:val="-83"/>
        </w:rPr>
        <w:t> </w:t>
      </w:r>
      <w:r>
        <w:rPr>
          <w:spacing w:val="-83"/>
        </w:rPr>
      </w:r>
      <w:r>
        <w:rPr/>
        <w:t>融资产三个类别。新金融工具准则以</w:t>
      </w:r>
      <w:r>
        <w:rPr>
          <w:rFonts w:ascii="Times New Roman" w:hAnsi="Times New Roman" w:cs="Times New Roman" w:eastAsia="Times New Roman" w:hint="default"/>
        </w:rPr>
        <w:t>“</w:t>
      </w:r>
      <w:r>
        <w:rPr/>
        <w:t>预期信用损失</w:t>
      </w:r>
      <w:r>
        <w:rPr>
          <w:rFonts w:ascii="Times New Roman" w:hAnsi="Times New Roman" w:cs="Times New Roman" w:eastAsia="Times New Roman" w:hint="default"/>
        </w:rPr>
        <w:t>”</w:t>
      </w:r>
      <w:r>
        <w:rPr/>
        <w:t>模型替代了原金融工具准则中的</w:t>
      </w:r>
      <w:r>
        <w:rPr>
          <w:rFonts w:ascii="Times New Roman" w:hAnsi="Times New Roman" w:cs="Times New Roman" w:eastAsia="Times New Roman" w:hint="default"/>
        </w:rPr>
        <w:t>“</w:t>
      </w:r>
      <w:r>
        <w:rPr/>
        <w:t>已发生损失</w:t>
      </w:r>
      <w:r>
        <w:rPr>
          <w:rFonts w:ascii="Times New Roman" w:hAnsi="Times New Roman" w:cs="Times New Roman" w:eastAsia="Times New Roman" w:hint="default"/>
        </w:rPr>
        <w:t>”</w:t>
      </w:r>
      <w:r>
        <w:rPr/>
        <w:t>模型。</w:t>
      </w:r>
      <w:r>
        <w:rPr>
          <w:spacing w:val="-86"/>
        </w:rPr>
        <w:t> </w:t>
      </w:r>
      <w:r>
        <w:rPr/>
        <w:t>在新金融工具准则下，本公司具体会计政策见附注三、（十）（十一）。</w:t>
      </w:r>
    </w:p>
    <w:p>
      <w:pPr>
        <w:pStyle w:val="BodyText"/>
        <w:spacing w:line="386" w:lineRule="auto" w:before="54"/>
        <w:ind w:right="1130" w:firstLine="419"/>
        <w:jc w:val="both"/>
      </w:pPr>
      <w:r>
        <w:rPr>
          <w:spacing w:val="-7"/>
        </w:rPr>
        <w:t>（</w:t>
      </w:r>
      <w:r>
        <w:rPr>
          <w:rFonts w:ascii="Times New Roman" w:hAnsi="Times New Roman" w:cs="Times New Roman" w:eastAsia="Times New Roman" w:hint="default"/>
          <w:spacing w:val="-7"/>
        </w:rPr>
        <w:t>2</w:t>
      </w:r>
      <w:r>
        <w:rPr>
          <w:spacing w:val="-7"/>
        </w:rPr>
        <w:t>）财政部于</w:t>
      </w:r>
      <w:r>
        <w:rPr>
          <w:rFonts w:ascii="Times New Roman" w:hAnsi="Times New Roman" w:cs="Times New Roman" w:eastAsia="Times New Roman" w:hint="default"/>
          <w:spacing w:val="-7"/>
        </w:rPr>
        <w:t>2019</w:t>
      </w:r>
      <w:r>
        <w:rPr>
          <w:spacing w:val="-7"/>
        </w:rPr>
        <w:t>年</w:t>
      </w:r>
      <w:r>
        <w:rPr>
          <w:rFonts w:ascii="Times New Roman" w:hAnsi="Times New Roman" w:cs="Times New Roman" w:eastAsia="Times New Roman" w:hint="default"/>
          <w:spacing w:val="-7"/>
        </w:rPr>
        <w:t>4</w:t>
      </w:r>
      <w:r>
        <w:rPr>
          <w:spacing w:val="-7"/>
        </w:rPr>
        <w:t>月发布了《关于修订印发</w:t>
      </w:r>
      <w:r>
        <w:rPr>
          <w:rFonts w:ascii="Times New Roman" w:hAnsi="Times New Roman" w:cs="Times New Roman" w:eastAsia="Times New Roman" w:hint="default"/>
          <w:spacing w:val="-7"/>
        </w:rPr>
        <w:t>2019</w:t>
      </w:r>
      <w:r>
        <w:rPr>
          <w:rFonts w:ascii="Times New Roman" w:hAnsi="Times New Roman" w:cs="Times New Roman" w:eastAsia="Times New Roman" w:hint="default"/>
          <w:spacing w:val="44"/>
        </w:rPr>
        <w:t> </w:t>
      </w:r>
      <w:r>
        <w:rPr>
          <w:spacing w:val="-7"/>
        </w:rPr>
        <w:t>年度一般企业财务报表格式的通知》（财会</w:t>
      </w:r>
      <w:r>
        <w:rPr>
          <w:rFonts w:ascii="Times New Roman" w:hAnsi="Times New Roman" w:cs="Times New Roman" w:eastAsia="Times New Roman" w:hint="default"/>
          <w:spacing w:val="-7"/>
        </w:rPr>
        <w:t>[2019]6</w:t>
      </w:r>
      <w:r>
        <w:rPr>
          <w:rFonts w:ascii="Times New Roman" w:hAnsi="Times New Roman" w:cs="Times New Roman" w:eastAsia="Times New Roman" w:hint="default"/>
        </w:rPr>
        <w:t> </w:t>
      </w:r>
      <w:r>
        <w:rPr/>
        <w:t>号）（以下简称</w:t>
      </w:r>
      <w:r>
        <w:rPr>
          <w:rFonts w:ascii="Times New Roman" w:hAnsi="Times New Roman" w:cs="Times New Roman" w:eastAsia="Times New Roman" w:hint="default"/>
        </w:rPr>
        <w:t>“</w:t>
      </w:r>
      <w:r>
        <w:rPr/>
        <w:t>财务报表格式</w:t>
      </w:r>
      <w:r>
        <w:rPr>
          <w:rFonts w:ascii="Times New Roman" w:hAnsi="Times New Roman" w:cs="Times New Roman" w:eastAsia="Times New Roman" w:hint="default"/>
        </w:rPr>
        <w:t>”</w:t>
      </w:r>
      <w:r>
        <w:rPr/>
        <w:t>），执行企业会计准则的企业应按照企业会计准则和该通知的要求编制财 务报表。</w:t>
      </w:r>
    </w:p>
    <w:p>
      <w:pPr>
        <w:pStyle w:val="BodyText"/>
        <w:spacing w:line="240" w:lineRule="auto" w:before="65"/>
        <w:ind w:left="574" w:right="0"/>
        <w:jc w:val="left"/>
      </w:pPr>
      <w:r>
        <w:rPr/>
        <w:t>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日起执行上述修订后的准则和财务报表格式，对会计政策相关内容进行调整。</w:t>
      </w:r>
    </w:p>
    <w:p>
      <w:pPr>
        <w:spacing w:line="240" w:lineRule="auto" w:before="8"/>
        <w:rPr>
          <w:rFonts w:ascii="宋体" w:hAnsi="宋体" w:cs="宋体" w:eastAsia="宋体" w:hint="default"/>
          <w:sz w:val="30"/>
          <w:szCs w:val="30"/>
        </w:rPr>
      </w:pPr>
    </w:p>
    <w:p>
      <w:pPr>
        <w:pStyle w:val="Heading4"/>
        <w:spacing w:line="240" w:lineRule="auto"/>
        <w:ind w:right="0"/>
        <w:jc w:val="both"/>
        <w:rPr>
          <w:b w:val="0"/>
          <w:bCs w:val="0"/>
        </w:rPr>
      </w:pPr>
      <w:r>
        <w:rPr/>
        <w:t>（</w:t>
      </w:r>
      <w:r>
        <w:rPr>
          <w:rFonts w:ascii="Times New Roman" w:hAnsi="Times New Roman" w:cs="Times New Roman" w:eastAsia="Times New Roman" w:hint="default"/>
        </w:rPr>
        <w:t>2</w:t>
      </w:r>
      <w:r>
        <w:rPr/>
        <w:t>）重要会计估计变更</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both"/>
        <w:rPr>
          <w:b w:val="0"/>
          <w:bCs w:val="0"/>
        </w:rPr>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6"/>
        </w:rPr>
        <w:t> </w:t>
      </w:r>
      <w:r>
        <w:rPr/>
        <w:t>年起执行新金融工具准则、新收入准则或新租赁准则调整执行当年年初财务报表相关项目情况</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82" w:top="1100" w:bottom="1180" w:left="980" w:right="0"/>
        </w:sectPr>
      </w:pPr>
    </w:p>
    <w:p>
      <w:pPr>
        <w:spacing w:line="338" w:lineRule="auto"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合并资产负债表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532" w:space="7206"/>
            <w:col w:w="2192"/>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206"/>
        <w:gridCol w:w="2454"/>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货币资金</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178,447,300.74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178,447,300.74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结算备付金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拆出资金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交易性金融资产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760,845,392.81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760,845,392.81</w:t>
            </w: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91"/>
              <w:jc w:val="both"/>
              <w:rPr>
                <w:rFonts w:ascii="宋体" w:hAnsi="宋体" w:cs="宋体" w:eastAsia="宋体" w:hint="default"/>
                <w:sz w:val="18"/>
                <w:szCs w:val="18"/>
              </w:rPr>
            </w:pPr>
            <w:r>
              <w:rPr>
                <w:rFonts w:ascii="宋体" w:hAnsi="宋体" w:cs="宋体" w:eastAsia="宋体" w:hint="default"/>
                <w:sz w:val="18"/>
                <w:szCs w:val="18"/>
              </w:rPr>
              <w:t>    以公允价值计量且其 变动计入当期损益的金融 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440,704,055.56</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-440,704,055.56</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应收票据</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7,298,453.95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7,298,453.95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应收账款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322,170,665.26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322,170,665.26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应收款项融资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预付款项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12,001,735.88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12,001,735.88</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06"/>
        <w:gridCol w:w="2454"/>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应收保费</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应收分保账款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应收分保合同准备金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其他应收款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30,601,166.01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30,601,166.01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其中：应收利息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568,333.33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568,333.33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应收股利</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买入返售金融资产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存货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43,371,626.46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43,371,626.46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合同资产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持有待售资产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298,251.14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298,251.14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91"/>
              <w:jc w:val="left"/>
              <w:rPr>
                <w:rFonts w:ascii="宋体" w:hAnsi="宋体" w:cs="宋体" w:eastAsia="宋体" w:hint="default"/>
                <w:sz w:val="18"/>
                <w:szCs w:val="18"/>
              </w:rPr>
            </w:pPr>
            <w:r>
              <w:rPr>
                <w:rFonts w:ascii="宋体" w:hAnsi="宋体" w:cs="宋体" w:eastAsia="宋体" w:hint="default"/>
                <w:sz w:val="18"/>
                <w:szCs w:val="18"/>
              </w:rPr>
              <w:t>    一年内到期的非流动 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其他流动资产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224,878,422.52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24,878,422.52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1,259,771,677.52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1,379,913,014.77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发放贷款和垫款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债权投资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可供出售金融资产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211,611,337.25</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-211,611,337.25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其他债权投资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持有至到期投资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长期应收款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长期股权投资</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31,971,496.43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31,971,496.43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其他权益工具投资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90,120,000.00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90,120,000.00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投资性房地产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43,550,736.61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43,550,736.61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固定资产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171,859,131.22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171,859,131.22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在建工程</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生产性生物资产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油气资产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使用权资产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无形资产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48,826,399.11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48,826,399.11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开发支出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商誉</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743,660,272.19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743,660,272.19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长期待摊费用</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3,352,276.45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3,352,276.45</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06"/>
        <w:gridCol w:w="2454"/>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递延所得税资产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2,579,874.53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2,579,874.53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4,675,772.33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4,675,772.33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1,262,087,296.12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1,141,945,958.87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5" w:right="0"/>
              <w:jc w:val="left"/>
              <w:rPr>
                <w:rFonts w:ascii="Times New Roman" w:hAnsi="Times New Roman" w:cs="Times New Roman" w:eastAsia="Times New Roman" w:hint="default"/>
                <w:sz w:val="18"/>
                <w:szCs w:val="18"/>
              </w:rPr>
            </w:pPr>
            <w:r>
              <w:rPr>
                <w:rFonts w:ascii="Times New Roman"/>
                <w:sz w:val="18"/>
              </w:rPr>
              <w:t>-120,141,337.30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2,521,858,973.64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2,521,858,973.64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短期借款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向中央银行借款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拆入资金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交易性金融负债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91"/>
              <w:jc w:val="both"/>
              <w:rPr>
                <w:rFonts w:ascii="宋体" w:hAnsi="宋体" w:cs="宋体" w:eastAsia="宋体" w:hint="default"/>
                <w:sz w:val="18"/>
                <w:szCs w:val="18"/>
              </w:rPr>
            </w:pPr>
            <w:r>
              <w:rPr>
                <w:rFonts w:ascii="宋体" w:hAnsi="宋体" w:cs="宋体" w:eastAsia="宋体" w:hint="default"/>
                <w:sz w:val="18"/>
                <w:szCs w:val="18"/>
              </w:rPr>
              <w:t>    以公允价值计量且其 变动计入当期损益的金融 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应付票据</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49,568,333.48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49,568,333.48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应付账款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66,908,556.22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66,908,556.22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预收款项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23,593,003.75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23,593,003.75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合同负债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卖出回购金融资产款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吸收存款及同业存放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代理买卖证券款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代理承销证券款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应付职工薪酬</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11,966,291.03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11,966,291.03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应交税费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12,867,803.59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12,867,803.59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其他应付款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49,555,511.00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49,555,511.00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其中：应付利息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70,808.34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70,808.34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应付股利</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应付手续费及佣金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应付分保账款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持有待售负债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91"/>
              <w:jc w:val="left"/>
              <w:rPr>
                <w:rFonts w:ascii="宋体" w:hAnsi="宋体" w:cs="宋体" w:eastAsia="宋体" w:hint="default"/>
                <w:sz w:val="18"/>
                <w:szCs w:val="18"/>
              </w:rPr>
            </w:pPr>
            <w:r>
              <w:rPr>
                <w:rFonts w:ascii="宋体" w:hAnsi="宋体" w:cs="宋体" w:eastAsia="宋体" w:hint="default"/>
                <w:sz w:val="18"/>
                <w:szCs w:val="18"/>
              </w:rPr>
              <w:t>    一年内到期的非流动 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6,000,000.00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其他流动负债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3,789,680.90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3,789,680.90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324,249,179.97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324,249,179.97</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保险合同准备金</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06"/>
        <w:gridCol w:w="2454"/>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长期借款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应付债券</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其中：优先股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永续债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租赁负债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长期应付款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长期应付职工薪酬</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预计负债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递延收益</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递延所得税负债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176,013.89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176,013.89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11,176,013.89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11,176,013.89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335,425,193.86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335,425,193.86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股本</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623,964,810.00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623,964,810.00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其他权益工具</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其中：优先股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永续债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资本公积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1,767,039,312.38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1,767,039,312.38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减：库存股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45,615,168.20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45,615,168.20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其他综合收益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120,141,337.25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专项储备</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盈余公积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19,602,961.52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19,602,961.52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一般风险准备</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未分配利润</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-298,489,381.22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-178,348,043.97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91"/>
              <w:jc w:val="left"/>
              <w:rPr>
                <w:rFonts w:ascii="宋体" w:hAnsi="宋体" w:cs="宋体" w:eastAsia="宋体" w:hint="default"/>
                <w:sz w:val="18"/>
                <w:szCs w:val="18"/>
              </w:rPr>
            </w:pPr>
            <w:r>
              <w:rPr>
                <w:rFonts w:ascii="宋体" w:hAnsi="宋体" w:cs="宋体" w:eastAsia="宋体" w:hint="default"/>
                <w:sz w:val="18"/>
                <w:szCs w:val="18"/>
              </w:rPr>
              <w:t>归属于母公司所有者权益 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2,186,643,871.73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2,186,643,871.73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少数股东权益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-210,091.95</w:t>
            </w:r>
            <w:r>
              <w:rPr>
                <w:rFonts w:ascii="Times New Roman"/>
                <w:sz w:val="18"/>
              </w:rPr>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-210,091.95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2,186,433,779.78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2,186,433,779.78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2,521,858,973.64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2,521,858,973.64</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调整情况说明</w:t>
      </w:r>
    </w:p>
    <w:p>
      <w:pPr>
        <w:spacing w:line="240" w:lineRule="auto" w:before="12"/>
        <w:rPr>
          <w:rFonts w:ascii="宋体" w:hAnsi="宋体" w:cs="宋体" w:eastAsia="宋体" w:hint="default"/>
          <w:sz w:val="12"/>
          <w:szCs w:val="12"/>
        </w:rPr>
      </w:pPr>
    </w:p>
    <w:p>
      <w:pPr>
        <w:pStyle w:val="BodyText"/>
        <w:spacing w:line="398" w:lineRule="auto" w:before="0"/>
        <w:ind w:right="1131" w:firstLine="420"/>
        <w:jc w:val="both"/>
      </w:pPr>
      <w:r>
        <w:rPr>
          <w:spacing w:val="-1"/>
        </w:rPr>
        <w:t>本公司根据新金融工具准则的规定，对金融工具的分类和计量（含减值）进行追溯调整，将金融工具</w:t>
      </w:r>
      <w:r>
        <w:rPr/>
        <w:t> </w:t>
      </w:r>
      <w:r>
        <w:rPr>
          <w:spacing w:val="-1"/>
        </w:rPr>
        <w:t>原账面价值和在新金融工具准则施行日（即</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w:t>
      </w:r>
      <w:r>
        <w:rPr>
          <w:spacing w:val="-1"/>
        </w:rPr>
        <w:t>日）的新账面价值之间的差额计入</w:t>
      </w:r>
      <w:r>
        <w:rPr>
          <w:rFonts w:ascii="Times New Roman" w:hAnsi="Times New Roman" w:cs="Times New Roman" w:eastAsia="Times New Roman" w:hint="default"/>
          <w:spacing w:val="-1"/>
        </w:rPr>
        <w:t>2019</w:t>
      </w:r>
      <w:r>
        <w:rPr>
          <w:spacing w:val="-1"/>
        </w:rPr>
        <w:t>年年初留存</w:t>
      </w:r>
      <w:r>
        <w:rPr>
          <w:spacing w:val="-83"/>
        </w:rPr>
        <w:t> </w:t>
      </w:r>
      <w:r>
        <w:rPr/>
        <w:t>收益或其他综合收益。</w:t>
      </w:r>
    </w:p>
    <w:p>
      <w:pPr>
        <w:spacing w:after="0" w:line="398" w:lineRule="auto"/>
        <w:jc w:val="both"/>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386" w:lineRule="auto" w:before="35"/>
        <w:ind w:left="153" w:right="1130" w:firstLine="420"/>
        <w:jc w:val="both"/>
      </w:pPr>
      <w:r>
        <w:rPr/>
        <w:t>根据财务报表格式的要求，除执行上述新金融工具准则产生的列报变化以外，本公司将</w:t>
      </w:r>
      <w:r>
        <w:rPr>
          <w:spacing w:val="-14"/>
        </w:rPr>
        <w:t> </w:t>
      </w:r>
      <w:r>
        <w:rPr>
          <w:rFonts w:ascii="Times New Roman" w:hAnsi="Times New Roman" w:cs="Times New Roman" w:eastAsia="Times New Roman" w:hint="default"/>
        </w:rPr>
        <w:t>“</w:t>
      </w:r>
      <w:r>
        <w:rPr/>
        <w:t>应收票据及 应收账款</w:t>
      </w:r>
      <w:r>
        <w:rPr>
          <w:rFonts w:ascii="Times New Roman" w:hAnsi="Times New Roman" w:cs="Times New Roman" w:eastAsia="Times New Roman" w:hint="default"/>
        </w:rPr>
        <w:t>”</w:t>
      </w:r>
      <w:r>
        <w:rPr/>
        <w:t>拆分列示为 </w:t>
      </w:r>
      <w:r>
        <w:rPr>
          <w:rFonts w:ascii="Times New Roman" w:hAnsi="Times New Roman" w:cs="Times New Roman" w:eastAsia="Times New Roman" w:hint="default"/>
        </w:rPr>
        <w:t>“</w:t>
      </w:r>
      <w:r>
        <w:rPr/>
        <w:t>应收票据</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应收账款</w:t>
      </w:r>
      <w:r>
        <w:rPr>
          <w:rFonts w:ascii="Times New Roman" w:hAnsi="Times New Roman" w:cs="Times New Roman" w:eastAsia="Times New Roman" w:hint="default"/>
        </w:rPr>
        <w:t>”</w:t>
      </w:r>
      <w:r>
        <w:rPr/>
        <w:t>两个项目，将 </w:t>
      </w:r>
      <w:r>
        <w:rPr>
          <w:rFonts w:ascii="Times New Roman" w:hAnsi="Times New Roman" w:cs="Times New Roman" w:eastAsia="Times New Roman" w:hint="default"/>
        </w:rPr>
        <w:t>“</w:t>
      </w:r>
      <w:r>
        <w:rPr/>
        <w:t>应付票据及应付账款</w:t>
      </w:r>
      <w:r>
        <w:rPr>
          <w:rFonts w:ascii="Times New Roman" w:hAnsi="Times New Roman" w:cs="Times New Roman" w:eastAsia="Times New Roman" w:hint="default"/>
        </w:rPr>
        <w:t>”</w:t>
      </w:r>
      <w:r>
        <w:rPr>
          <w:rFonts w:ascii="Times New Roman" w:hAnsi="Times New Roman" w:cs="Times New Roman" w:eastAsia="Times New Roman" w:hint="default"/>
          <w:spacing w:val="9"/>
        </w:rPr>
        <w:t> </w:t>
      </w:r>
      <w:r>
        <w:rPr/>
        <w:t>拆分列示为</w:t>
      </w:r>
      <w:r>
        <w:rPr>
          <w:rFonts w:ascii="Times New Roman" w:hAnsi="Times New Roman" w:cs="Times New Roman" w:eastAsia="Times New Roman" w:hint="default"/>
        </w:rPr>
        <w:t>“</w:t>
      </w:r>
      <w:r>
        <w:rPr/>
        <w:t>应付票 </w:t>
      </w:r>
      <w:r>
        <w:rPr>
          <w:spacing w:val="-2"/>
        </w:rPr>
        <w:t>据</w:t>
      </w:r>
      <w:r>
        <w:rPr>
          <w:rFonts w:ascii="Times New Roman" w:hAnsi="Times New Roman" w:cs="Times New Roman" w:eastAsia="Times New Roman" w:hint="default"/>
          <w:spacing w:val="-2"/>
        </w:rPr>
        <w:t>”</w:t>
      </w:r>
      <w:r>
        <w:rPr>
          <w:spacing w:val="-2"/>
        </w:rPr>
        <w:t>和</w:t>
      </w:r>
      <w:r>
        <w:rPr>
          <w:rFonts w:ascii="Times New Roman" w:hAnsi="Times New Roman" w:cs="Times New Roman" w:eastAsia="Times New Roman" w:hint="default"/>
          <w:spacing w:val="-2"/>
        </w:rPr>
        <w:t>“</w:t>
      </w:r>
      <w:r>
        <w:rPr>
          <w:spacing w:val="-2"/>
        </w:rPr>
        <w:t>应付账款</w:t>
      </w:r>
      <w:r>
        <w:rPr>
          <w:rFonts w:ascii="Times New Roman" w:hAnsi="Times New Roman" w:cs="Times New Roman" w:eastAsia="Times New Roman" w:hint="default"/>
          <w:spacing w:val="-2"/>
        </w:rPr>
        <w:t>”</w:t>
      </w:r>
      <w:r>
        <w:rPr>
          <w:spacing w:val="-2"/>
        </w:rPr>
        <w:t>两个项目。本公司相应追溯调整了比较期间报表，该会计政策变更对合并及公司净利润和</w:t>
      </w:r>
      <w:r>
        <w:rPr>
          <w:spacing w:val="-102"/>
        </w:rPr>
        <w:t> </w:t>
      </w:r>
      <w:r>
        <w:rPr>
          <w:spacing w:val="-102"/>
        </w:rPr>
      </w:r>
      <w:r>
        <w:rPr/>
        <w:t>股东权益无影响。</w:t>
      </w:r>
    </w:p>
    <w:p>
      <w:pPr>
        <w:spacing w:before="53"/>
        <w:ind w:left="154" w:right="0" w:firstLine="0"/>
        <w:jc w:val="left"/>
        <w:rPr>
          <w:rFonts w:ascii="宋体" w:hAnsi="宋体" w:cs="宋体" w:eastAsia="宋体" w:hint="default"/>
          <w:sz w:val="18"/>
          <w:szCs w:val="18"/>
        </w:rPr>
      </w:pPr>
      <w:r>
        <w:rPr>
          <w:rFonts w:ascii="宋体" w:hAnsi="宋体" w:cs="宋体" w:eastAsia="宋体" w:hint="default"/>
          <w:sz w:val="18"/>
          <w:szCs w:val="18"/>
        </w:rPr>
        <w:t>母公司资产负债表</w:t>
      </w:r>
    </w:p>
    <w:p>
      <w:pPr>
        <w:spacing w:before="11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206"/>
        <w:gridCol w:w="2454"/>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货币资金</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66,310,233.98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66,310,233.98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交易性金融资产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670,707,726.14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670,707,726.14</w:t>
            </w: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91"/>
              <w:jc w:val="both"/>
              <w:rPr>
                <w:rFonts w:ascii="宋体" w:hAnsi="宋体" w:cs="宋体" w:eastAsia="宋体" w:hint="default"/>
                <w:sz w:val="18"/>
                <w:szCs w:val="18"/>
              </w:rPr>
            </w:pPr>
            <w:r>
              <w:rPr>
                <w:rFonts w:ascii="宋体" w:hAnsi="宋体" w:cs="宋体" w:eastAsia="宋体" w:hint="default"/>
                <w:sz w:val="18"/>
                <w:szCs w:val="18"/>
              </w:rPr>
              <w:t>    以公允价值计量且其 变动计入当期损益的金融 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350,566,388.89</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-350,566,388.89</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应收票据</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应收账款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43,889,701.28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43,889,701.28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应收款项融资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预付款项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92,747.02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92,747.02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其他应收款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102,041,438.39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102,041,438.39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其中：应收利息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568,333.33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568,333.33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应收股利</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存货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5,761,263.86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5,761,263.86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合同资产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持有待售资产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91"/>
              <w:jc w:val="left"/>
              <w:rPr>
                <w:rFonts w:ascii="宋体" w:hAnsi="宋体" w:cs="宋体" w:eastAsia="宋体" w:hint="default"/>
                <w:sz w:val="18"/>
                <w:szCs w:val="18"/>
              </w:rPr>
            </w:pPr>
            <w:r>
              <w:rPr>
                <w:rFonts w:ascii="宋体" w:hAnsi="宋体" w:cs="宋体" w:eastAsia="宋体" w:hint="default"/>
                <w:sz w:val="18"/>
                <w:szCs w:val="18"/>
              </w:rPr>
              <w:t>    一年内到期的非流动 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其他流动资产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200,859,237.30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859,237.30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769,521,010.72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889,662,347.97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债权投资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可供出售金融资产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206,831,337.25</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-206,831,337.25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其他债权投资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持有至到期投资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长期应收款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06"/>
        <w:gridCol w:w="2454"/>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长期股权投资</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1,390,019,610.78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1,390,019,610.78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其他权益工具投资</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85,340,000.00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85,340,000.00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其他非流动金融资产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投资性房地产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24,697,008.89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24,697,008.89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固定资产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6,374,284.02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6,374,284.02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在建工程</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生产性生物资产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油气资产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使用权资产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无形资产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3,669,876.23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3,669,876.23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开发支出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商誉</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长期待摊费用</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递延所得税资产</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其他非流动资产</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4,514,185.00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4,514,185.00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1,636,106,302.17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1,515,964,964.92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2,405,627,312.89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2,405,627,312.89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短期借款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交易性金融负债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91"/>
              <w:jc w:val="both"/>
              <w:rPr>
                <w:rFonts w:ascii="宋体" w:hAnsi="宋体" w:cs="宋体" w:eastAsia="宋体" w:hint="default"/>
                <w:sz w:val="18"/>
                <w:szCs w:val="18"/>
              </w:rPr>
            </w:pPr>
            <w:r>
              <w:rPr>
                <w:rFonts w:ascii="宋体" w:hAnsi="宋体" w:cs="宋体" w:eastAsia="宋体" w:hint="default"/>
                <w:sz w:val="18"/>
                <w:szCs w:val="18"/>
              </w:rPr>
              <w:t>    以公允价值计量且其 变动计入当期损益的金融 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应付票据</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应付账款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24,142,944.86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24,142,944.86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预收款项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1,148,606.90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1,148,606.90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合同负债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应付职工薪酬</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534,374.19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534,374.19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应交税费</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1,365,105.16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1,365,105.16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其他应付款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131,939,790.38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131,939,790.38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其中：应付利息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1,494,986.30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1,494,986.30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应付股利</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持有待售负债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    一年内到期的非流动</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6,000,000.00</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06"/>
        <w:gridCol w:w="2454"/>
        <w:gridCol w:w="2454"/>
        <w:gridCol w:w="2454"/>
      </w:tblGrid>
      <w:tr>
        <w:trPr>
          <w:trHeight w:val="36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其他流动负债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1,492,409.49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1,492,409.49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196,623,230.98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196,623,230.98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长期借款</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应付债券</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其中：优先股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永续债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租赁负债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长期应付款</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长期应付职工薪酬</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预计负债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递延收益</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递延所得税负债</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141,597.22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141,597.22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其他非流动负债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11,141,597.22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11,141,597.22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207,764,828.20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207,764,828.20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股本</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623,964,810.00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623,964,810.00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其他权益工具</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其中：优先股</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永续债</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资本公积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1,767,666,312.88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1,767,666,312.88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减：库存股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45,615,168.20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45,615,168.20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其他综合收益</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120,141,337.25</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专项储备</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盈余公积</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16,741,846.44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16,741,846.44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未分配利润</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-285,036,653.68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-164,895,316.43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2,197,862,484.69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2,197,862,484.69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2,405,627,312.89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2,405,627,312.89</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调整情况说明</w:t>
      </w:r>
    </w:p>
    <w:p>
      <w:pPr>
        <w:spacing w:line="240" w:lineRule="auto" w:before="12"/>
        <w:rPr>
          <w:rFonts w:ascii="宋体" w:hAnsi="宋体" w:cs="宋体" w:eastAsia="宋体" w:hint="default"/>
          <w:sz w:val="12"/>
          <w:szCs w:val="12"/>
        </w:rPr>
      </w:pPr>
    </w:p>
    <w:p>
      <w:pPr>
        <w:pStyle w:val="BodyText"/>
        <w:spacing w:line="398" w:lineRule="auto" w:before="0"/>
        <w:ind w:right="1131" w:firstLine="420"/>
        <w:jc w:val="both"/>
      </w:pPr>
      <w:r>
        <w:rPr>
          <w:spacing w:val="-1"/>
        </w:rPr>
        <w:t>本公司根据新金融工具准则的规定，对金融工具的分类和计量（含减值）进行追溯调整，将金融工具</w:t>
      </w:r>
      <w:r>
        <w:rPr/>
        <w:t> </w:t>
      </w:r>
      <w:r>
        <w:rPr>
          <w:spacing w:val="-1"/>
        </w:rPr>
        <w:t>原账面价值和在新金融工具准则施行日（即</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w:t>
      </w:r>
      <w:r>
        <w:rPr>
          <w:spacing w:val="-1"/>
        </w:rPr>
        <w:t>日）的新账面价值之间的差额计入</w:t>
      </w:r>
      <w:r>
        <w:rPr>
          <w:rFonts w:ascii="Times New Roman" w:hAnsi="Times New Roman" w:cs="Times New Roman" w:eastAsia="Times New Roman" w:hint="default"/>
          <w:spacing w:val="-1"/>
        </w:rPr>
        <w:t>2019</w:t>
      </w:r>
      <w:r>
        <w:rPr>
          <w:spacing w:val="-1"/>
        </w:rPr>
        <w:t>年年初留存</w:t>
      </w:r>
      <w:r>
        <w:rPr>
          <w:spacing w:val="-83"/>
        </w:rPr>
        <w:t> </w:t>
      </w:r>
      <w:r>
        <w:rPr/>
        <w:t>收益或其他综合收益。</w:t>
      </w:r>
    </w:p>
    <w:p>
      <w:pPr>
        <w:spacing w:after="0" w:line="398" w:lineRule="auto"/>
        <w:jc w:val="both"/>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386" w:lineRule="auto" w:before="35"/>
        <w:ind w:left="153" w:right="1130" w:firstLine="420"/>
        <w:jc w:val="both"/>
      </w:pPr>
      <w:r>
        <w:rPr/>
        <w:t>根据财务报表格式的要求，除执行上述新金融工具准则产生的列报变化以外，本公司将</w:t>
      </w:r>
      <w:r>
        <w:rPr>
          <w:spacing w:val="-14"/>
        </w:rPr>
        <w:t> </w:t>
      </w:r>
      <w:r>
        <w:rPr>
          <w:rFonts w:ascii="Times New Roman" w:hAnsi="Times New Roman" w:cs="Times New Roman" w:eastAsia="Times New Roman" w:hint="default"/>
        </w:rPr>
        <w:t>“</w:t>
      </w:r>
      <w:r>
        <w:rPr/>
        <w:t>应收票据及 应收账款</w:t>
      </w:r>
      <w:r>
        <w:rPr>
          <w:rFonts w:ascii="Times New Roman" w:hAnsi="Times New Roman" w:cs="Times New Roman" w:eastAsia="Times New Roman" w:hint="default"/>
        </w:rPr>
        <w:t>”</w:t>
      </w:r>
      <w:r>
        <w:rPr/>
        <w:t>拆分列示为 </w:t>
      </w:r>
      <w:r>
        <w:rPr>
          <w:rFonts w:ascii="Times New Roman" w:hAnsi="Times New Roman" w:cs="Times New Roman" w:eastAsia="Times New Roman" w:hint="default"/>
        </w:rPr>
        <w:t>“</w:t>
      </w:r>
      <w:r>
        <w:rPr/>
        <w:t>应收票据</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应收账款</w:t>
      </w:r>
      <w:r>
        <w:rPr>
          <w:rFonts w:ascii="Times New Roman" w:hAnsi="Times New Roman" w:cs="Times New Roman" w:eastAsia="Times New Roman" w:hint="default"/>
        </w:rPr>
        <w:t>”</w:t>
      </w:r>
      <w:r>
        <w:rPr/>
        <w:t>两个项目，将 </w:t>
      </w:r>
      <w:r>
        <w:rPr>
          <w:rFonts w:ascii="Times New Roman" w:hAnsi="Times New Roman" w:cs="Times New Roman" w:eastAsia="Times New Roman" w:hint="default"/>
        </w:rPr>
        <w:t>“</w:t>
      </w:r>
      <w:r>
        <w:rPr/>
        <w:t>应付票据及应付账款</w:t>
      </w:r>
      <w:r>
        <w:rPr>
          <w:rFonts w:ascii="Times New Roman" w:hAnsi="Times New Roman" w:cs="Times New Roman" w:eastAsia="Times New Roman" w:hint="default"/>
        </w:rPr>
        <w:t>”</w:t>
      </w:r>
      <w:r>
        <w:rPr>
          <w:rFonts w:ascii="Times New Roman" w:hAnsi="Times New Roman" w:cs="Times New Roman" w:eastAsia="Times New Roman" w:hint="default"/>
          <w:spacing w:val="9"/>
        </w:rPr>
        <w:t> </w:t>
      </w:r>
      <w:r>
        <w:rPr/>
        <w:t>拆分列示为</w:t>
      </w:r>
      <w:r>
        <w:rPr>
          <w:rFonts w:ascii="Times New Roman" w:hAnsi="Times New Roman" w:cs="Times New Roman" w:eastAsia="Times New Roman" w:hint="default"/>
        </w:rPr>
        <w:t>“</w:t>
      </w:r>
      <w:r>
        <w:rPr/>
        <w:t>应付票 </w:t>
      </w:r>
      <w:r>
        <w:rPr>
          <w:spacing w:val="-2"/>
        </w:rPr>
        <w:t>据</w:t>
      </w:r>
      <w:r>
        <w:rPr>
          <w:rFonts w:ascii="Times New Roman" w:hAnsi="Times New Roman" w:cs="Times New Roman" w:eastAsia="Times New Roman" w:hint="default"/>
          <w:spacing w:val="-2"/>
        </w:rPr>
        <w:t>”</w:t>
      </w:r>
      <w:r>
        <w:rPr>
          <w:spacing w:val="-2"/>
        </w:rPr>
        <w:t>和</w:t>
      </w:r>
      <w:r>
        <w:rPr>
          <w:rFonts w:ascii="Times New Roman" w:hAnsi="Times New Roman" w:cs="Times New Roman" w:eastAsia="Times New Roman" w:hint="default"/>
          <w:spacing w:val="-2"/>
        </w:rPr>
        <w:t>“</w:t>
      </w:r>
      <w:r>
        <w:rPr>
          <w:spacing w:val="-2"/>
        </w:rPr>
        <w:t>应付账款</w:t>
      </w:r>
      <w:r>
        <w:rPr>
          <w:rFonts w:ascii="Times New Roman" w:hAnsi="Times New Roman" w:cs="Times New Roman" w:eastAsia="Times New Roman" w:hint="default"/>
          <w:spacing w:val="-2"/>
        </w:rPr>
        <w:t>”</w:t>
      </w:r>
      <w:r>
        <w:rPr>
          <w:spacing w:val="-2"/>
        </w:rPr>
        <w:t>两个项目。本公司相应追溯调整了比较期间报表，该会计政策变更对合并及公司净利润和</w:t>
      </w:r>
      <w:r>
        <w:rPr>
          <w:spacing w:val="-102"/>
        </w:rPr>
        <w:t> </w:t>
      </w:r>
      <w:r>
        <w:rPr>
          <w:spacing w:val="-102"/>
        </w:rPr>
      </w:r>
      <w:r>
        <w:rPr/>
        <w:t>股东权益无影响。</w:t>
      </w:r>
    </w:p>
    <w:p>
      <w:pPr>
        <w:spacing w:line="240" w:lineRule="auto" w:before="0"/>
        <w:rPr>
          <w:rFonts w:ascii="宋体" w:hAnsi="宋体" w:cs="宋体" w:eastAsia="宋体" w:hint="default"/>
          <w:sz w:val="22"/>
          <w:szCs w:val="22"/>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9"/>
        </w:rPr>
        <w:t> </w:t>
      </w:r>
      <w:r>
        <w:rPr/>
        <w:t>年起执行新金融工具准则或新租赁准则追溯调整前期比较数据说明</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r>
        <w:rPr/>
        <w:t>六、税项</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、主要税种及税率</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74" w:hRule="exact"/>
        </w:trPr>
        <w:tc>
          <w:tcPr>
            <w:tcW w:w="3190" w:type="dxa"/>
            <w:tcBorders>
              <w:top w:val="single" w:sz="4" w:space="0" w:color="000000"/>
              <w:left w:val="single" w:sz="4" w:space="0" w:color="000000"/>
              <w:bottom w:val="nil" w:sz="6" w:space="0" w:color="auto"/>
              <w:right w:val="single" w:sz="4" w:space="0" w:color="000000"/>
            </w:tcBorders>
            <w:shd w:val="clear" w:color="auto" w:fill="D3D3D3"/>
          </w:tcPr>
          <w:p>
            <w:pPr/>
          </w:p>
        </w:tc>
        <w:tc>
          <w:tcPr>
            <w:tcW w:w="3190"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95"/>
              <w:jc w:val="both"/>
              <w:rPr>
                <w:rFonts w:ascii="宋体" w:hAnsi="宋体" w:cs="宋体" w:eastAsia="宋体" w:hint="default"/>
                <w:sz w:val="18"/>
                <w:szCs w:val="18"/>
              </w:rPr>
            </w:pPr>
            <w:r>
              <w:rPr>
                <w:rFonts w:ascii="宋体" w:hAnsi="宋体" w:cs="宋体" w:eastAsia="宋体" w:hint="default"/>
                <w:sz w:val="18"/>
                <w:szCs w:val="18"/>
              </w:rPr>
              <w:t>按税法规定计算的销售货物和应税劳务 收入为基础计算销项税额，在扣除当期 允许抵扣的进项税额后，差额部分为应 交增值税</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17.00</w:t>
            </w:r>
            <w:r>
              <w:rPr>
                <w:rFonts w:ascii="宋体" w:hAnsi="宋体" w:cs="宋体" w:eastAsia="宋体" w:hint="default"/>
                <w:sz w:val="18"/>
                <w:szCs w:val="18"/>
              </w:rPr>
              <w:t>、</w:t>
            </w:r>
            <w:r>
              <w:rPr>
                <w:rFonts w:ascii="Times New Roman" w:hAnsi="Times New Roman" w:cs="Times New Roman" w:eastAsia="Times New Roman" w:hint="default"/>
                <w:sz w:val="18"/>
                <w:szCs w:val="18"/>
              </w:rPr>
              <w:t>16.00</w:t>
            </w:r>
            <w:r>
              <w:rPr>
                <w:rFonts w:ascii="宋体" w:hAnsi="宋体" w:cs="宋体" w:eastAsia="宋体" w:hint="default"/>
                <w:sz w:val="18"/>
                <w:szCs w:val="18"/>
              </w:rPr>
              <w:t>、</w:t>
            </w:r>
            <w:r>
              <w:rPr>
                <w:rFonts w:ascii="Times New Roman" w:hAnsi="Times New Roman" w:cs="Times New Roman" w:eastAsia="Times New Roman" w:hint="default"/>
                <w:sz w:val="18"/>
                <w:szCs w:val="18"/>
              </w:rPr>
              <w:t>6.00</w:t>
            </w:r>
            <w:r>
              <w:rPr>
                <w:rFonts w:ascii="宋体" w:hAnsi="宋体" w:cs="宋体" w:eastAsia="宋体" w:hint="default"/>
                <w:sz w:val="18"/>
                <w:szCs w:val="18"/>
              </w:rPr>
              <w:t>、</w:t>
            </w:r>
            <w:r>
              <w:rPr>
                <w:rFonts w:ascii="Times New Roman" w:hAnsi="Times New Roman" w:cs="Times New Roman" w:eastAsia="Times New Roman" w:hint="default"/>
                <w:sz w:val="18"/>
                <w:szCs w:val="18"/>
              </w:rPr>
              <w:t>5.00</w:t>
            </w:r>
            <w:r>
              <w:rPr>
                <w:rFonts w:ascii="宋体" w:hAnsi="宋体" w:cs="宋体" w:eastAsia="宋体" w:hint="default"/>
                <w:sz w:val="18"/>
                <w:szCs w:val="18"/>
              </w:rPr>
              <w:t>、</w:t>
            </w:r>
            <w:r>
              <w:rPr>
                <w:rFonts w:ascii="Times New Roman" w:hAnsi="Times New Roman" w:cs="Times New Roman" w:eastAsia="Times New Roman" w:hint="default"/>
                <w:sz w:val="18"/>
                <w:szCs w:val="18"/>
              </w:rPr>
              <w:t>3.00</w:t>
            </w:r>
          </w:p>
        </w:tc>
      </w:tr>
      <w:tr>
        <w:trPr>
          <w:trHeight w:val="391"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vMerge/>
            <w:tcBorders>
              <w:left w:val="single" w:sz="4" w:space="0" w:color="000000"/>
              <w:right w:val="single" w:sz="4" w:space="0" w:color="000000"/>
            </w:tcBorders>
          </w:tcPr>
          <w:p>
            <w:pPr/>
          </w:p>
        </w:tc>
        <w:tc>
          <w:tcPr>
            <w:tcW w:w="3190" w:type="dxa"/>
            <w:vMerge/>
            <w:tcBorders>
              <w:left w:val="single" w:sz="4" w:space="0" w:color="000000"/>
              <w:right w:val="single" w:sz="4" w:space="0" w:color="000000"/>
            </w:tcBorders>
          </w:tcPr>
          <w:p>
            <w:pPr/>
          </w:p>
        </w:tc>
      </w:tr>
      <w:tr>
        <w:trPr>
          <w:trHeight w:val="473" w:hRule="exact"/>
        </w:trPr>
        <w:tc>
          <w:tcPr>
            <w:tcW w:w="3190" w:type="dxa"/>
            <w:tcBorders>
              <w:top w:val="nil" w:sz="6" w:space="0" w:color="auto"/>
              <w:left w:val="single" w:sz="4" w:space="0" w:color="000000"/>
              <w:bottom w:val="single" w:sz="4" w:space="0" w:color="000000"/>
              <w:right w:val="single" w:sz="4" w:space="0" w:color="000000"/>
            </w:tcBorders>
            <w:shd w:val="clear" w:color="auto" w:fill="D3D3D3"/>
          </w:tcPr>
          <w:p>
            <w:pPr/>
          </w:p>
        </w:tc>
        <w:tc>
          <w:tcPr>
            <w:tcW w:w="3190" w:type="dxa"/>
            <w:vMerge/>
            <w:tcBorders>
              <w:left w:val="single" w:sz="4" w:space="0" w:color="000000"/>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162" w:hRule="exact"/>
        </w:trPr>
        <w:tc>
          <w:tcPr>
            <w:tcW w:w="3190" w:type="dxa"/>
            <w:tcBorders>
              <w:top w:val="single" w:sz="4" w:space="0" w:color="000000"/>
              <w:left w:val="single" w:sz="4" w:space="0" w:color="000000"/>
              <w:bottom w:val="nil" w:sz="6" w:space="0" w:color="auto"/>
              <w:right w:val="single" w:sz="4" w:space="0" w:color="000000"/>
            </w:tcBorders>
            <w:shd w:val="clear" w:color="auto" w:fill="D3D3D3"/>
          </w:tcPr>
          <w:p>
            <w:pPr/>
          </w:p>
        </w:tc>
        <w:tc>
          <w:tcPr>
            <w:tcW w:w="3190"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95"/>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 计缴</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7.00</w:t>
            </w:r>
          </w:p>
        </w:tc>
      </w:tr>
      <w:tr>
        <w:trPr>
          <w:trHeight w:val="391"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vMerge/>
            <w:tcBorders>
              <w:left w:val="single" w:sz="4" w:space="0" w:color="000000"/>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90" w:type="dxa"/>
            <w:tcBorders>
              <w:top w:val="nil" w:sz="6" w:space="0" w:color="auto"/>
              <w:left w:val="single" w:sz="4" w:space="0" w:color="000000"/>
              <w:bottom w:val="single" w:sz="4" w:space="0" w:color="000000"/>
              <w:right w:val="single" w:sz="4" w:space="0" w:color="000000"/>
            </w:tcBorders>
            <w:shd w:val="clear" w:color="auto" w:fill="D3D3D3"/>
          </w:tcPr>
          <w:p>
            <w:pPr/>
          </w:p>
        </w:tc>
        <w:tc>
          <w:tcPr>
            <w:tcW w:w="3190" w:type="dxa"/>
            <w:vMerge/>
            <w:tcBorders>
              <w:left w:val="single" w:sz="4" w:space="0" w:color="000000"/>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25.00</w:t>
            </w:r>
            <w:r>
              <w:rPr>
                <w:rFonts w:ascii="宋体" w:hAnsi="宋体" w:cs="宋体" w:eastAsia="宋体" w:hint="default"/>
                <w:sz w:val="18"/>
                <w:szCs w:val="18"/>
              </w:rPr>
              <w:t>、</w:t>
            </w:r>
            <w:r>
              <w:rPr>
                <w:rFonts w:ascii="Times New Roman" w:hAnsi="Times New Roman" w:cs="Times New Roman" w:eastAsia="Times New Roman" w:hint="default"/>
                <w:sz w:val="18"/>
                <w:szCs w:val="18"/>
              </w:rPr>
              <w:t>16.50</w:t>
            </w:r>
            <w:r>
              <w:rPr>
                <w:rFonts w:ascii="宋体" w:hAnsi="宋体" w:cs="宋体" w:eastAsia="宋体" w:hint="default"/>
                <w:sz w:val="18"/>
                <w:szCs w:val="18"/>
              </w:rPr>
              <w:t>、</w:t>
            </w:r>
            <w:r>
              <w:rPr>
                <w:rFonts w:ascii="Times New Roman" w:hAnsi="Times New Roman" w:cs="Times New Roman" w:eastAsia="Times New Roman" w:hint="default"/>
                <w:sz w:val="18"/>
                <w:szCs w:val="18"/>
              </w:rPr>
              <w:t>15.00</w:t>
            </w:r>
            <w:r>
              <w:rPr>
                <w:rFonts w:ascii="宋体" w:hAnsi="宋体" w:cs="宋体" w:eastAsia="宋体" w:hint="default"/>
                <w:sz w:val="18"/>
                <w:szCs w:val="18"/>
              </w:rPr>
              <w:t>、</w:t>
            </w:r>
            <w:r>
              <w:rPr>
                <w:rFonts w:ascii="Times New Roman" w:hAnsi="Times New Roman" w:cs="Times New Roman" w:eastAsia="Times New Roman" w:hint="default"/>
                <w:sz w:val="18"/>
                <w:szCs w:val="18"/>
              </w:rPr>
              <w:t>0.00</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5"/>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 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3.00</w:t>
            </w:r>
          </w:p>
        </w:tc>
      </w:tr>
      <w:tr>
        <w:trPr>
          <w:trHeight w:val="715" w:hRule="exact"/>
        </w:trPr>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5"/>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 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存在不同企业所得税税率纳税主体的，披露情况说明</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2"/>
        <w:gridCol w:w="4786"/>
      </w:tblGrid>
      <w:tr>
        <w:trPr>
          <w:trHeight w:val="401" w:hRule="exact"/>
        </w:trPr>
        <w:tc>
          <w:tcPr>
            <w:tcW w:w="478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厦门安妮企业有限公司（</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安妮企业</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济南安妮纸业有限公司（</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济南安妮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厦门安妮商务信息用纸有限公司（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商务信息</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上海安妮企业有限公司（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上海安妮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福州安妮全办公用品有限公司（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福州安妮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成都安妮全办公用品有限公司（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成都安妮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湖南安妮特种涂布纸有限公司（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湖南安妮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南京安妮纸业有限公司（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南京安妮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天津安妮纸业销售有限公司（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天津安妮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安妮（香港）有限公司（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香港安妮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16.50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上海超级标贴系统有限公司（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上海超级</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上海鸿晟物业管理有限公司（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上海鸿晟</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泉州安妮贸易有限公司（本期已处置）</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北京至美数码防伪印务有限公司（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北京至美</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北京联移合通科技有限公司（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北京联移</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深圳市微梦想网络技术有限公司（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微梦想</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深圳市微推客网络技术有限公司（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微推客</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深圳市微广盟网络技术有限公司（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微广盟</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新疆安云网络科技有限公司（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新疆安云</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畅元国讯</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华云在线（北京）数字版权技术有限公司（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华云在线</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北京华迪希艾科技发展有限公司（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华迪希艾</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新疆安讯网络科技有限公司（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新疆安迅</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畅元国讯（天津）科技有限公司（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天津畅元</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北京畅华科技有限公司（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北京畅华</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成都博艾科技有限公司（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成都博艾</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霍尔果斯畅元世纪文化传播有限公司（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世纪文化</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霍尔果斯林沛文化服务有限公司（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林沛文化</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厦门恒千物业管理有限公司（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恒千物业</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厦门千实物业管理有限公司（</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厦门千实</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北京安妮全版权科技发展有限公司（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全版权</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北京版全家科技发展有限公司（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版全家</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厦门安妮知识产权服务有限公司（</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知识产权</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厦门版全家科技有限公司（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厦门版全家</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厦门安妮大数据科技有限公司（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安妮大数据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北京市淘智惠电子商务有限公司（</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淘智惠</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北京稿稿文化传播有限公司（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稿稿文化</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厦门文化产业开发有限公司（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安妮文化产业</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小微企业纳税所得额减半然后再减按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厦门安普农食品有限公司（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安普农</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Arial" w:hAnsi="Arial" w:cs="Arial" w:eastAsia="Arial" w:hint="default"/>
                <w:sz w:val="18"/>
                <w:szCs w:val="18"/>
              </w:rPr>
            </w:pPr>
            <w:r>
              <w:rPr>
                <w:rFonts w:ascii="宋体" w:hAnsi="宋体" w:cs="宋体" w:eastAsia="宋体" w:hint="default"/>
                <w:w w:val="95"/>
                <w:sz w:val="18"/>
                <w:szCs w:val="18"/>
              </w:rPr>
              <w:t>小微企业纳税所得额减半然后再减按</w:t>
            </w:r>
            <w:r>
              <w:rPr>
                <w:rFonts w:ascii="宋体" w:hAnsi="宋体" w:cs="宋体" w:eastAsia="宋体" w:hint="default"/>
                <w:spacing w:val="55"/>
                <w:w w:val="95"/>
                <w:sz w:val="18"/>
                <w:szCs w:val="18"/>
              </w:rPr>
              <w:t> </w:t>
            </w:r>
            <w:r>
              <w:rPr>
                <w:rFonts w:ascii="Arial" w:hAnsi="Arial" w:cs="Arial" w:eastAsia="Arial" w:hint="default"/>
                <w:w w:val="95"/>
                <w:sz w:val="18"/>
                <w:szCs w:val="18"/>
              </w:rPr>
              <w:t>20%</w:t>
            </w:r>
            <w:r>
              <w:rPr>
                <w:rFonts w:ascii="Arial" w:hAnsi="Arial" w:cs="Arial" w:eastAsia="Arial" w:hint="default"/>
                <w:sz w:val="18"/>
                <w:szCs w:val="18"/>
              </w:rPr>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2</w:t>
      </w:r>
      <w:r>
        <w:rPr/>
        <w:t>、税收优惠</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3" w:right="0"/>
        <w:jc w:val="left"/>
      </w:pPr>
      <w:r>
        <w:rPr/>
        <w:t>各分公司、分厂异地独立缴纳企业所得税的说明： 本公司分支机构北京分公司、南京分公司、天津分公司、武汉分公司，与母公司采用</w:t>
      </w:r>
      <w:r>
        <w:rPr>
          <w:rFonts w:ascii="Times New Roman" w:hAnsi="Times New Roman" w:cs="Times New Roman" w:eastAsia="Times New Roman" w:hint="default"/>
        </w:rPr>
        <w:t>“</w:t>
      </w:r>
      <w:r>
        <w:rPr/>
        <w:t>统一计算、分</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386" w:lineRule="auto" w:before="35"/>
        <w:ind w:left="573" w:right="1127" w:hanging="420"/>
        <w:jc w:val="left"/>
        <w:rPr>
          <w:rFonts w:ascii="Times New Roman" w:hAnsi="Times New Roman" w:cs="Times New Roman" w:eastAsia="Times New Roman" w:hint="default"/>
        </w:rPr>
      </w:pPr>
      <w:r>
        <w:rPr/>
        <w:t>级管理、就地预缴、汇总清算</w:t>
      </w:r>
      <w:r>
        <w:rPr>
          <w:rFonts w:ascii="Times New Roman" w:hAnsi="Times New Roman" w:cs="Times New Roman" w:eastAsia="Times New Roman" w:hint="default"/>
        </w:rPr>
        <w:t>”</w:t>
      </w:r>
      <w:r>
        <w:rPr/>
        <w:t>的企业所得税征收管理办法计缴企业所得税。 </w:t>
      </w:r>
      <w:r>
        <w:rPr>
          <w:spacing w:val="-2"/>
        </w:rPr>
        <w:t>本报告期内产品出口实行免抵退核算，商业表格纸、</w:t>
      </w:r>
      <w:r>
        <w:rPr>
          <w:rFonts w:ascii="Times New Roman" w:hAnsi="Times New Roman" w:cs="Times New Roman" w:eastAsia="Times New Roman" w:hint="default"/>
          <w:spacing w:val="-2"/>
        </w:rPr>
        <w:t>AMT</w:t>
      </w:r>
      <w:r>
        <w:rPr>
          <w:spacing w:val="-2"/>
        </w:rPr>
        <w:t>热敏纸退税率</w:t>
      </w:r>
      <w:r>
        <w:rPr>
          <w:rFonts w:ascii="Times New Roman" w:hAnsi="Times New Roman" w:cs="Times New Roman" w:eastAsia="Times New Roman" w:hint="default"/>
          <w:spacing w:val="-2"/>
        </w:rPr>
        <w:t>13.00%</w:t>
      </w:r>
      <w:r>
        <w:rPr>
          <w:spacing w:val="-2"/>
        </w:rPr>
        <w:t>，多联商业表格纸</w:t>
      </w:r>
      <w:r>
        <w:rPr>
          <w:rFonts w:ascii="Times New Roman" w:hAnsi="Times New Roman" w:cs="Times New Roman" w:eastAsia="Times New Roman" w:hint="default"/>
          <w:spacing w:val="-2"/>
        </w:rPr>
        <w:t>2009</w:t>
      </w:r>
    </w:p>
    <w:p>
      <w:pPr>
        <w:pStyle w:val="BodyText"/>
        <w:spacing w:line="386" w:lineRule="auto" w:before="35"/>
        <w:ind w:left="574" w:right="1090" w:hanging="421"/>
        <w:jc w:val="left"/>
      </w:pP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w:t>
      </w:r>
      <w:r>
        <w:rPr/>
        <w:t>日退税率由</w:t>
      </w:r>
      <w:r>
        <w:rPr>
          <w:rFonts w:ascii="Times New Roman" w:hAnsi="Times New Roman" w:cs="Times New Roman" w:eastAsia="Times New Roman" w:hint="default"/>
        </w:rPr>
        <w:t>11.00%</w:t>
      </w:r>
      <w:r>
        <w:rPr/>
        <w:t>变更为</w:t>
      </w:r>
      <w:r>
        <w:rPr>
          <w:rFonts w:ascii="Times New Roman" w:hAnsi="Times New Roman" w:cs="Times New Roman" w:eastAsia="Times New Roman" w:hint="default"/>
        </w:rPr>
        <w:t>13.00%</w:t>
      </w:r>
      <w:r>
        <w:rPr/>
        <w:t>，其他产品出口退税率为</w:t>
      </w:r>
      <w:r>
        <w:rPr>
          <w:rFonts w:ascii="Times New Roman" w:hAnsi="Times New Roman" w:cs="Times New Roman" w:eastAsia="Times New Roman" w:hint="default"/>
        </w:rPr>
        <w:t>0.00%</w:t>
      </w:r>
      <w:r>
        <w:rPr/>
        <w:t>。 微推客</w:t>
      </w:r>
      <w:r>
        <w:rPr>
          <w:rFonts w:ascii="Times New Roman" w:hAnsi="Times New Roman" w:cs="Times New Roman" w:eastAsia="Times New Roman" w:hint="default"/>
        </w:rPr>
        <w:t>2016</w:t>
      </w:r>
      <w:r>
        <w:rPr/>
        <w:t>年被认定为双软企业，自</w:t>
      </w:r>
      <w:r>
        <w:rPr>
          <w:rFonts w:ascii="Times New Roman" w:hAnsi="Times New Roman" w:cs="Times New Roman" w:eastAsia="Times New Roman" w:hint="default"/>
        </w:rPr>
        <w:t>2016</w:t>
      </w:r>
      <w:r>
        <w:rPr/>
        <w:t>年起适用两免三减半的企业所得税政策，由于政策的变化，</w:t>
      </w:r>
    </w:p>
    <w:p>
      <w:pPr>
        <w:pStyle w:val="BodyText"/>
        <w:spacing w:line="386" w:lineRule="auto" w:before="35"/>
        <w:ind w:left="574" w:right="0" w:hanging="420"/>
        <w:jc w:val="left"/>
      </w:pPr>
      <w:r>
        <w:rPr/>
        <w:t>公司不适用相应的所得税优惠政策，</w:t>
      </w:r>
      <w:r>
        <w:rPr>
          <w:rFonts w:ascii="Times New Roman" w:hAnsi="Times New Roman" w:cs="Times New Roman" w:eastAsia="Times New Roman" w:hint="default"/>
        </w:rPr>
        <w:t>2019</w:t>
      </w:r>
      <w:r>
        <w:rPr/>
        <w:t>年执行</w:t>
      </w:r>
      <w:r>
        <w:rPr>
          <w:rFonts w:ascii="Times New Roman" w:hAnsi="Times New Roman" w:cs="Times New Roman" w:eastAsia="Times New Roman" w:hint="default"/>
        </w:rPr>
        <w:t>25.00%</w:t>
      </w:r>
      <w:r>
        <w:rPr/>
        <w:t>的企业所得税税率。 </w:t>
      </w:r>
      <w:r>
        <w:rPr>
          <w:spacing w:val="-1"/>
        </w:rPr>
        <w:t>新疆安云在</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w:t>
      </w:r>
      <w:r>
        <w:rPr>
          <w:spacing w:val="-1"/>
        </w:rPr>
        <w:t>日至</w:t>
      </w:r>
      <w:r>
        <w:rPr>
          <w:rFonts w:ascii="Times New Roman" w:hAnsi="Times New Roman" w:cs="Times New Roman" w:eastAsia="Times New Roman" w:hint="default"/>
          <w:spacing w:val="-1"/>
        </w:rPr>
        <w:t>2020</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日享受新疆喀什、霍尔果斯特殊经济开发区新办企业定期免</w:t>
      </w:r>
    </w:p>
    <w:p>
      <w:pPr>
        <w:pStyle w:val="BodyText"/>
        <w:spacing w:line="408" w:lineRule="auto" w:before="35"/>
        <w:ind w:right="0"/>
        <w:jc w:val="left"/>
      </w:pPr>
      <w:r>
        <w:rPr>
          <w:spacing w:val="-1"/>
        </w:rPr>
        <w:t>征企业所得税的优惠政策，具体依据《财政部国家税务总局关于新疆喀什霍尔果斯两个特殊经济开发区企</w:t>
      </w:r>
      <w:r>
        <w:rPr>
          <w:spacing w:val="-81"/>
        </w:rPr>
        <w:t> </w:t>
      </w:r>
      <w:r>
        <w:rPr>
          <w:spacing w:val="-81"/>
        </w:rPr>
      </w:r>
      <w:r>
        <w:rPr/>
        <w:t>业所得税优惠政策的通知》财税</w:t>
      </w:r>
      <w:r>
        <w:rPr>
          <w:rFonts w:ascii="Times New Roman" w:hAnsi="Times New Roman" w:cs="Times New Roman" w:eastAsia="Times New Roman" w:hint="default"/>
        </w:rPr>
        <w:t>[2011]112</w:t>
      </w:r>
      <w:r>
        <w:rPr/>
        <w:t>号第一条，</w:t>
      </w:r>
      <w:r>
        <w:rPr>
          <w:rFonts w:ascii="Times New Roman" w:hAnsi="Times New Roman" w:cs="Times New Roman" w:eastAsia="Times New Roman" w:hint="default"/>
        </w:rPr>
        <w:t>2019</w:t>
      </w:r>
      <w:r>
        <w:rPr/>
        <w:t>年执行</w:t>
      </w:r>
      <w:r>
        <w:rPr>
          <w:rFonts w:ascii="Times New Roman" w:hAnsi="Times New Roman" w:cs="Times New Roman" w:eastAsia="Times New Roman" w:hint="default"/>
        </w:rPr>
        <w:t>0.00%</w:t>
      </w:r>
      <w:r>
        <w:rPr/>
        <w:t>的企业所得税税率。</w:t>
      </w:r>
    </w:p>
    <w:p>
      <w:pPr>
        <w:pStyle w:val="BodyText"/>
        <w:spacing w:line="398" w:lineRule="auto" w:before="14"/>
        <w:ind w:right="1129" w:firstLine="419"/>
        <w:jc w:val="both"/>
      </w:pPr>
      <w:r>
        <w:rPr>
          <w:spacing w:val="-1"/>
        </w:rPr>
        <w:t>新疆安讯在</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w:t>
      </w:r>
      <w:r>
        <w:rPr>
          <w:spacing w:val="-1"/>
        </w:rPr>
        <w:t>日至</w:t>
      </w:r>
      <w:r>
        <w:rPr>
          <w:rFonts w:ascii="Times New Roman" w:hAnsi="Times New Roman" w:cs="Times New Roman" w:eastAsia="Times New Roman" w:hint="default"/>
          <w:spacing w:val="-1"/>
        </w:rPr>
        <w:t>2020</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日享受新疆喀什、霍尔果斯特殊经济开发区新办企业定期免</w:t>
      </w:r>
      <w:r>
        <w:rPr/>
        <w:t> </w:t>
      </w:r>
      <w:r>
        <w:rPr>
          <w:spacing w:val="-1"/>
        </w:rPr>
        <w:t>征企业所得税的优惠政策，具体依据《财政部国家税务总局关于新疆喀什霍尔果斯两个特殊经济开发区企</w:t>
      </w:r>
      <w:r>
        <w:rPr>
          <w:spacing w:val="-81"/>
        </w:rPr>
        <w:t> </w:t>
      </w:r>
      <w:r>
        <w:rPr>
          <w:spacing w:val="-81"/>
        </w:rPr>
      </w:r>
      <w:r>
        <w:rPr/>
        <w:t>业所得税优惠政策的通知》财税</w:t>
      </w:r>
      <w:r>
        <w:rPr>
          <w:rFonts w:ascii="Times New Roman" w:hAnsi="Times New Roman" w:cs="Times New Roman" w:eastAsia="Times New Roman" w:hint="default"/>
        </w:rPr>
        <w:t>[2011]112</w:t>
      </w:r>
      <w:r>
        <w:rPr/>
        <w:t>号第一条，</w:t>
      </w:r>
      <w:r>
        <w:rPr>
          <w:rFonts w:ascii="Times New Roman" w:hAnsi="Times New Roman" w:cs="Times New Roman" w:eastAsia="Times New Roman" w:hint="default"/>
        </w:rPr>
        <w:t>2019</w:t>
      </w:r>
      <w:r>
        <w:rPr/>
        <w:t>年执行</w:t>
      </w:r>
      <w:r>
        <w:rPr>
          <w:rFonts w:ascii="Times New Roman" w:hAnsi="Times New Roman" w:cs="Times New Roman" w:eastAsia="Times New Roman" w:hint="default"/>
        </w:rPr>
        <w:t>0.00%</w:t>
      </w:r>
      <w:r>
        <w:rPr/>
        <w:t>的企业所得税税率。</w:t>
      </w:r>
    </w:p>
    <w:p>
      <w:pPr>
        <w:pStyle w:val="BodyText"/>
        <w:spacing w:line="398" w:lineRule="auto" w:before="24"/>
        <w:ind w:right="1129" w:firstLine="419"/>
        <w:jc w:val="both"/>
      </w:pPr>
      <w:r>
        <w:rPr>
          <w:spacing w:val="-1"/>
        </w:rPr>
        <w:t>世纪文化在</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w:t>
      </w:r>
      <w:r>
        <w:rPr>
          <w:spacing w:val="-1"/>
        </w:rPr>
        <w:t>日至</w:t>
      </w:r>
      <w:r>
        <w:rPr>
          <w:rFonts w:ascii="Times New Roman" w:hAnsi="Times New Roman" w:cs="Times New Roman" w:eastAsia="Times New Roman" w:hint="default"/>
          <w:spacing w:val="-1"/>
        </w:rPr>
        <w:t>2021</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日享受新疆喀什、霍尔果斯特殊经济开发区新办企业定期免</w:t>
      </w:r>
      <w:r>
        <w:rPr/>
        <w:t> </w:t>
      </w:r>
      <w:r>
        <w:rPr>
          <w:spacing w:val="-1"/>
        </w:rPr>
        <w:t>征企业所得税的优惠政策，具体依据《财政部国家税务总局关于新疆喀什霍尔果斯两个特殊经济开发区企</w:t>
      </w:r>
      <w:r>
        <w:rPr>
          <w:spacing w:val="-81"/>
        </w:rPr>
        <w:t> </w:t>
      </w:r>
      <w:r>
        <w:rPr>
          <w:spacing w:val="-81"/>
        </w:rPr>
      </w:r>
      <w:r>
        <w:rPr/>
        <w:t>业所得税优惠政策的通知》财税</w:t>
      </w:r>
      <w:r>
        <w:rPr>
          <w:rFonts w:ascii="Times New Roman" w:hAnsi="Times New Roman" w:cs="Times New Roman" w:eastAsia="Times New Roman" w:hint="default"/>
        </w:rPr>
        <w:t>[2011]112</w:t>
      </w:r>
      <w:r>
        <w:rPr/>
        <w:t>号第一条，</w:t>
      </w:r>
      <w:r>
        <w:rPr>
          <w:rFonts w:ascii="Times New Roman" w:hAnsi="Times New Roman" w:cs="Times New Roman" w:eastAsia="Times New Roman" w:hint="default"/>
        </w:rPr>
        <w:t>2019</w:t>
      </w:r>
      <w:r>
        <w:rPr/>
        <w:t>年执行</w:t>
      </w:r>
      <w:r>
        <w:rPr>
          <w:rFonts w:ascii="Times New Roman" w:hAnsi="Times New Roman" w:cs="Times New Roman" w:eastAsia="Times New Roman" w:hint="default"/>
        </w:rPr>
        <w:t>0.00%</w:t>
      </w:r>
      <w:r>
        <w:rPr/>
        <w:t>的企业所得税税率。</w:t>
      </w:r>
    </w:p>
    <w:p>
      <w:pPr>
        <w:pStyle w:val="BodyText"/>
        <w:spacing w:line="386" w:lineRule="auto" w:before="24"/>
        <w:ind w:right="1130" w:firstLine="420"/>
        <w:jc w:val="both"/>
      </w:pPr>
      <w:r>
        <w:rPr/>
        <w:t>畅元国讯</w:t>
      </w:r>
      <w:r>
        <w:rPr>
          <w:rFonts w:ascii="Times New Roman" w:hAnsi="Times New Roman" w:cs="Times New Roman" w:eastAsia="Times New Roman" w:hint="default"/>
        </w:rPr>
        <w:t>2019</w:t>
      </w:r>
      <w:r>
        <w:rPr/>
        <w:t>年被认定为高新技术企业，有效期为三年，在</w:t>
      </w:r>
      <w:r>
        <w:rPr>
          <w:rFonts w:ascii="Times New Roman" w:hAnsi="Times New Roman" w:cs="Times New Roman" w:eastAsia="Times New Roman" w:hint="default"/>
        </w:rPr>
        <w:t>2019-2021</w:t>
      </w:r>
      <w:r>
        <w:rPr/>
        <w:t>年度间执行</w:t>
      </w:r>
      <w:r>
        <w:rPr>
          <w:rFonts w:ascii="Times New Roman" w:hAnsi="Times New Roman" w:cs="Times New Roman" w:eastAsia="Times New Roman" w:hint="default"/>
        </w:rPr>
        <w:t>15.00%</w:t>
      </w:r>
      <w:r>
        <w:rPr/>
        <w:t>的企业所得 税税率。</w:t>
      </w:r>
    </w:p>
    <w:p>
      <w:pPr>
        <w:pStyle w:val="BodyText"/>
        <w:spacing w:line="240" w:lineRule="auto" w:before="65"/>
        <w:ind w:left="574" w:right="0"/>
        <w:jc w:val="left"/>
      </w:pPr>
      <w:r>
        <w:rPr/>
        <w:t>成都安妮被认定为小微企业，</w:t>
      </w:r>
      <w:r>
        <w:rPr>
          <w:rFonts w:ascii="Times New Roman" w:hAnsi="Times New Roman" w:cs="Times New Roman" w:eastAsia="Times New Roman" w:hint="default"/>
        </w:rPr>
        <w:t>2019</w:t>
      </w:r>
      <w:r>
        <w:rPr/>
        <w:t>年执行</w:t>
      </w:r>
      <w:r>
        <w:rPr>
          <w:rFonts w:ascii="Times New Roman" w:hAnsi="Times New Roman" w:cs="Times New Roman" w:eastAsia="Times New Roman" w:hint="default"/>
        </w:rPr>
        <w:t>5.00%</w:t>
      </w:r>
      <w:r>
        <w:rPr/>
        <w:t>的企业所得税率。</w:t>
      </w:r>
    </w:p>
    <w:p>
      <w:pPr>
        <w:spacing w:line="240" w:lineRule="auto" w:before="8"/>
        <w:rPr>
          <w:rFonts w:ascii="宋体" w:hAnsi="宋体" w:cs="宋体" w:eastAsia="宋体" w:hint="default"/>
          <w:sz w:val="30"/>
          <w:szCs w:val="30"/>
        </w:rPr>
      </w:pPr>
    </w:p>
    <w:p>
      <w:pPr>
        <w:spacing w:line="487" w:lineRule="auto" w:before="0"/>
        <w:ind w:left="154" w:right="785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r>
        <w:rPr>
          <w:rFonts w:ascii="宋体" w:hAnsi="宋体" w:cs="宋体" w:eastAsia="宋体" w:hint="default"/>
          <w:b/>
          <w:bCs/>
          <w:sz w:val="24"/>
          <w:szCs w:val="24"/>
        </w:rPr>
        <w:t>七、合并财务报表项目注释</w:t>
      </w:r>
      <w:r>
        <w:rPr>
          <w:rFonts w:ascii="宋体" w:hAnsi="宋体" w:cs="宋体" w:eastAsia="宋体" w:hint="default"/>
          <w:b/>
          <w:bCs/>
          <w:spacing w:val="1"/>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before="108"/>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157,888.37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134,302.50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219,463,828.20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165,026,033.68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26,656,117.53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13,286,964.56</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246,277,834.10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178,447,300.74</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3"/>
        <w:rPr>
          <w:rFonts w:ascii="宋体" w:hAnsi="宋体" w:cs="宋体" w:eastAsia="宋体" w:hint="default"/>
          <w:sz w:val="12"/>
          <w:szCs w:val="12"/>
        </w:rPr>
      </w:pPr>
    </w:p>
    <w:p>
      <w:pPr>
        <w:pStyle w:val="BodyText"/>
        <w:spacing w:line="240" w:lineRule="auto" w:before="0"/>
        <w:ind w:left="679" w:right="0"/>
        <w:jc w:val="left"/>
        <w:rPr>
          <w:rFonts w:ascii="Times New Roman" w:hAnsi="Times New Roman" w:cs="Times New Roman" w:eastAsia="Times New Roman" w:hint="default"/>
        </w:rPr>
      </w:pPr>
      <w:r>
        <w:rPr/>
        <w:t>其中因抵押、质押或冻结等对使用有限制，以及放在境外且资金汇回受到限制的货币资金明细如下</w:t>
      </w:r>
      <w:r>
        <w:rPr>
          <w:rFonts w:ascii="Times New Roman" w:hAnsi="Times New Roman" w:cs="Times New Roman" w:eastAsia="Times New Roman" w:hint="default"/>
        </w:rPr>
        <w:t>:</w:t>
      </w:r>
    </w:p>
    <w:p>
      <w:pPr>
        <w:spacing w:line="240" w:lineRule="auto" w:before="7"/>
        <w:rPr>
          <w:rFonts w:ascii="Times New Roman" w:hAnsi="Times New Roman" w:cs="Times New Roman" w:eastAsia="Times New Roman" w:hint="default"/>
          <w:sz w:val="13"/>
          <w:szCs w:val="13"/>
        </w:rPr>
      </w:pPr>
    </w:p>
    <w:tbl>
      <w:tblPr>
        <w:tblW w:w="0" w:type="auto"/>
        <w:jc w:val="left"/>
        <w:tblInd w:w="149" w:type="dxa"/>
        <w:tblLayout w:type="fixed"/>
        <w:tblCellMar>
          <w:top w:w="0" w:type="dxa"/>
          <w:left w:w="0" w:type="dxa"/>
          <w:bottom w:w="0" w:type="dxa"/>
          <w:right w:w="0" w:type="dxa"/>
        </w:tblCellMar>
        <w:tblLook w:val="01E0"/>
      </w:tblPr>
      <w:tblGrid>
        <w:gridCol w:w="2906"/>
        <w:gridCol w:w="2906"/>
        <w:gridCol w:w="3685"/>
      </w:tblGrid>
      <w:tr>
        <w:trPr>
          <w:trHeight w:val="342" w:hRule="exact"/>
        </w:trPr>
        <w:tc>
          <w:tcPr>
            <w:tcW w:w="29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249" w:type="dxa"/>
        <w:tblLayout w:type="fixed"/>
        <w:tblCellMar>
          <w:top w:w="0" w:type="dxa"/>
          <w:left w:w="0" w:type="dxa"/>
          <w:bottom w:w="0" w:type="dxa"/>
          <w:right w:w="0" w:type="dxa"/>
        </w:tblCellMar>
        <w:tblLook w:val="01E0"/>
      </w:tblPr>
      <w:tblGrid>
        <w:gridCol w:w="2906"/>
        <w:gridCol w:w="2906"/>
        <w:gridCol w:w="3685"/>
      </w:tblGrid>
      <w:tr>
        <w:trPr>
          <w:trHeight w:val="342" w:hRule="exact"/>
        </w:trPr>
        <w:tc>
          <w:tcPr>
            <w:tcW w:w="2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2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25,213,013.60</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8,524,078.97</w:t>
            </w:r>
          </w:p>
        </w:tc>
      </w:tr>
      <w:tr>
        <w:trPr>
          <w:trHeight w:val="342" w:hRule="exact"/>
        </w:trPr>
        <w:tc>
          <w:tcPr>
            <w:tcW w:w="2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2906" w:type="dxa"/>
            <w:tcBorders>
              <w:top w:val="single" w:sz="4" w:space="0" w:color="000000"/>
              <w:left w:val="single" w:sz="4" w:space="0" w:color="000000"/>
              <w:bottom w:val="single" w:sz="4" w:space="0" w:color="000000"/>
              <w:right w:val="single" w:sz="4" w:space="0" w:color="000000"/>
            </w:tcBorders>
          </w:tcPr>
          <w:p>
            <w:pP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108,994.08</w:t>
            </w:r>
          </w:p>
        </w:tc>
      </w:tr>
      <w:tr>
        <w:trPr>
          <w:trHeight w:val="342" w:hRule="exact"/>
        </w:trPr>
        <w:tc>
          <w:tcPr>
            <w:tcW w:w="2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信用证保证金</w:t>
            </w:r>
          </w:p>
        </w:tc>
        <w:tc>
          <w:tcPr>
            <w:tcW w:w="2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1,206,725.37</w:t>
            </w:r>
          </w:p>
        </w:tc>
        <w:tc>
          <w:tcPr>
            <w:tcW w:w="3685"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26,419,738.97</w:t>
            </w:r>
          </w:p>
        </w:tc>
        <w:tc>
          <w:tcPr>
            <w:tcW w:w="3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8,633,073.05</w:t>
            </w:r>
          </w:p>
        </w:tc>
      </w:tr>
    </w:tbl>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8"/>
          <w:szCs w:val="28"/>
        </w:rPr>
      </w:pPr>
    </w:p>
    <w:p>
      <w:pPr>
        <w:pStyle w:val="Heading4"/>
        <w:spacing w:line="240" w:lineRule="auto" w:before="35"/>
        <w:ind w:left="254" w:right="1013"/>
        <w:jc w:val="left"/>
        <w:rPr>
          <w:b w:val="0"/>
          <w:bCs w:val="0"/>
        </w:rPr>
      </w:pPr>
      <w:r>
        <w:rPr>
          <w:rFonts w:ascii="Times New Roman" w:hAnsi="Times New Roman" w:cs="Times New Roman" w:eastAsia="Times New Roman" w:hint="default"/>
        </w:rPr>
        <w:t>2</w:t>
      </w:r>
      <w:r>
        <w:rPr/>
        <w:t>、交易性金融资产</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1" w:type="dxa"/>
        <w:tblLayout w:type="fixed"/>
        <w:tblCellMar>
          <w:top w:w="0" w:type="dxa"/>
          <w:left w:w="0" w:type="dxa"/>
          <w:bottom w:w="0" w:type="dxa"/>
          <w:right w:w="0" w:type="dxa"/>
        </w:tblCellMar>
        <w:tblLook w:val="01E0"/>
      </w:tblPr>
      <w:tblGrid>
        <w:gridCol w:w="3284"/>
        <w:gridCol w:w="3284"/>
        <w:gridCol w:w="3286"/>
      </w:tblGrid>
      <w:tr>
        <w:trPr>
          <w:trHeight w:val="338" w:hRule="exact"/>
        </w:trPr>
        <w:tc>
          <w:tcPr>
            <w:tcW w:w="32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9"/>
              <w:ind w:left="88"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32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9"/>
              <w:ind w:left="88" w:right="0"/>
              <w:jc w:val="center"/>
              <w:rPr>
                <w:rFonts w:ascii="宋体" w:hAnsi="宋体" w:cs="宋体" w:eastAsia="宋体" w:hint="default"/>
                <w:sz w:val="18"/>
                <w:szCs w:val="18"/>
              </w:rPr>
            </w:pPr>
            <w:r>
              <w:rPr>
                <w:rFonts w:ascii="宋体" w:hAnsi="宋体" w:cs="宋体" w:eastAsia="宋体" w:hint="default"/>
                <w:sz w:val="18"/>
                <w:szCs w:val="18"/>
              </w:rPr>
              <w:t>期末余额 </w:t>
            </w:r>
          </w:p>
        </w:tc>
        <w:tc>
          <w:tcPr>
            <w:tcW w:w="32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9"/>
              <w:ind w:left="87" w:right="0"/>
              <w:jc w:val="center"/>
              <w:rPr>
                <w:rFonts w:ascii="宋体" w:hAnsi="宋体" w:cs="宋体" w:eastAsia="宋体" w:hint="default"/>
                <w:sz w:val="18"/>
                <w:szCs w:val="18"/>
              </w:rPr>
            </w:pPr>
            <w:r>
              <w:rPr>
                <w:rFonts w:ascii="宋体" w:hAnsi="宋体" w:cs="宋体" w:eastAsia="宋体" w:hint="default"/>
                <w:sz w:val="18"/>
                <w:szCs w:val="18"/>
              </w:rPr>
              <w:t>期初余额 </w:t>
            </w:r>
          </w:p>
        </w:tc>
      </w:tr>
      <w:tr>
        <w:trPr>
          <w:trHeight w:val="557"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103" w:right="109"/>
              <w:jc w:val="left"/>
              <w:rPr>
                <w:rFonts w:ascii="宋体" w:hAnsi="宋体" w:cs="宋体" w:eastAsia="宋体" w:hint="default"/>
                <w:sz w:val="18"/>
                <w:szCs w:val="18"/>
              </w:rPr>
            </w:pPr>
            <w:r>
              <w:rPr>
                <w:rFonts w:ascii="宋体" w:hAnsi="宋体" w:cs="宋体" w:eastAsia="宋体" w:hint="default"/>
                <w:sz w:val="18"/>
                <w:szCs w:val="18"/>
              </w:rPr>
              <w:t>指定以公允价值计量且其变动计入当期 损益的金融资产：</w:t>
            </w:r>
          </w:p>
        </w:tc>
        <w:tc>
          <w:tcPr>
            <w:tcW w:w="3284" w:type="dxa"/>
            <w:tcBorders>
              <w:top w:val="single" w:sz="4" w:space="0" w:color="000000"/>
              <w:left w:val="single" w:sz="4" w:space="0" w:color="000000"/>
              <w:bottom w:val="single" w:sz="4" w:space="0" w:color="000000"/>
              <w:right w:val="single" w:sz="4" w:space="0" w:color="000000"/>
            </w:tcBorders>
          </w:tcPr>
          <w:p>
            <w:pPr/>
          </w:p>
        </w:tc>
        <w:tc>
          <w:tcPr>
            <w:tcW w:w="3286"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363" w:right="0"/>
              <w:jc w:val="left"/>
              <w:rPr>
                <w:rFonts w:ascii="宋体" w:hAnsi="宋体" w:cs="宋体" w:eastAsia="宋体" w:hint="default"/>
                <w:sz w:val="18"/>
                <w:szCs w:val="18"/>
              </w:rPr>
            </w:pPr>
            <w:r>
              <w:rPr>
                <w:rFonts w:ascii="宋体" w:hAnsi="宋体" w:cs="宋体" w:eastAsia="宋体" w:hint="default"/>
                <w:sz w:val="18"/>
                <w:szCs w:val="18"/>
              </w:rPr>
              <w:t>业绩补偿款</w:t>
            </w:r>
          </w:p>
        </w:tc>
        <w:tc>
          <w:tcPr>
            <w:tcW w:w="3284" w:type="dxa"/>
            <w:tcBorders>
              <w:top w:val="single" w:sz="4" w:space="0" w:color="000000"/>
              <w:left w:val="single" w:sz="4" w:space="0" w:color="000000"/>
              <w:bottom w:val="single" w:sz="4" w:space="0" w:color="000000"/>
              <w:right w:val="single" w:sz="4" w:space="0" w:color="000000"/>
            </w:tcBorders>
          </w:tcPr>
          <w:p>
            <w:pP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Arial" w:hAnsi="Arial" w:cs="Arial" w:eastAsia="Arial" w:hint="default"/>
                <w:sz w:val="18"/>
                <w:szCs w:val="18"/>
              </w:rPr>
            </w:pPr>
            <w:r>
              <w:rPr>
                <w:rFonts w:ascii="Arial"/>
                <w:spacing w:val="-1"/>
                <w:w w:val="80"/>
                <w:sz w:val="18"/>
              </w:rPr>
              <w:t>120,141,337.25</w:t>
            </w:r>
            <w:r>
              <w:rPr>
                <w:rFonts w:ascii="Arial"/>
                <w:sz w:val="18"/>
              </w:rPr>
            </w:r>
          </w:p>
        </w:tc>
      </w:tr>
      <w:tr>
        <w:trPr>
          <w:trHeight w:val="338"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363" w:right="0"/>
              <w:jc w:val="left"/>
              <w:rPr>
                <w:rFonts w:ascii="宋体" w:hAnsi="宋体" w:cs="宋体" w:eastAsia="宋体" w:hint="default"/>
                <w:sz w:val="18"/>
                <w:szCs w:val="18"/>
              </w:rPr>
            </w:pPr>
            <w:r>
              <w:rPr>
                <w:rFonts w:ascii="宋体" w:hAnsi="宋体" w:cs="宋体" w:eastAsia="宋体" w:hint="default"/>
                <w:sz w:val="18"/>
                <w:szCs w:val="18"/>
              </w:rPr>
              <w:t>结构性存款 </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Arial" w:hAnsi="Arial" w:cs="Arial" w:eastAsia="Arial" w:hint="default"/>
                <w:sz w:val="18"/>
                <w:szCs w:val="18"/>
              </w:rPr>
            </w:pPr>
            <w:r>
              <w:rPr>
                <w:rFonts w:ascii="Arial"/>
                <w:spacing w:val="-1"/>
                <w:w w:val="80"/>
                <w:sz w:val="18"/>
              </w:rPr>
              <w:t>631,118,272.22</w:t>
            </w:r>
            <w:r>
              <w:rPr>
                <w:rFonts w:ascii="Arial"/>
                <w:sz w:val="18"/>
              </w:rPr>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Arial" w:hAnsi="Arial" w:cs="Arial" w:eastAsia="Arial" w:hint="default"/>
                <w:sz w:val="18"/>
                <w:szCs w:val="18"/>
              </w:rPr>
            </w:pPr>
            <w:r>
              <w:rPr>
                <w:rFonts w:ascii="Arial"/>
                <w:spacing w:val="-1"/>
                <w:w w:val="80"/>
                <w:sz w:val="18"/>
              </w:rPr>
              <w:t>440,704,055.56</w:t>
            </w:r>
            <w:r>
              <w:rPr>
                <w:rFonts w:ascii="Arial"/>
                <w:sz w:val="18"/>
              </w:rPr>
            </w:r>
          </w:p>
        </w:tc>
      </w:tr>
      <w:tr>
        <w:trPr>
          <w:trHeight w:val="340"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363" w:right="0"/>
              <w:jc w:val="left"/>
              <w:rPr>
                <w:rFonts w:ascii="宋体" w:hAnsi="宋体" w:cs="宋体" w:eastAsia="宋体" w:hint="default"/>
                <w:sz w:val="18"/>
                <w:szCs w:val="18"/>
              </w:rPr>
            </w:pPr>
            <w:r>
              <w:rPr>
                <w:rFonts w:ascii="宋体" w:hAnsi="宋体" w:cs="宋体" w:eastAsia="宋体" w:hint="default"/>
                <w:sz w:val="18"/>
                <w:szCs w:val="18"/>
              </w:rPr>
              <w:t>银行理财</w:t>
            </w:r>
          </w:p>
        </w:tc>
        <w:tc>
          <w:tcPr>
            <w:tcW w:w="3284" w:type="dxa"/>
            <w:tcBorders>
              <w:top w:val="single" w:sz="4" w:space="0" w:color="000000"/>
              <w:left w:val="single" w:sz="4" w:space="0" w:color="000000"/>
              <w:bottom w:val="single" w:sz="4" w:space="0" w:color="000000"/>
              <w:right w:val="single" w:sz="4" w:space="0" w:color="000000"/>
            </w:tcBorders>
          </w:tcPr>
          <w:p>
            <w:pP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Arial" w:hAnsi="Arial" w:cs="Arial" w:eastAsia="Arial" w:hint="default"/>
                <w:sz w:val="18"/>
                <w:szCs w:val="18"/>
              </w:rPr>
            </w:pPr>
            <w:r>
              <w:rPr>
                <w:rFonts w:ascii="Arial"/>
                <w:spacing w:val="-1"/>
                <w:w w:val="80"/>
                <w:sz w:val="18"/>
              </w:rPr>
              <w:t>200,000,000.00</w:t>
            </w:r>
            <w:r>
              <w:rPr>
                <w:rFonts w:ascii="Arial"/>
                <w:sz w:val="18"/>
              </w:rPr>
            </w:r>
          </w:p>
        </w:tc>
      </w:tr>
      <w:tr>
        <w:trPr>
          <w:trHeight w:val="340"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8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Arial" w:hAnsi="Arial" w:cs="Arial" w:eastAsia="Arial" w:hint="default"/>
                <w:sz w:val="18"/>
                <w:szCs w:val="18"/>
              </w:rPr>
            </w:pPr>
            <w:r>
              <w:rPr>
                <w:rFonts w:ascii="Arial"/>
                <w:spacing w:val="-1"/>
                <w:w w:val="80"/>
                <w:sz w:val="18"/>
              </w:rPr>
              <w:t>631,118,272.22</w:t>
            </w:r>
            <w:r>
              <w:rPr>
                <w:rFonts w:ascii="Arial"/>
                <w:sz w:val="18"/>
              </w:rPr>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Arial" w:hAnsi="Arial" w:cs="Arial" w:eastAsia="Arial" w:hint="default"/>
                <w:sz w:val="18"/>
                <w:szCs w:val="18"/>
              </w:rPr>
            </w:pPr>
            <w:r>
              <w:rPr>
                <w:rFonts w:ascii="Arial"/>
                <w:spacing w:val="-1"/>
                <w:w w:val="80"/>
                <w:sz w:val="18"/>
              </w:rPr>
              <w:t>760,845,392.81</w:t>
            </w:r>
            <w:r>
              <w:rPr>
                <w:rFonts w:ascii="Arial"/>
                <w:sz w:val="18"/>
              </w:rPr>
            </w:r>
          </w:p>
        </w:tc>
      </w:tr>
    </w:tbl>
    <w:p>
      <w:pPr>
        <w:spacing w:before="51"/>
        <w:ind w:left="254" w:right="10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left="254" w:right="1013"/>
        <w:jc w:val="left"/>
        <w:rPr>
          <w:b w:val="0"/>
          <w:bCs w:val="0"/>
        </w:rPr>
      </w:pPr>
      <w:r>
        <w:rPr>
          <w:rFonts w:ascii="Times New Roman" w:hAnsi="Times New Roman" w:cs="Times New Roman" w:eastAsia="Times New Roman" w:hint="default"/>
        </w:rPr>
        <w:t>3</w:t>
      </w:r>
      <w:r>
        <w:rPr/>
        <w:t>、应收票据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254" w:right="1013"/>
        <w:jc w:val="left"/>
        <w:rPr>
          <w:b w:val="0"/>
          <w:bCs w:val="0"/>
        </w:rPr>
      </w:pPr>
      <w:r>
        <w:rPr/>
        <w:t>（</w:t>
      </w:r>
      <w:r>
        <w:rPr>
          <w:rFonts w:ascii="Times New Roman" w:hAnsi="Times New Roman" w:cs="Times New Roman" w:eastAsia="Times New Roman" w:hint="default"/>
        </w:rPr>
        <w:t>1</w:t>
      </w:r>
      <w:r>
        <w:rPr/>
        <w:t>）应收票据分类列示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2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6,942,662.40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7,298,453.95</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6,942,662.40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7,298,453.95</w:t>
            </w:r>
          </w:p>
        </w:tc>
      </w:tr>
    </w:tbl>
    <w:p>
      <w:pPr>
        <w:spacing w:before="5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24"/>
          <w:szCs w:val="24"/>
        </w:rPr>
      </w:pPr>
    </w:p>
    <w:p>
      <w:pPr>
        <w:pStyle w:val="Heading4"/>
        <w:spacing w:line="240" w:lineRule="auto" w:before="35"/>
        <w:ind w:left="254" w:right="1013"/>
        <w:jc w:val="left"/>
        <w:rPr>
          <w:b w:val="0"/>
          <w:bCs w:val="0"/>
        </w:rPr>
      </w:pPr>
      <w:r>
        <w:rPr>
          <w:rFonts w:ascii="Times New Roman" w:hAnsi="Times New Roman" w:cs="Times New Roman" w:eastAsia="Times New Roman" w:hint="default"/>
        </w:rPr>
        <w:t>4</w:t>
      </w:r>
      <w:r>
        <w:rPr/>
        <w:t>、应收账款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254" w:right="1013"/>
        <w:jc w:val="left"/>
        <w:rPr>
          <w:b w:val="0"/>
          <w:bCs w:val="0"/>
        </w:rPr>
      </w:pPr>
      <w:r>
        <w:rPr/>
        <w:t>（</w:t>
      </w:r>
      <w:r>
        <w:rPr>
          <w:rFonts w:ascii="Times New Roman" w:hAnsi="Times New Roman" w:cs="Times New Roman" w:eastAsia="Times New Roman" w:hint="default"/>
        </w:rPr>
        <w:t>1</w:t>
      </w:r>
      <w:r>
        <w:rPr/>
        <w:t>）应收账款分类披露</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tbl>
      <w:tblPr>
        <w:tblW w:w="0" w:type="auto"/>
        <w:jc w:val="left"/>
        <w:tblInd w:w="116" w:type="dxa"/>
        <w:tblLayout w:type="fixed"/>
        <w:tblCellMar>
          <w:top w:w="0" w:type="dxa"/>
          <w:left w:w="0" w:type="dxa"/>
          <w:bottom w:w="0" w:type="dxa"/>
          <w:right w:w="0" w:type="dxa"/>
        </w:tblCellMar>
        <w:tblLook w:val="01E0"/>
      </w:tblPr>
      <w:tblGrid>
        <w:gridCol w:w="4463"/>
        <w:gridCol w:w="1441"/>
        <w:gridCol w:w="1283"/>
        <w:gridCol w:w="1602"/>
        <w:gridCol w:w="1080"/>
      </w:tblGrid>
      <w:tr>
        <w:trPr>
          <w:trHeight w:val="359" w:hRule="exact"/>
        </w:trPr>
        <w:tc>
          <w:tcPr>
            <w:tcW w:w="4463"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107"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540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23"/>
              <w:ind w:left="83" w:right="0"/>
              <w:jc w:val="center"/>
              <w:rPr>
                <w:rFonts w:ascii="宋体" w:hAnsi="宋体" w:cs="宋体" w:eastAsia="宋体" w:hint="default"/>
                <w:sz w:val="18"/>
                <w:szCs w:val="18"/>
              </w:rPr>
            </w:pPr>
            <w:r>
              <w:rPr>
                <w:rFonts w:ascii="宋体" w:hAnsi="宋体" w:cs="宋体" w:eastAsia="宋体" w:hint="default"/>
                <w:sz w:val="18"/>
                <w:szCs w:val="18"/>
              </w:rPr>
              <w:t>期末数 </w:t>
            </w:r>
          </w:p>
        </w:tc>
      </w:tr>
      <w:tr>
        <w:trPr>
          <w:trHeight w:val="350" w:hRule="exact"/>
        </w:trPr>
        <w:tc>
          <w:tcPr>
            <w:tcW w:w="4463" w:type="dxa"/>
            <w:vMerge/>
            <w:tcBorders>
              <w:left w:val="nil" w:sz="6" w:space="0" w:color="auto"/>
              <w:right w:val="single" w:sz="4" w:space="0" w:color="000000"/>
            </w:tcBorders>
          </w:tcPr>
          <w:p>
            <w:pPr/>
          </w:p>
        </w:tc>
        <w:tc>
          <w:tcPr>
            <w:tcW w:w="27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0" w:right="0"/>
              <w:jc w:val="center"/>
              <w:rPr>
                <w:rFonts w:ascii="宋体" w:hAnsi="宋体" w:cs="宋体" w:eastAsia="宋体" w:hint="default"/>
                <w:sz w:val="18"/>
                <w:szCs w:val="18"/>
              </w:rPr>
            </w:pPr>
            <w:r>
              <w:rPr>
                <w:rFonts w:ascii="宋体" w:hAnsi="宋体" w:cs="宋体" w:eastAsia="宋体" w:hint="default"/>
                <w:sz w:val="18"/>
                <w:szCs w:val="18"/>
              </w:rPr>
              <w:t>账面余额 </w:t>
            </w:r>
          </w:p>
        </w:tc>
        <w:tc>
          <w:tcPr>
            <w:tcW w:w="268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left="975" w:right="0"/>
              <w:jc w:val="left"/>
              <w:rPr>
                <w:rFonts w:ascii="宋体" w:hAnsi="宋体" w:cs="宋体" w:eastAsia="宋体" w:hint="default"/>
                <w:sz w:val="18"/>
                <w:szCs w:val="18"/>
              </w:rPr>
            </w:pPr>
            <w:r>
              <w:rPr>
                <w:rFonts w:ascii="宋体" w:hAnsi="宋体" w:cs="宋体" w:eastAsia="宋体" w:hint="default"/>
                <w:sz w:val="18"/>
                <w:szCs w:val="18"/>
              </w:rPr>
              <w:t>坏账准备 </w:t>
            </w:r>
          </w:p>
        </w:tc>
      </w:tr>
      <w:tr>
        <w:trPr>
          <w:trHeight w:val="350" w:hRule="exact"/>
        </w:trPr>
        <w:tc>
          <w:tcPr>
            <w:tcW w:w="4463" w:type="dxa"/>
            <w:vMerge/>
            <w:tcBorders>
              <w:left w:val="nil" w:sz="6" w:space="0" w:color="auto"/>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35"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20" w:right="0"/>
              <w:jc w:val="left"/>
              <w:rPr>
                <w:rFonts w:ascii="宋体" w:hAnsi="宋体" w:cs="宋体" w:eastAsia="宋体" w:hint="default"/>
                <w:sz w:val="18"/>
                <w:szCs w:val="18"/>
              </w:rPr>
            </w:pPr>
            <w:r>
              <w:rPr>
                <w:rFonts w:ascii="宋体" w:hAnsi="宋体" w:cs="宋体" w:eastAsia="宋体" w:hint="default"/>
                <w:sz w:val="18"/>
                <w:szCs w:val="18"/>
              </w:rPr>
              <w:t>比例(%) </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15"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83" w:right="0"/>
              <w:jc w:val="center"/>
              <w:rPr>
                <w:rFonts w:ascii="宋体" w:hAnsi="宋体" w:cs="宋体" w:eastAsia="宋体" w:hint="default"/>
                <w:sz w:val="18"/>
                <w:szCs w:val="18"/>
              </w:rPr>
            </w:pPr>
            <w:r>
              <w:rPr>
                <w:rFonts w:ascii="宋体" w:hAnsi="宋体" w:cs="宋体" w:eastAsia="宋体" w:hint="default"/>
                <w:sz w:val="18"/>
                <w:szCs w:val="18"/>
              </w:rPr>
              <w:t>比例(%) </w:t>
            </w:r>
          </w:p>
        </w:tc>
      </w:tr>
      <w:tr>
        <w:trPr>
          <w:trHeight w:val="40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按单项评估计提坏账准备的应收账款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3" w:right="0"/>
              <w:jc w:val="left"/>
              <w:rPr>
                <w:rFonts w:ascii="Arial" w:hAnsi="Arial" w:cs="Arial" w:eastAsia="Arial" w:hint="default"/>
                <w:sz w:val="18"/>
                <w:szCs w:val="18"/>
              </w:rPr>
            </w:pPr>
            <w:r>
              <w:rPr>
                <w:rFonts w:ascii="Arial"/>
                <w:w w:val="90"/>
                <w:sz w:val="18"/>
              </w:rPr>
              <w:t>12,052,549.33</w:t>
            </w:r>
            <w:r>
              <w:rPr>
                <w:rFonts w:ascii="Arial"/>
                <w:sz w:val="18"/>
              </w:rPr>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center"/>
              <w:rPr>
                <w:rFonts w:ascii="Arial" w:hAnsi="Arial" w:cs="Arial" w:eastAsia="Arial" w:hint="default"/>
                <w:sz w:val="18"/>
                <w:szCs w:val="18"/>
              </w:rPr>
            </w:pPr>
            <w:r>
              <w:rPr>
                <w:rFonts w:ascii="Arial"/>
                <w:w w:val="90"/>
                <w:sz w:val="18"/>
              </w:rPr>
              <w:t>4.01</w:t>
            </w:r>
            <w:r>
              <w:rPr>
                <w:rFonts w:ascii="Arial"/>
                <w:sz w:val="18"/>
              </w:rPr>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3" w:right="0"/>
              <w:jc w:val="left"/>
              <w:rPr>
                <w:rFonts w:ascii="Arial" w:hAnsi="Arial" w:cs="Arial" w:eastAsia="Arial" w:hint="default"/>
                <w:sz w:val="18"/>
                <w:szCs w:val="18"/>
              </w:rPr>
            </w:pPr>
            <w:r>
              <w:rPr>
                <w:rFonts w:ascii="Arial"/>
                <w:w w:val="90"/>
                <w:sz w:val="18"/>
              </w:rPr>
              <w:t>12,052,549.33</w:t>
            </w:r>
            <w:r>
              <w:rPr>
                <w:rFonts w:ascii="Arial"/>
                <w:sz w:val="18"/>
              </w:rPr>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5"/>
              <w:jc w:val="center"/>
              <w:rPr>
                <w:rFonts w:ascii="Arial" w:hAnsi="Arial" w:cs="Arial" w:eastAsia="Arial" w:hint="default"/>
                <w:sz w:val="18"/>
                <w:szCs w:val="18"/>
              </w:rPr>
            </w:pPr>
            <w:r>
              <w:rPr>
                <w:rFonts w:ascii="Arial"/>
                <w:w w:val="90"/>
                <w:sz w:val="18"/>
              </w:rPr>
              <w:t>100.00</w:t>
            </w:r>
            <w:r>
              <w:rPr>
                <w:rFonts w:ascii="Arial"/>
                <w:sz w:val="18"/>
              </w:rPr>
            </w:r>
          </w:p>
        </w:tc>
      </w:tr>
      <w:tr>
        <w:trPr>
          <w:trHeight w:val="40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按信用风险特征组合计提坏账准备的应收账款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2" w:right="0"/>
              <w:jc w:val="left"/>
              <w:rPr>
                <w:rFonts w:ascii="Arial" w:hAnsi="Arial" w:cs="Arial" w:eastAsia="Arial" w:hint="default"/>
                <w:sz w:val="18"/>
                <w:szCs w:val="18"/>
              </w:rPr>
            </w:pPr>
            <w:r>
              <w:rPr>
                <w:rFonts w:ascii="Arial"/>
                <w:w w:val="85"/>
                <w:sz w:val="18"/>
              </w:rPr>
              <w:t>288,145,626.19</w:t>
            </w:r>
            <w:r>
              <w:rPr>
                <w:rFonts w:ascii="Arial"/>
                <w:sz w:val="18"/>
              </w:rPr>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center"/>
              <w:rPr>
                <w:rFonts w:ascii="Arial" w:hAnsi="Arial" w:cs="Arial" w:eastAsia="Arial" w:hint="default"/>
                <w:sz w:val="18"/>
                <w:szCs w:val="18"/>
              </w:rPr>
            </w:pPr>
            <w:r>
              <w:rPr>
                <w:rFonts w:ascii="Arial"/>
                <w:w w:val="90"/>
                <w:sz w:val="18"/>
              </w:rPr>
              <w:t>95.99</w:t>
            </w:r>
            <w:r>
              <w:rPr>
                <w:rFonts w:ascii="Arial"/>
                <w:sz w:val="18"/>
              </w:rPr>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3" w:right="0"/>
              <w:jc w:val="left"/>
              <w:rPr>
                <w:rFonts w:ascii="Arial" w:hAnsi="Arial" w:cs="Arial" w:eastAsia="Arial" w:hint="default"/>
                <w:sz w:val="18"/>
                <w:szCs w:val="18"/>
              </w:rPr>
            </w:pPr>
            <w:r>
              <w:rPr>
                <w:rFonts w:ascii="Arial"/>
                <w:w w:val="90"/>
                <w:sz w:val="18"/>
              </w:rPr>
              <w:t>22,598,527.09</w:t>
            </w:r>
            <w:r>
              <w:rPr>
                <w:rFonts w:ascii="Arial"/>
                <w:sz w:val="18"/>
              </w:rPr>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5"/>
              <w:jc w:val="center"/>
              <w:rPr>
                <w:rFonts w:ascii="Arial" w:hAnsi="Arial" w:cs="Arial" w:eastAsia="Arial" w:hint="default"/>
                <w:sz w:val="18"/>
                <w:szCs w:val="18"/>
              </w:rPr>
            </w:pPr>
            <w:r>
              <w:rPr>
                <w:rFonts w:ascii="Arial"/>
                <w:w w:val="90"/>
                <w:sz w:val="18"/>
              </w:rPr>
              <w:t>7.84</w:t>
            </w:r>
            <w:r>
              <w:rPr>
                <w:rFonts w:ascii="Arial"/>
                <w:sz w:val="18"/>
              </w:rPr>
            </w:r>
          </w:p>
        </w:tc>
      </w:tr>
      <w:tr>
        <w:trPr>
          <w:trHeight w:val="40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1：应收客户款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2" w:right="0"/>
              <w:jc w:val="left"/>
              <w:rPr>
                <w:rFonts w:ascii="Arial" w:hAnsi="Arial" w:cs="Arial" w:eastAsia="Arial" w:hint="default"/>
                <w:sz w:val="18"/>
                <w:szCs w:val="18"/>
              </w:rPr>
            </w:pPr>
            <w:r>
              <w:rPr>
                <w:rFonts w:ascii="Arial"/>
                <w:w w:val="85"/>
                <w:sz w:val="18"/>
              </w:rPr>
              <w:t>288,145,626.19</w:t>
            </w:r>
            <w:r>
              <w:rPr>
                <w:rFonts w:ascii="Arial"/>
                <w:sz w:val="18"/>
              </w:rPr>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center"/>
              <w:rPr>
                <w:rFonts w:ascii="Arial" w:hAnsi="Arial" w:cs="Arial" w:eastAsia="Arial" w:hint="default"/>
                <w:sz w:val="18"/>
                <w:szCs w:val="18"/>
              </w:rPr>
            </w:pPr>
            <w:r>
              <w:rPr>
                <w:rFonts w:ascii="Arial"/>
                <w:w w:val="90"/>
                <w:sz w:val="18"/>
              </w:rPr>
              <w:t>95.99</w:t>
            </w:r>
            <w:r>
              <w:rPr>
                <w:rFonts w:ascii="Arial"/>
                <w:sz w:val="18"/>
              </w:rPr>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44" w:right="0"/>
              <w:jc w:val="left"/>
              <w:rPr>
                <w:rFonts w:ascii="Arial" w:hAnsi="Arial" w:cs="Arial" w:eastAsia="Arial" w:hint="default"/>
                <w:sz w:val="18"/>
                <w:szCs w:val="18"/>
              </w:rPr>
            </w:pPr>
            <w:r>
              <w:rPr>
                <w:rFonts w:ascii="Arial"/>
                <w:w w:val="85"/>
                <w:sz w:val="18"/>
              </w:rPr>
              <w:t>22,598,527.09</w:t>
            </w:r>
            <w:r>
              <w:rPr>
                <w:rFonts w:ascii="Arial"/>
                <w:sz w:val="18"/>
              </w:rPr>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5"/>
              <w:jc w:val="center"/>
              <w:rPr>
                <w:rFonts w:ascii="Arial" w:hAnsi="Arial" w:cs="Arial" w:eastAsia="Arial" w:hint="default"/>
                <w:sz w:val="18"/>
                <w:szCs w:val="18"/>
              </w:rPr>
            </w:pPr>
            <w:r>
              <w:rPr>
                <w:rFonts w:ascii="Arial"/>
                <w:w w:val="90"/>
                <w:sz w:val="18"/>
              </w:rPr>
              <w:t>7.84</w:t>
            </w:r>
            <w:r>
              <w:rPr>
                <w:rFonts w:ascii="Arial"/>
                <w:sz w:val="18"/>
              </w:rPr>
            </w:r>
          </w:p>
        </w:tc>
      </w:tr>
      <w:tr>
        <w:trPr>
          <w:trHeight w:val="412" w:hRule="exact"/>
        </w:trPr>
        <w:tc>
          <w:tcPr>
            <w:tcW w:w="446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2：合并范围内关联方往来 </w:t>
            </w:r>
          </w:p>
        </w:tc>
        <w:tc>
          <w:tcPr>
            <w:tcW w:w="1441" w:type="dxa"/>
            <w:tcBorders>
              <w:top w:val="single" w:sz="4" w:space="0" w:color="000000"/>
              <w:left w:val="single" w:sz="4" w:space="0" w:color="000000"/>
              <w:bottom w:val="single" w:sz="12" w:space="0" w:color="000000"/>
              <w:right w:val="single" w:sz="4" w:space="0" w:color="000000"/>
            </w:tcBorders>
          </w:tcPr>
          <w:p>
            <w:pPr/>
          </w:p>
        </w:tc>
        <w:tc>
          <w:tcPr>
            <w:tcW w:w="1283" w:type="dxa"/>
            <w:tcBorders>
              <w:top w:val="single" w:sz="4" w:space="0" w:color="000000"/>
              <w:left w:val="single" w:sz="4" w:space="0" w:color="000000"/>
              <w:bottom w:val="single" w:sz="12" w:space="0" w:color="000000"/>
              <w:right w:val="single" w:sz="4" w:space="0" w:color="000000"/>
            </w:tcBorders>
          </w:tcPr>
          <w:p>
            <w:pPr/>
          </w:p>
        </w:tc>
        <w:tc>
          <w:tcPr>
            <w:tcW w:w="1602" w:type="dxa"/>
            <w:tcBorders>
              <w:top w:val="single" w:sz="4" w:space="0" w:color="000000"/>
              <w:left w:val="single" w:sz="4" w:space="0" w:color="000000"/>
              <w:bottom w:val="single" w:sz="12" w:space="0" w:color="000000"/>
              <w:right w:val="single" w:sz="4" w:space="0" w:color="000000"/>
            </w:tcBorders>
          </w:tcPr>
          <w:p>
            <w:pPr/>
          </w:p>
        </w:tc>
        <w:tc>
          <w:tcPr>
            <w:tcW w:w="1080" w:type="dxa"/>
            <w:tcBorders>
              <w:top w:val="single" w:sz="4" w:space="0" w:color="000000"/>
              <w:left w:val="single" w:sz="4" w:space="0" w:color="000000"/>
              <w:bottom w:val="single" w:sz="12" w:space="0" w:color="000000"/>
              <w:right w:val="nil" w:sz="6" w:space="0" w:color="auto"/>
            </w:tcBorders>
          </w:tcPr>
          <w:p>
            <w:pPr/>
          </w:p>
        </w:tc>
      </w:tr>
    </w:tbl>
    <w:p>
      <w:pPr>
        <w:spacing w:after="0"/>
        <w:sectPr>
          <w:pgSz w:w="11910" w:h="16840"/>
          <w:pgMar w:header="877" w:footer="982" w:top="1100" w:bottom="1180" w:left="880" w:right="0"/>
        </w:sectPr>
      </w:pPr>
    </w:p>
    <w:p>
      <w:pPr>
        <w:spacing w:line="240" w:lineRule="auto" w:before="6"/>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4463"/>
        <w:gridCol w:w="1441"/>
        <w:gridCol w:w="1283"/>
        <w:gridCol w:w="1602"/>
        <w:gridCol w:w="1080"/>
      </w:tblGrid>
      <w:tr>
        <w:trPr>
          <w:trHeight w:val="359" w:hRule="exact"/>
        </w:trPr>
        <w:tc>
          <w:tcPr>
            <w:tcW w:w="4463"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108"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540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23"/>
              <w:ind w:left="83" w:right="0"/>
              <w:jc w:val="center"/>
              <w:rPr>
                <w:rFonts w:ascii="宋体" w:hAnsi="宋体" w:cs="宋体" w:eastAsia="宋体" w:hint="default"/>
                <w:sz w:val="18"/>
                <w:szCs w:val="18"/>
              </w:rPr>
            </w:pPr>
            <w:r>
              <w:rPr>
                <w:rFonts w:ascii="宋体" w:hAnsi="宋体" w:cs="宋体" w:eastAsia="宋体" w:hint="default"/>
                <w:sz w:val="18"/>
                <w:szCs w:val="18"/>
              </w:rPr>
              <w:t>期末数 </w:t>
            </w:r>
          </w:p>
        </w:tc>
      </w:tr>
      <w:tr>
        <w:trPr>
          <w:trHeight w:val="350" w:hRule="exact"/>
        </w:trPr>
        <w:tc>
          <w:tcPr>
            <w:tcW w:w="4463" w:type="dxa"/>
            <w:vMerge/>
            <w:tcBorders>
              <w:left w:val="nil" w:sz="6" w:space="0" w:color="auto"/>
              <w:right w:val="single" w:sz="4" w:space="0" w:color="000000"/>
            </w:tcBorders>
          </w:tcPr>
          <w:p>
            <w:pPr/>
          </w:p>
        </w:tc>
        <w:tc>
          <w:tcPr>
            <w:tcW w:w="27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0" w:right="0"/>
              <w:jc w:val="center"/>
              <w:rPr>
                <w:rFonts w:ascii="宋体" w:hAnsi="宋体" w:cs="宋体" w:eastAsia="宋体" w:hint="default"/>
                <w:sz w:val="18"/>
                <w:szCs w:val="18"/>
              </w:rPr>
            </w:pPr>
            <w:r>
              <w:rPr>
                <w:rFonts w:ascii="宋体" w:hAnsi="宋体" w:cs="宋体" w:eastAsia="宋体" w:hint="default"/>
                <w:sz w:val="18"/>
                <w:szCs w:val="18"/>
              </w:rPr>
              <w:t>账面余额 </w:t>
            </w:r>
          </w:p>
        </w:tc>
        <w:tc>
          <w:tcPr>
            <w:tcW w:w="268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25"/>
              <w:ind w:left="975" w:right="0"/>
              <w:jc w:val="left"/>
              <w:rPr>
                <w:rFonts w:ascii="宋体" w:hAnsi="宋体" w:cs="宋体" w:eastAsia="宋体" w:hint="default"/>
                <w:sz w:val="18"/>
                <w:szCs w:val="18"/>
              </w:rPr>
            </w:pPr>
            <w:r>
              <w:rPr>
                <w:rFonts w:ascii="宋体" w:hAnsi="宋体" w:cs="宋体" w:eastAsia="宋体" w:hint="default"/>
                <w:sz w:val="18"/>
                <w:szCs w:val="18"/>
              </w:rPr>
              <w:t>坏账准备 </w:t>
            </w:r>
          </w:p>
        </w:tc>
      </w:tr>
      <w:tr>
        <w:trPr>
          <w:trHeight w:val="350" w:hRule="exact"/>
        </w:trPr>
        <w:tc>
          <w:tcPr>
            <w:tcW w:w="4463" w:type="dxa"/>
            <w:vMerge/>
            <w:tcBorders>
              <w:left w:val="nil" w:sz="6" w:space="0" w:color="auto"/>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535"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20" w:right="0"/>
              <w:jc w:val="left"/>
              <w:rPr>
                <w:rFonts w:ascii="宋体" w:hAnsi="宋体" w:cs="宋体" w:eastAsia="宋体" w:hint="default"/>
                <w:sz w:val="18"/>
                <w:szCs w:val="18"/>
              </w:rPr>
            </w:pPr>
            <w:r>
              <w:rPr>
                <w:rFonts w:ascii="宋体" w:hAnsi="宋体" w:cs="宋体" w:eastAsia="宋体" w:hint="default"/>
                <w:sz w:val="18"/>
                <w:szCs w:val="18"/>
              </w:rPr>
              <w:t>比例(%) </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15"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83" w:right="0"/>
              <w:jc w:val="center"/>
              <w:rPr>
                <w:rFonts w:ascii="宋体" w:hAnsi="宋体" w:cs="宋体" w:eastAsia="宋体" w:hint="default"/>
                <w:sz w:val="18"/>
                <w:szCs w:val="18"/>
              </w:rPr>
            </w:pPr>
            <w:r>
              <w:rPr>
                <w:rFonts w:ascii="宋体" w:hAnsi="宋体" w:cs="宋体" w:eastAsia="宋体" w:hint="default"/>
                <w:sz w:val="18"/>
                <w:szCs w:val="18"/>
              </w:rPr>
              <w:t>比例(%) </w:t>
            </w:r>
          </w:p>
        </w:tc>
      </w:tr>
      <w:tr>
        <w:trPr>
          <w:trHeight w:val="40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组合小计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2" w:right="0"/>
              <w:jc w:val="left"/>
              <w:rPr>
                <w:rFonts w:ascii="Arial" w:hAnsi="Arial" w:cs="Arial" w:eastAsia="Arial" w:hint="default"/>
                <w:sz w:val="18"/>
                <w:szCs w:val="18"/>
              </w:rPr>
            </w:pPr>
            <w:r>
              <w:rPr>
                <w:rFonts w:ascii="Arial"/>
                <w:w w:val="85"/>
                <w:sz w:val="18"/>
              </w:rPr>
              <w:t>288,145,626.19</w:t>
            </w:r>
            <w:r>
              <w:rPr>
                <w:rFonts w:ascii="Arial"/>
                <w:sz w:val="18"/>
              </w:rPr>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center"/>
              <w:rPr>
                <w:rFonts w:ascii="Arial" w:hAnsi="Arial" w:cs="Arial" w:eastAsia="Arial" w:hint="default"/>
                <w:sz w:val="18"/>
                <w:szCs w:val="18"/>
              </w:rPr>
            </w:pPr>
            <w:r>
              <w:rPr>
                <w:rFonts w:ascii="Arial"/>
                <w:w w:val="90"/>
                <w:sz w:val="18"/>
              </w:rPr>
              <w:t>95.99</w:t>
            </w:r>
            <w:r>
              <w:rPr>
                <w:rFonts w:ascii="Arial"/>
                <w:sz w:val="18"/>
              </w:rPr>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3" w:right="0"/>
              <w:jc w:val="left"/>
              <w:rPr>
                <w:rFonts w:ascii="Arial" w:hAnsi="Arial" w:cs="Arial" w:eastAsia="Arial" w:hint="default"/>
                <w:sz w:val="18"/>
                <w:szCs w:val="18"/>
              </w:rPr>
            </w:pPr>
            <w:r>
              <w:rPr>
                <w:rFonts w:ascii="Arial"/>
                <w:w w:val="90"/>
                <w:sz w:val="18"/>
              </w:rPr>
              <w:t>22,598,527.09</w:t>
            </w:r>
            <w:r>
              <w:rPr>
                <w:rFonts w:ascii="Arial"/>
                <w:sz w:val="18"/>
              </w:rPr>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5"/>
              <w:jc w:val="center"/>
              <w:rPr>
                <w:rFonts w:ascii="Arial" w:hAnsi="Arial" w:cs="Arial" w:eastAsia="Arial" w:hint="default"/>
                <w:sz w:val="18"/>
                <w:szCs w:val="18"/>
              </w:rPr>
            </w:pPr>
            <w:r>
              <w:rPr>
                <w:rFonts w:ascii="Arial"/>
                <w:w w:val="90"/>
                <w:sz w:val="18"/>
              </w:rPr>
              <w:t>7.84</w:t>
            </w:r>
            <w:r>
              <w:rPr>
                <w:rFonts w:ascii="Arial"/>
                <w:sz w:val="18"/>
              </w:rPr>
            </w:r>
          </w:p>
        </w:tc>
      </w:tr>
      <w:tr>
        <w:trPr>
          <w:trHeight w:val="412" w:hRule="exact"/>
        </w:trPr>
        <w:tc>
          <w:tcPr>
            <w:tcW w:w="446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0"/>
              <w:ind w:left="10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144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left="202" w:right="0"/>
              <w:jc w:val="left"/>
              <w:rPr>
                <w:rFonts w:ascii="Arial" w:hAnsi="Arial" w:cs="Arial" w:eastAsia="Arial" w:hint="default"/>
                <w:sz w:val="18"/>
                <w:szCs w:val="18"/>
              </w:rPr>
            </w:pPr>
            <w:r>
              <w:rPr>
                <w:rFonts w:ascii="Arial"/>
                <w:w w:val="90"/>
                <w:sz w:val="18"/>
              </w:rPr>
              <w:t>300,198,175.52</w:t>
            </w:r>
            <w:r>
              <w:rPr>
                <w:rFonts w:ascii="Arial"/>
                <w:sz w:val="18"/>
              </w:rPr>
            </w:r>
          </w:p>
        </w:tc>
        <w:tc>
          <w:tcPr>
            <w:tcW w:w="128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left="408" w:right="0"/>
              <w:jc w:val="left"/>
              <w:rPr>
                <w:rFonts w:ascii="Arial" w:hAnsi="Arial" w:cs="Arial" w:eastAsia="Arial" w:hint="default"/>
                <w:sz w:val="18"/>
                <w:szCs w:val="18"/>
              </w:rPr>
            </w:pPr>
            <w:r>
              <w:rPr>
                <w:rFonts w:ascii="Arial"/>
                <w:w w:val="90"/>
                <w:sz w:val="18"/>
              </w:rPr>
              <w:t>100.00</w:t>
            </w:r>
            <w:r>
              <w:rPr>
                <w:rFonts w:ascii="Arial"/>
                <w:sz w:val="18"/>
              </w:rPr>
            </w:r>
          </w:p>
        </w:tc>
        <w:tc>
          <w:tcPr>
            <w:tcW w:w="160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left="323" w:right="0"/>
              <w:jc w:val="left"/>
              <w:rPr>
                <w:rFonts w:ascii="Arial" w:hAnsi="Arial" w:cs="Arial" w:eastAsia="Arial" w:hint="default"/>
                <w:sz w:val="18"/>
                <w:szCs w:val="18"/>
              </w:rPr>
            </w:pPr>
            <w:r>
              <w:rPr>
                <w:rFonts w:ascii="Arial"/>
                <w:w w:val="90"/>
                <w:sz w:val="18"/>
              </w:rPr>
              <w:t>34,651,076.42</w:t>
            </w:r>
            <w:r>
              <w:rPr>
                <w:rFonts w:ascii="Arial"/>
                <w:sz w:val="18"/>
              </w:rPr>
            </w:r>
          </w:p>
        </w:tc>
        <w:tc>
          <w:tcPr>
            <w:tcW w:w="108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9"/>
              <w:ind w:right="3"/>
              <w:jc w:val="center"/>
              <w:rPr>
                <w:rFonts w:ascii="Arial" w:hAnsi="Arial" w:cs="Arial" w:eastAsia="Arial" w:hint="default"/>
                <w:sz w:val="18"/>
                <w:szCs w:val="18"/>
              </w:rPr>
            </w:pPr>
            <w:r>
              <w:rPr>
                <w:rFonts w:ascii="Arial"/>
                <w:w w:val="90"/>
                <w:sz w:val="18"/>
              </w:rPr>
              <w:t>11.54</w:t>
            </w:r>
            <w:r>
              <w:rPr>
                <w:rFonts w:ascii="Arial"/>
                <w:sz w:val="18"/>
              </w:rPr>
            </w:r>
          </w:p>
        </w:tc>
      </w:tr>
    </w:tbl>
    <w:p>
      <w:pPr>
        <w:spacing w:line="240" w:lineRule="auto" w:before="12"/>
        <w:rPr>
          <w:rFonts w:ascii="宋体" w:hAnsi="宋体" w:cs="宋体" w:eastAsia="宋体" w:hint="default"/>
          <w:sz w:val="29"/>
          <w:szCs w:val="29"/>
        </w:rPr>
      </w:pPr>
    </w:p>
    <w:tbl>
      <w:tblPr>
        <w:tblW w:w="0" w:type="auto"/>
        <w:jc w:val="left"/>
        <w:tblInd w:w="116" w:type="dxa"/>
        <w:tblLayout w:type="fixed"/>
        <w:tblCellMar>
          <w:top w:w="0" w:type="dxa"/>
          <w:left w:w="0" w:type="dxa"/>
          <w:bottom w:w="0" w:type="dxa"/>
          <w:right w:w="0" w:type="dxa"/>
        </w:tblCellMar>
        <w:tblLook w:val="01E0"/>
      </w:tblPr>
      <w:tblGrid>
        <w:gridCol w:w="4458"/>
        <w:gridCol w:w="1444"/>
        <w:gridCol w:w="1342"/>
        <w:gridCol w:w="1543"/>
        <w:gridCol w:w="1082"/>
      </w:tblGrid>
      <w:tr>
        <w:trPr>
          <w:trHeight w:val="367" w:hRule="exact"/>
        </w:trPr>
        <w:tc>
          <w:tcPr>
            <w:tcW w:w="4458"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108"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5411"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27"/>
              <w:ind w:left="83" w:right="0"/>
              <w:jc w:val="center"/>
              <w:rPr>
                <w:rFonts w:ascii="宋体" w:hAnsi="宋体" w:cs="宋体" w:eastAsia="宋体" w:hint="default"/>
                <w:sz w:val="18"/>
                <w:szCs w:val="18"/>
              </w:rPr>
            </w:pPr>
            <w:r>
              <w:rPr>
                <w:rFonts w:ascii="宋体" w:hAnsi="宋体" w:cs="宋体" w:eastAsia="宋体" w:hint="default"/>
                <w:sz w:val="18"/>
                <w:szCs w:val="18"/>
              </w:rPr>
              <w:t>期初数 </w:t>
            </w:r>
          </w:p>
        </w:tc>
      </w:tr>
      <w:tr>
        <w:trPr>
          <w:trHeight w:val="355" w:hRule="exact"/>
        </w:trPr>
        <w:tc>
          <w:tcPr>
            <w:tcW w:w="4458" w:type="dxa"/>
            <w:vMerge/>
            <w:tcBorders>
              <w:left w:val="nil" w:sz="6" w:space="0" w:color="auto"/>
              <w:right w:val="single" w:sz="4" w:space="0" w:color="000000"/>
            </w:tcBorders>
          </w:tcPr>
          <w:p>
            <w:pPr/>
          </w:p>
        </w:tc>
        <w:tc>
          <w:tcPr>
            <w:tcW w:w="27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88" w:right="0"/>
              <w:jc w:val="center"/>
              <w:rPr>
                <w:rFonts w:ascii="宋体" w:hAnsi="宋体" w:cs="宋体" w:eastAsia="宋体" w:hint="default"/>
                <w:sz w:val="18"/>
                <w:szCs w:val="18"/>
              </w:rPr>
            </w:pPr>
            <w:r>
              <w:rPr>
                <w:rFonts w:ascii="宋体" w:hAnsi="宋体" w:cs="宋体" w:eastAsia="宋体" w:hint="default"/>
                <w:sz w:val="18"/>
                <w:szCs w:val="18"/>
              </w:rPr>
              <w:t>账面余额 </w:t>
            </w:r>
          </w:p>
        </w:tc>
        <w:tc>
          <w:tcPr>
            <w:tcW w:w="2626"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left="946" w:right="0"/>
              <w:jc w:val="left"/>
              <w:rPr>
                <w:rFonts w:ascii="宋体" w:hAnsi="宋体" w:cs="宋体" w:eastAsia="宋体" w:hint="default"/>
                <w:sz w:val="18"/>
                <w:szCs w:val="18"/>
              </w:rPr>
            </w:pPr>
            <w:r>
              <w:rPr>
                <w:rFonts w:ascii="宋体" w:hAnsi="宋体" w:cs="宋体" w:eastAsia="宋体" w:hint="default"/>
                <w:sz w:val="18"/>
                <w:szCs w:val="18"/>
              </w:rPr>
              <w:t>坏账准备 </w:t>
            </w:r>
          </w:p>
        </w:tc>
      </w:tr>
      <w:tr>
        <w:trPr>
          <w:trHeight w:val="356" w:hRule="exact"/>
        </w:trPr>
        <w:tc>
          <w:tcPr>
            <w:tcW w:w="4458" w:type="dxa"/>
            <w:vMerge/>
            <w:tcBorders>
              <w:left w:val="nil" w:sz="6" w:space="0" w:color="auto"/>
              <w:bottom w:val="single" w:sz="4" w:space="0" w:color="000000"/>
              <w:right w:val="single" w:sz="4" w:space="0" w:color="000000"/>
            </w:tcBorders>
          </w:tcPr>
          <w:p>
            <w:pP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536"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88" w:right="0"/>
              <w:jc w:val="center"/>
              <w:rPr>
                <w:rFonts w:ascii="宋体" w:hAnsi="宋体" w:cs="宋体" w:eastAsia="宋体" w:hint="default"/>
                <w:sz w:val="18"/>
                <w:szCs w:val="18"/>
              </w:rPr>
            </w:pPr>
            <w:r>
              <w:rPr>
                <w:rFonts w:ascii="宋体" w:hAnsi="宋体" w:cs="宋体" w:eastAsia="宋体" w:hint="default"/>
                <w:sz w:val="18"/>
                <w:szCs w:val="18"/>
              </w:rPr>
              <w:t>比例(%) </w:t>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586"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08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left="84" w:right="0"/>
              <w:jc w:val="center"/>
              <w:rPr>
                <w:rFonts w:ascii="宋体" w:hAnsi="宋体" w:cs="宋体" w:eastAsia="宋体" w:hint="default"/>
                <w:sz w:val="18"/>
                <w:szCs w:val="18"/>
              </w:rPr>
            </w:pPr>
            <w:r>
              <w:rPr>
                <w:rFonts w:ascii="宋体" w:hAnsi="宋体" w:cs="宋体" w:eastAsia="宋体" w:hint="default"/>
                <w:sz w:val="18"/>
                <w:szCs w:val="18"/>
              </w:rPr>
              <w:t>比例(%) </w:t>
            </w:r>
          </w:p>
        </w:tc>
      </w:tr>
      <w:tr>
        <w:trPr>
          <w:trHeight w:val="356" w:hRule="exact"/>
        </w:trPr>
        <w:tc>
          <w:tcPr>
            <w:tcW w:w="4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按单项评估计提坏账准备的应收账款 </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9,158,798.38</w:t>
            </w:r>
            <w:r>
              <w:rPr>
                <w:rFonts w:ascii="Arial"/>
                <w:sz w:val="18"/>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Arial" w:hAnsi="Arial" w:cs="Arial" w:eastAsia="Arial" w:hint="default"/>
                <w:sz w:val="18"/>
                <w:szCs w:val="18"/>
              </w:rPr>
            </w:pPr>
            <w:r>
              <w:rPr>
                <w:rFonts w:ascii="Arial"/>
                <w:w w:val="90"/>
                <w:sz w:val="18"/>
              </w:rPr>
              <w:t>2.68</w:t>
            </w:r>
            <w:r>
              <w:rPr>
                <w:rFonts w:ascii="Arial"/>
                <w:sz w:val="18"/>
              </w:rPr>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9,158,798.38</w:t>
            </w:r>
            <w:r>
              <w:rPr>
                <w:rFonts w:ascii="Arial"/>
                <w:sz w:val="18"/>
              </w:rPr>
            </w:r>
          </w:p>
        </w:tc>
        <w:tc>
          <w:tcPr>
            <w:tcW w:w="108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right="4"/>
              <w:jc w:val="center"/>
              <w:rPr>
                <w:rFonts w:ascii="Arial" w:hAnsi="Arial" w:cs="Arial" w:eastAsia="Arial" w:hint="default"/>
                <w:sz w:val="18"/>
                <w:szCs w:val="18"/>
              </w:rPr>
            </w:pPr>
            <w:r>
              <w:rPr>
                <w:rFonts w:ascii="Arial"/>
                <w:w w:val="90"/>
                <w:sz w:val="18"/>
              </w:rPr>
              <w:t>100.00</w:t>
            </w:r>
            <w:r>
              <w:rPr>
                <w:rFonts w:ascii="Arial"/>
                <w:sz w:val="18"/>
              </w:rPr>
            </w:r>
          </w:p>
        </w:tc>
      </w:tr>
      <w:tr>
        <w:trPr>
          <w:trHeight w:val="355" w:hRule="exact"/>
        </w:trPr>
        <w:tc>
          <w:tcPr>
            <w:tcW w:w="4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按信用风险特征组合计提坏账准备的应收账款 </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332,287,145.56</w:t>
            </w:r>
            <w:r>
              <w:rPr>
                <w:rFonts w:ascii="Arial"/>
                <w:sz w:val="18"/>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Arial" w:hAnsi="Arial" w:cs="Arial" w:eastAsia="Arial" w:hint="default"/>
                <w:sz w:val="18"/>
                <w:szCs w:val="18"/>
              </w:rPr>
            </w:pPr>
            <w:r>
              <w:rPr>
                <w:rFonts w:ascii="Arial"/>
                <w:w w:val="90"/>
                <w:sz w:val="18"/>
              </w:rPr>
              <w:t>97.32</w:t>
            </w:r>
            <w:r>
              <w:rPr>
                <w:rFonts w:ascii="Arial"/>
                <w:sz w:val="18"/>
              </w:rPr>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10,116,480.30</w:t>
            </w:r>
            <w:r>
              <w:rPr>
                <w:rFonts w:ascii="Arial"/>
                <w:spacing w:val="-1"/>
                <w:sz w:val="18"/>
              </w:rPr>
            </w:r>
          </w:p>
        </w:tc>
        <w:tc>
          <w:tcPr>
            <w:tcW w:w="108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right="5"/>
              <w:jc w:val="center"/>
              <w:rPr>
                <w:rFonts w:ascii="Arial" w:hAnsi="Arial" w:cs="Arial" w:eastAsia="Arial" w:hint="default"/>
                <w:sz w:val="18"/>
                <w:szCs w:val="18"/>
              </w:rPr>
            </w:pPr>
            <w:r>
              <w:rPr>
                <w:rFonts w:ascii="Arial"/>
                <w:w w:val="90"/>
                <w:sz w:val="18"/>
              </w:rPr>
              <w:t>3.04</w:t>
            </w:r>
            <w:r>
              <w:rPr>
                <w:rFonts w:ascii="Arial"/>
                <w:sz w:val="18"/>
              </w:rPr>
            </w:r>
          </w:p>
        </w:tc>
      </w:tr>
      <w:tr>
        <w:trPr>
          <w:trHeight w:val="356" w:hRule="exact"/>
        </w:trPr>
        <w:tc>
          <w:tcPr>
            <w:tcW w:w="4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1：应收客户款 </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332,287,145.56</w:t>
            </w:r>
            <w:r>
              <w:rPr>
                <w:rFonts w:ascii="Arial"/>
                <w:sz w:val="18"/>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Arial" w:hAnsi="Arial" w:cs="Arial" w:eastAsia="Arial" w:hint="default"/>
                <w:sz w:val="18"/>
                <w:szCs w:val="18"/>
              </w:rPr>
            </w:pPr>
            <w:r>
              <w:rPr>
                <w:rFonts w:ascii="Arial"/>
                <w:w w:val="90"/>
                <w:sz w:val="18"/>
              </w:rPr>
              <w:t>97.32</w:t>
            </w:r>
            <w:r>
              <w:rPr>
                <w:rFonts w:ascii="Arial"/>
                <w:sz w:val="18"/>
              </w:rPr>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10,116,480.30</w:t>
            </w:r>
            <w:r>
              <w:rPr>
                <w:rFonts w:ascii="Arial"/>
                <w:spacing w:val="-1"/>
                <w:sz w:val="18"/>
              </w:rPr>
            </w:r>
          </w:p>
        </w:tc>
        <w:tc>
          <w:tcPr>
            <w:tcW w:w="108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right="5"/>
              <w:jc w:val="center"/>
              <w:rPr>
                <w:rFonts w:ascii="Arial" w:hAnsi="Arial" w:cs="Arial" w:eastAsia="Arial" w:hint="default"/>
                <w:sz w:val="18"/>
                <w:szCs w:val="18"/>
              </w:rPr>
            </w:pPr>
            <w:r>
              <w:rPr>
                <w:rFonts w:ascii="Arial"/>
                <w:w w:val="90"/>
                <w:sz w:val="18"/>
              </w:rPr>
              <w:t>3.04</w:t>
            </w:r>
            <w:r>
              <w:rPr>
                <w:rFonts w:ascii="Arial"/>
                <w:sz w:val="18"/>
              </w:rPr>
            </w:r>
          </w:p>
        </w:tc>
      </w:tr>
      <w:tr>
        <w:trPr>
          <w:trHeight w:val="356" w:hRule="exact"/>
        </w:trPr>
        <w:tc>
          <w:tcPr>
            <w:tcW w:w="4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2：合并范围内关联方往来 </w:t>
            </w:r>
          </w:p>
        </w:tc>
        <w:tc>
          <w:tcPr>
            <w:tcW w:w="1444"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543"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nil" w:sz="6" w:space="0" w:color="auto"/>
            </w:tcBorders>
          </w:tcPr>
          <w:p>
            <w:pPr/>
          </w:p>
        </w:tc>
      </w:tr>
      <w:tr>
        <w:trPr>
          <w:trHeight w:val="355" w:hRule="exact"/>
        </w:trPr>
        <w:tc>
          <w:tcPr>
            <w:tcW w:w="4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组合小计 </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332,287,145.56</w:t>
            </w:r>
            <w:r>
              <w:rPr>
                <w:rFonts w:ascii="Arial"/>
                <w:sz w:val="18"/>
              </w:rPr>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Arial" w:hAnsi="Arial" w:cs="Arial" w:eastAsia="Arial" w:hint="default"/>
                <w:sz w:val="18"/>
                <w:szCs w:val="18"/>
              </w:rPr>
            </w:pPr>
            <w:r>
              <w:rPr>
                <w:rFonts w:ascii="Arial"/>
                <w:w w:val="90"/>
                <w:sz w:val="18"/>
              </w:rPr>
              <w:t>97.32</w:t>
            </w:r>
            <w:r>
              <w:rPr>
                <w:rFonts w:ascii="Arial"/>
                <w:sz w:val="18"/>
              </w:rPr>
            </w:r>
          </w:p>
        </w:tc>
        <w:tc>
          <w:tcPr>
            <w:tcW w:w="1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10,116,480.30</w:t>
            </w:r>
            <w:r>
              <w:rPr>
                <w:rFonts w:ascii="Arial"/>
                <w:spacing w:val="-1"/>
                <w:sz w:val="18"/>
              </w:rPr>
            </w:r>
          </w:p>
        </w:tc>
        <w:tc>
          <w:tcPr>
            <w:tcW w:w="108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right="5"/>
              <w:jc w:val="center"/>
              <w:rPr>
                <w:rFonts w:ascii="Arial" w:hAnsi="Arial" w:cs="Arial" w:eastAsia="Arial" w:hint="default"/>
                <w:sz w:val="18"/>
                <w:szCs w:val="18"/>
              </w:rPr>
            </w:pPr>
            <w:r>
              <w:rPr>
                <w:rFonts w:ascii="Arial"/>
                <w:w w:val="90"/>
                <w:sz w:val="18"/>
              </w:rPr>
              <w:t>3.04</w:t>
            </w:r>
            <w:r>
              <w:rPr>
                <w:rFonts w:ascii="Arial"/>
                <w:sz w:val="18"/>
              </w:rPr>
            </w:r>
          </w:p>
        </w:tc>
      </w:tr>
      <w:tr>
        <w:trPr>
          <w:trHeight w:val="367" w:hRule="exact"/>
        </w:trPr>
        <w:tc>
          <w:tcPr>
            <w:tcW w:w="445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7"/>
              <w:ind w:left="10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144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341,445,943.94</w:t>
            </w:r>
            <w:r>
              <w:rPr>
                <w:rFonts w:ascii="Arial"/>
                <w:sz w:val="18"/>
              </w:rPr>
            </w:r>
          </w:p>
        </w:tc>
        <w:tc>
          <w:tcPr>
            <w:tcW w:w="134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6"/>
              <w:ind w:right="1"/>
              <w:jc w:val="center"/>
              <w:rPr>
                <w:rFonts w:ascii="Arial" w:hAnsi="Arial" w:cs="Arial" w:eastAsia="Arial" w:hint="default"/>
                <w:sz w:val="18"/>
                <w:szCs w:val="18"/>
              </w:rPr>
            </w:pPr>
            <w:r>
              <w:rPr>
                <w:rFonts w:ascii="Arial"/>
                <w:w w:val="90"/>
                <w:sz w:val="18"/>
              </w:rPr>
              <w:t>100.00</w:t>
            </w:r>
            <w:r>
              <w:rPr>
                <w:rFonts w:ascii="Arial"/>
                <w:sz w:val="18"/>
              </w:rPr>
            </w:r>
          </w:p>
        </w:tc>
        <w:tc>
          <w:tcPr>
            <w:tcW w:w="154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6"/>
              <w:ind w:right="102"/>
              <w:jc w:val="right"/>
              <w:rPr>
                <w:rFonts w:ascii="Arial" w:hAnsi="Arial" w:cs="Arial" w:eastAsia="Arial" w:hint="default"/>
                <w:sz w:val="18"/>
                <w:szCs w:val="18"/>
              </w:rPr>
            </w:pPr>
            <w:r>
              <w:rPr>
                <w:rFonts w:ascii="Arial"/>
                <w:spacing w:val="-1"/>
                <w:w w:val="80"/>
                <w:sz w:val="18"/>
              </w:rPr>
              <w:t>19,275,278.68</w:t>
            </w:r>
            <w:r>
              <w:rPr>
                <w:rFonts w:ascii="Arial"/>
                <w:spacing w:val="-1"/>
                <w:sz w:val="18"/>
              </w:rPr>
            </w:r>
          </w:p>
        </w:tc>
        <w:tc>
          <w:tcPr>
            <w:tcW w:w="108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66"/>
              <w:ind w:right="5"/>
              <w:jc w:val="center"/>
              <w:rPr>
                <w:rFonts w:ascii="Arial" w:hAnsi="Arial" w:cs="Arial" w:eastAsia="Arial" w:hint="default"/>
                <w:sz w:val="18"/>
                <w:szCs w:val="18"/>
              </w:rPr>
            </w:pPr>
            <w:r>
              <w:rPr>
                <w:rFonts w:ascii="Arial"/>
                <w:w w:val="90"/>
                <w:sz w:val="18"/>
              </w:rPr>
              <w:t>5.65</w:t>
            </w:r>
            <w:r>
              <w:rPr>
                <w:rFonts w:ascii="Arial"/>
                <w:sz w:val="18"/>
              </w:rPr>
            </w:r>
          </w:p>
        </w:tc>
      </w:tr>
    </w:tbl>
    <w:p>
      <w:pPr>
        <w:spacing w:line="240" w:lineRule="auto" w:before="6"/>
        <w:rPr>
          <w:rFonts w:ascii="宋体" w:hAnsi="宋体" w:cs="宋体" w:eastAsia="宋体" w:hint="default"/>
          <w:sz w:val="27"/>
          <w:szCs w:val="27"/>
        </w:rPr>
      </w:pPr>
    </w:p>
    <w:p>
      <w:pPr>
        <w:spacing w:before="44"/>
        <w:ind w:left="254" w:right="1013" w:firstLine="0"/>
        <w:jc w:val="left"/>
        <w:rPr>
          <w:rFonts w:ascii="宋体" w:hAnsi="宋体" w:cs="宋体" w:eastAsia="宋体" w:hint="default"/>
          <w:sz w:val="18"/>
          <w:szCs w:val="18"/>
        </w:rPr>
      </w:pPr>
      <w:r>
        <w:rPr>
          <w:rFonts w:ascii="宋体" w:hAnsi="宋体" w:cs="宋体" w:eastAsia="宋体" w:hint="default"/>
          <w:sz w:val="18"/>
          <w:szCs w:val="18"/>
        </w:rPr>
        <w:t>按单项计提坏账准备：</w:t>
      </w:r>
    </w:p>
    <w:p>
      <w:pPr>
        <w:spacing w:before="11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249" w:type="dxa"/>
        <w:tblLayout w:type="fixed"/>
        <w:tblCellMar>
          <w:top w:w="0" w:type="dxa"/>
          <w:left w:w="0" w:type="dxa"/>
          <w:bottom w:w="0" w:type="dxa"/>
          <w:right w:w="0" w:type="dxa"/>
        </w:tblCellMar>
        <w:tblLook w:val="01E0"/>
      </w:tblPr>
      <w:tblGrid>
        <w:gridCol w:w="2552"/>
        <w:gridCol w:w="1417"/>
        <w:gridCol w:w="1772"/>
        <w:gridCol w:w="1488"/>
        <w:gridCol w:w="2340"/>
      </w:tblGrid>
      <w:tr>
        <w:trPr>
          <w:trHeight w:val="401" w:hRule="exact"/>
        </w:trPr>
        <w:tc>
          <w:tcPr>
            <w:tcW w:w="255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018"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552" w:type="dxa"/>
            <w:vMerge/>
            <w:tcBorders>
              <w:left w:val="single" w:sz="4" w:space="0" w:color="000000"/>
              <w:bottom w:val="single" w:sz="4" w:space="0" w:color="000000"/>
              <w:right w:val="single" w:sz="4" w:space="0" w:color="000000"/>
            </w:tcBorders>
            <w:shd w:val="clear" w:color="auto" w:fill="D3D3D3"/>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77"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23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广州市紫昊纸业有限公司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1,281,501.86</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1,281,501.86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根据诉讼进展预计难以收回</w:t>
            </w:r>
          </w:p>
        </w:tc>
      </w:tr>
      <w:tr>
        <w:trPr>
          <w:trHeight w:val="40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湖南奥林特种纸有限公司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1,508,967.04</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1,508,967.04</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债务人停产难以偿还债务</w:t>
            </w:r>
          </w:p>
        </w:tc>
      </w:tr>
      <w:tr>
        <w:trPr>
          <w:trHeight w:val="40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湖南中冶美隆纸业有限公司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宋体" w:hAnsi="宋体" w:cs="宋体" w:eastAsia="宋体" w:hint="default"/>
                <w:sz w:val="18"/>
                <w:szCs w:val="18"/>
              </w:rPr>
            </w:pPr>
            <w:r>
              <w:rPr>
                <w:rFonts w:ascii="宋体"/>
                <w:sz w:val="18"/>
              </w:rPr>
              <w:t>1,989,551.38</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z w:val="18"/>
              </w:rPr>
              <w:t>1,989,551.38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债务人停产难以偿还债务</w:t>
            </w:r>
          </w:p>
        </w:tc>
      </w:tr>
      <w:tr>
        <w:trPr>
          <w:trHeight w:val="714"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79"/>
              <w:jc w:val="left"/>
              <w:rPr>
                <w:rFonts w:ascii="宋体" w:hAnsi="宋体" w:cs="宋体" w:eastAsia="宋体" w:hint="default"/>
                <w:sz w:val="18"/>
                <w:szCs w:val="18"/>
              </w:rPr>
            </w:pPr>
            <w:r>
              <w:rPr>
                <w:rFonts w:ascii="宋体" w:hAnsi="宋体" w:cs="宋体" w:eastAsia="宋体" w:hint="default"/>
                <w:sz w:val="18"/>
                <w:szCs w:val="18"/>
              </w:rPr>
              <w:t>武汉亿信天脉信息技术有限公 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3"/>
              <w:jc w:val="right"/>
              <w:rPr>
                <w:rFonts w:ascii="宋体" w:hAnsi="宋体" w:cs="宋体" w:eastAsia="宋体" w:hint="default"/>
                <w:sz w:val="18"/>
                <w:szCs w:val="18"/>
              </w:rPr>
            </w:pPr>
            <w:r>
              <w:rPr>
                <w:rFonts w:ascii="宋体"/>
                <w:sz w:val="18"/>
              </w:rPr>
              <w:t>2,900,000.00</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2,900,000.00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根据诉讼进展预计难以收回</w:t>
            </w:r>
          </w:p>
        </w:tc>
      </w:tr>
      <w:tr>
        <w:trPr>
          <w:trHeight w:val="40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刘正君（</w:t>
            </w:r>
            <w:r>
              <w:rPr>
                <w:rFonts w:ascii="Times New Roman" w:hAnsi="Times New Roman" w:cs="Times New Roman" w:eastAsia="Times New Roman" w:hint="default"/>
                <w:sz w:val="18"/>
                <w:szCs w:val="18"/>
              </w:rPr>
              <w:t>JCK</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株式会社）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1,622,899.06</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1,622,899.06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根据诉讼进展预计难以收回</w:t>
            </w:r>
          </w:p>
        </w:tc>
      </w:tr>
      <w:tr>
        <w:trPr>
          <w:trHeight w:val="40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艾迪芙文化用品</w:t>
            </w:r>
            <w:r>
              <w:rPr>
                <w:rFonts w:ascii="Times New Roman" w:hAnsi="Times New Roman" w:cs="Times New Roman" w:eastAsia="Times New Roman" w:hint="default"/>
                <w:sz w:val="18"/>
                <w:szCs w:val="18"/>
              </w:rPr>
              <w:t>(</w:t>
            </w:r>
            <w:r>
              <w:rPr>
                <w:rFonts w:ascii="宋体" w:hAnsi="宋体" w:cs="宋体" w:eastAsia="宋体" w:hint="default"/>
                <w:sz w:val="18"/>
                <w:szCs w:val="18"/>
              </w:rPr>
              <w:t>深圳</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830,462.61</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830,462.61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根据诉讼预计无法收回</w:t>
            </w:r>
          </w:p>
        </w:tc>
      </w:tr>
      <w:tr>
        <w:trPr>
          <w:trHeight w:val="40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北京旌旗源弘科贸有限公司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宋体" w:hAnsi="宋体" w:cs="宋体" w:eastAsia="宋体" w:hint="default"/>
                <w:sz w:val="18"/>
                <w:szCs w:val="18"/>
              </w:rPr>
            </w:pPr>
            <w:r>
              <w:rPr>
                <w:rFonts w:ascii="宋体"/>
                <w:sz w:val="18"/>
              </w:rPr>
              <w:t>1,638,615.45</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z w:val="18"/>
              </w:rPr>
              <w:t>1,638,615.45</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根据诉讼预计无法收回</w:t>
            </w:r>
          </w:p>
        </w:tc>
      </w:tr>
      <w:tr>
        <w:trPr>
          <w:trHeight w:val="40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北京市艺联兴商贸公司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207,173.36</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207,173.36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预计无法回收</w:t>
            </w:r>
          </w:p>
        </w:tc>
      </w:tr>
      <w:tr>
        <w:trPr>
          <w:trHeight w:val="40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北京龙文倡达商贸有限公司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宋体" w:hAnsi="宋体" w:cs="宋体" w:eastAsia="宋体" w:hint="default"/>
                <w:sz w:val="18"/>
                <w:szCs w:val="18"/>
              </w:rPr>
            </w:pPr>
            <w:r>
              <w:rPr>
                <w:rFonts w:ascii="宋体"/>
                <w:sz w:val="18"/>
              </w:rPr>
              <w:t>73,378.57</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z w:val="18"/>
              </w:rPr>
              <w:t>73,378.57</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预计无法回收</w:t>
            </w:r>
          </w:p>
        </w:tc>
      </w:tr>
      <w:tr>
        <w:trPr>
          <w:trHeight w:val="403" w:hRule="exact"/>
        </w:trPr>
        <w:tc>
          <w:tcPr>
            <w:tcW w:w="2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宋体" w:hAnsi="宋体" w:cs="宋体" w:eastAsia="宋体" w:hint="default"/>
                <w:sz w:val="18"/>
                <w:szCs w:val="18"/>
              </w:rPr>
            </w:pPr>
            <w:r>
              <w:rPr>
                <w:rFonts w:ascii="宋体"/>
                <w:sz w:val="18"/>
              </w:rPr>
              <w:t>12,052,549.33</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宋体" w:hAnsi="宋体" w:cs="宋体" w:eastAsia="宋体" w:hint="default"/>
                <w:sz w:val="18"/>
                <w:szCs w:val="18"/>
              </w:rPr>
            </w:pPr>
            <w:r>
              <w:rPr>
                <w:rFonts w:ascii="宋体"/>
                <w:sz w:val="18"/>
              </w:rPr>
              <w:t>12,052,549.33</w:t>
            </w:r>
          </w:p>
        </w:tc>
        <w:tc>
          <w:tcPr>
            <w:tcW w:w="14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23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5"/>
        <w:rPr>
          <w:rFonts w:ascii="宋体" w:hAnsi="宋体" w:cs="宋体" w:eastAsia="宋体" w:hint="default"/>
          <w:sz w:val="27"/>
          <w:szCs w:val="27"/>
        </w:rPr>
      </w:pPr>
    </w:p>
    <w:p>
      <w:pPr>
        <w:spacing w:before="44"/>
        <w:ind w:left="254" w:right="1013" w:firstLine="0"/>
        <w:jc w:val="left"/>
        <w:rPr>
          <w:rFonts w:ascii="宋体" w:hAnsi="宋体" w:cs="宋体" w:eastAsia="宋体" w:hint="default"/>
          <w:sz w:val="18"/>
          <w:szCs w:val="18"/>
        </w:rPr>
      </w:pPr>
      <w:r>
        <w:rPr>
          <w:rFonts w:ascii="宋体" w:hAnsi="宋体" w:cs="宋体" w:eastAsia="宋体" w:hint="default"/>
          <w:sz w:val="18"/>
          <w:szCs w:val="18"/>
        </w:rPr>
        <w:t>按组合计提坏账准备：</w:t>
      </w:r>
    </w:p>
    <w:p>
      <w:pPr>
        <w:spacing w:before="11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19"/>
          <w:szCs w:val="19"/>
        </w:rPr>
      </w:pPr>
    </w:p>
    <w:p>
      <w:pPr>
        <w:spacing w:before="44"/>
        <w:ind w:left="614" w:right="1013" w:firstLine="0"/>
        <w:jc w:val="left"/>
        <w:rPr>
          <w:rFonts w:ascii="宋体" w:hAnsi="宋体" w:cs="宋体" w:eastAsia="宋体" w:hint="default"/>
          <w:sz w:val="18"/>
          <w:szCs w:val="18"/>
        </w:rPr>
      </w:pPr>
      <w:r>
        <w:rPr>
          <w:rFonts w:ascii="宋体" w:hAnsi="宋体" w:cs="宋体" w:eastAsia="宋体" w:hint="default"/>
          <w:sz w:val="18"/>
          <w:szCs w:val="18"/>
        </w:rPr>
        <w:t>①组合</w:t>
      </w:r>
      <w:r>
        <w:rPr>
          <w:rFonts w:ascii="宋体" w:hAnsi="宋体" w:cs="宋体" w:eastAsia="宋体" w:hint="default"/>
          <w:spacing w:val="-46"/>
          <w:sz w:val="18"/>
          <w:szCs w:val="18"/>
        </w:rPr>
        <w:t> </w:t>
      </w:r>
      <w:r>
        <w:rPr>
          <w:rFonts w:ascii="宋体" w:hAnsi="宋体" w:cs="宋体" w:eastAsia="宋体" w:hint="default"/>
          <w:sz w:val="18"/>
          <w:szCs w:val="18"/>
        </w:rPr>
        <w:t>1：应收客户款 </w:t>
      </w:r>
    </w:p>
    <w:p>
      <w:pPr>
        <w:spacing w:line="240" w:lineRule="auto" w:before="0"/>
        <w:rPr>
          <w:rFonts w:ascii="宋体" w:hAnsi="宋体" w:cs="宋体" w:eastAsia="宋体" w:hint="default"/>
          <w:sz w:val="14"/>
          <w:szCs w:val="14"/>
        </w:rPr>
      </w:pPr>
    </w:p>
    <w:p>
      <w:pPr>
        <w:spacing w:line="400" w:lineRule="exact"/>
        <w:ind w:left="131"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94.25pt;height:20.05pt;mso-position-horizontal-relative:char;mso-position-vertical-relative:line" coordorigin="0,0" coordsize="9885,401">
            <v:group style="position:absolute;left:15;top:15;width:5877;height:2" coordorigin="15,15" coordsize="5877,2">
              <v:shape style="position:absolute;left:15;top:15;width:5877;height:2" coordorigin="15,15" coordsize="5877,0" path="m15,15l5891,15e" filled="false" stroked="true" strokeweight="1.5pt" strokecolor="#000000">
                <v:path arrowok="t"/>
              </v:shape>
            </v:group>
            <v:group style="position:absolute;left:5891;top:15;width:3978;height:2" coordorigin="5891,15" coordsize="3978,2">
              <v:shape style="position:absolute;left:5891;top:15;width:3978;height:2" coordorigin="5891,15" coordsize="3978,0" path="m5891,15l9869,15e" filled="false" stroked="true" strokeweight="1.5pt" strokecolor="#000000">
                <v:path arrowok="t"/>
              </v:shape>
            </v:group>
            <v:group style="position:absolute;left:15;top:386;width:1838;height:2" coordorigin="15,386" coordsize="1838,2">
              <v:shape style="position:absolute;left:15;top:386;width:1838;height:2" coordorigin="15,386" coordsize="1838,0" path="m15,386l1852,386e" filled="false" stroked="true" strokeweight="1.5pt" strokecolor="#000000">
                <v:path arrowok="t"/>
              </v:shape>
            </v:group>
            <v:group style="position:absolute;left:1857;top:30;width:2;height:341" coordorigin="1857,30" coordsize="2,341">
              <v:shape style="position:absolute;left:1857;top:30;width:2;height:341" coordorigin="1857,30" coordsize="0,341" path="m1857,30l1857,371e" filled="false" stroked="true" strokeweight=".48pt" strokecolor="#000000">
                <v:path arrowok="t"/>
              </v:shape>
            </v:group>
            <v:group style="position:absolute;left:1852;top:386;width:4010;height:2" coordorigin="1852,386" coordsize="4010,2">
              <v:shape style="position:absolute;left:1852;top:386;width:4010;height:2" coordorigin="1852,386" coordsize="4010,0" path="m1852,386l5861,386e" filled="false" stroked="true" strokeweight="1.5pt" strokecolor="#000000">
                <v:path arrowok="t"/>
              </v:shape>
            </v:group>
            <v:group style="position:absolute;left:5866;top:30;width:2;height:341" coordorigin="5866,30" coordsize="2,341">
              <v:shape style="position:absolute;left:5866;top:30;width:2;height:341" coordorigin="5866,30" coordsize="0,341" path="m5866,30l5866,371e" filled="false" stroked="true" strokeweight=".47998pt" strokecolor="#000000">
                <v:path arrowok="t"/>
              </v:shape>
            </v:group>
            <v:group style="position:absolute;left:5861;top:386;width:30;height:2" coordorigin="5861,386" coordsize="30,2">
              <v:shape style="position:absolute;left:5861;top:386;width:30;height:2" coordorigin="5861,386" coordsize="30,0" path="m5861,386l5891,386e" filled="false" stroked="true" strokeweight="1.5pt" strokecolor="#000000">
                <v:path arrowok="t"/>
              </v:shape>
            </v:group>
            <v:group style="position:absolute;left:5891;top:386;width:3978;height:2" coordorigin="5891,386" coordsize="3978,2">
              <v:shape style="position:absolute;left:5891;top:386;width:3978;height:2" coordorigin="5891,386" coordsize="3978,0" path="m5891,386l9869,386e" filled="false" stroked="true" strokeweight="1.5pt" strokecolor="#000000">
                <v:path arrowok="t"/>
              </v:shape>
              <v:shape style="position:absolute;left:1857;top:15;width:4010;height:371" type="#_x0000_t202" filled="false" stroked="false">
                <v:textbox inset="0,0,0,0">
                  <w:txbxContent>
                    <w:p>
                      <w:pPr>
                        <w:spacing w:before="38"/>
                        <w:ind w:left="88" w:right="0" w:firstLine="0"/>
                        <w:jc w:val="center"/>
                        <w:rPr>
                          <w:rFonts w:ascii="宋体" w:hAnsi="宋体" w:cs="宋体" w:eastAsia="宋体" w:hint="default"/>
                          <w:sz w:val="18"/>
                          <w:szCs w:val="18"/>
                        </w:rPr>
                      </w:pPr>
                      <w:r>
                        <w:rPr>
                          <w:rFonts w:ascii="宋体" w:hAnsi="宋体" w:cs="宋体" w:eastAsia="宋体" w:hint="default"/>
                          <w:sz w:val="18"/>
                          <w:szCs w:val="18"/>
                        </w:rPr>
                        <w:t>期末数 </w:t>
                      </w:r>
                    </w:p>
                  </w:txbxContent>
                </v:textbox>
                <w10:wrap type="none"/>
              </v:shape>
              <v:shape style="position:absolute;left:755;top:109;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 </w:t>
                      </w:r>
                    </w:p>
                  </w:txbxContent>
                </v:textbox>
                <w10:wrap type="none"/>
              </v:shape>
              <v:shape style="position:absolute;left:7598;top:109;width:6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 </w:t>
                      </w:r>
                    </w:p>
                  </w:txbxContent>
                </v:textbox>
                <w10:wrap type="none"/>
              </v:shape>
            </v:group>
          </v:group>
        </w:pict>
      </w:r>
      <w:r>
        <w:rPr>
          <w:rFonts w:ascii="宋体" w:hAnsi="宋体" w:cs="宋体" w:eastAsia="宋体" w:hint="default"/>
          <w:position w:val="-7"/>
          <w:sz w:val="20"/>
          <w:szCs w:val="20"/>
        </w:rPr>
      </w:r>
    </w:p>
    <w:p>
      <w:pPr>
        <w:spacing w:after="0" w:line="400" w:lineRule="exact"/>
        <w:rPr>
          <w:rFonts w:ascii="宋体" w:hAnsi="宋体" w:cs="宋体" w:eastAsia="宋体" w:hint="default"/>
          <w:sz w:val="20"/>
          <w:szCs w:val="20"/>
        </w:rPr>
        <w:sectPr>
          <w:pgSz w:w="11910" w:h="16840"/>
          <w:pgMar w:header="877" w:footer="982" w:top="1100" w:bottom="1180" w:left="880" w:right="0"/>
        </w:sectPr>
      </w:pPr>
    </w:p>
    <w:p>
      <w:pPr>
        <w:spacing w:line="240" w:lineRule="auto" w:before="6"/>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1856"/>
        <w:gridCol w:w="1405"/>
        <w:gridCol w:w="1289"/>
        <w:gridCol w:w="1315"/>
        <w:gridCol w:w="1405"/>
        <w:gridCol w:w="1286"/>
        <w:gridCol w:w="1312"/>
      </w:tblGrid>
      <w:tr>
        <w:trPr>
          <w:trHeight w:val="359" w:hRule="exact"/>
        </w:trPr>
        <w:tc>
          <w:tcPr>
            <w:tcW w:w="1856" w:type="dxa"/>
            <w:tcBorders>
              <w:top w:val="single" w:sz="12" w:space="0" w:color="000000"/>
              <w:left w:val="nil" w:sz="6" w:space="0" w:color="auto"/>
              <w:bottom w:val="single" w:sz="4" w:space="0" w:color="000000"/>
              <w:right w:val="single" w:sz="4" w:space="0" w:color="000000"/>
            </w:tcBorders>
          </w:tcPr>
          <w:p>
            <w:pPr/>
          </w:p>
        </w:tc>
        <w:tc>
          <w:tcPr>
            <w:tcW w:w="140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3"/>
              <w:ind w:left="337"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128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3"/>
              <w:ind w:left="143" w:right="0"/>
              <w:jc w:val="left"/>
              <w:rPr>
                <w:rFonts w:ascii="宋体" w:hAnsi="宋体" w:cs="宋体" w:eastAsia="宋体" w:hint="default"/>
                <w:sz w:val="18"/>
                <w:szCs w:val="18"/>
              </w:rPr>
            </w:pPr>
            <w:r>
              <w:rPr>
                <w:rFonts w:ascii="宋体" w:hAnsi="宋体" w:cs="宋体" w:eastAsia="宋体" w:hint="default"/>
                <w:sz w:val="18"/>
                <w:szCs w:val="18"/>
              </w:rPr>
              <w:t>计提比例(%) </w:t>
            </w:r>
          </w:p>
        </w:tc>
        <w:tc>
          <w:tcPr>
            <w:tcW w:w="131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3"/>
              <w:ind w:left="292" w:right="0"/>
              <w:jc w:val="left"/>
              <w:rPr>
                <w:rFonts w:ascii="宋体" w:hAnsi="宋体" w:cs="宋体" w:eastAsia="宋体" w:hint="default"/>
                <w:sz w:val="18"/>
                <w:szCs w:val="18"/>
              </w:rPr>
            </w:pPr>
            <w:r>
              <w:rPr>
                <w:rFonts w:ascii="宋体" w:hAnsi="宋体" w:cs="宋体" w:eastAsia="宋体" w:hint="default"/>
                <w:sz w:val="18"/>
                <w:szCs w:val="18"/>
              </w:rPr>
              <w:t>坏账准备 </w:t>
            </w:r>
          </w:p>
        </w:tc>
        <w:tc>
          <w:tcPr>
            <w:tcW w:w="140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3"/>
              <w:ind w:left="337"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12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3"/>
              <w:ind w:left="91" w:right="0"/>
              <w:jc w:val="center"/>
              <w:rPr>
                <w:rFonts w:ascii="宋体" w:hAnsi="宋体" w:cs="宋体" w:eastAsia="宋体" w:hint="default"/>
                <w:sz w:val="18"/>
                <w:szCs w:val="18"/>
              </w:rPr>
            </w:pPr>
            <w:r>
              <w:rPr>
                <w:rFonts w:ascii="宋体" w:hAnsi="宋体" w:cs="宋体" w:eastAsia="宋体" w:hint="default"/>
                <w:sz w:val="18"/>
                <w:szCs w:val="18"/>
              </w:rPr>
              <w:t>计提比例(%) </w:t>
            </w:r>
          </w:p>
        </w:tc>
        <w:tc>
          <w:tcPr>
            <w:tcW w:w="131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3"/>
              <w:ind w:left="290" w:right="0"/>
              <w:jc w:val="left"/>
              <w:rPr>
                <w:rFonts w:ascii="宋体" w:hAnsi="宋体" w:cs="宋体" w:eastAsia="宋体" w:hint="default"/>
                <w:sz w:val="18"/>
                <w:szCs w:val="18"/>
              </w:rPr>
            </w:pPr>
            <w:r>
              <w:rPr>
                <w:rFonts w:ascii="宋体" w:hAnsi="宋体" w:cs="宋体" w:eastAsia="宋体" w:hint="default"/>
                <w:sz w:val="18"/>
                <w:szCs w:val="18"/>
              </w:rPr>
              <w:t>坏账准备 </w:t>
            </w:r>
          </w:p>
        </w:tc>
      </w:tr>
      <w:tr>
        <w:trPr>
          <w:trHeight w:val="350" w:hRule="exact"/>
        </w:trPr>
        <w:tc>
          <w:tcPr>
            <w:tcW w:w="18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 </w:t>
            </w:r>
          </w:p>
        </w:tc>
        <w:tc>
          <w:tcPr>
            <w:tcW w:w="140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
        </w:tc>
        <w:tc>
          <w:tcPr>
            <w:tcW w:w="1405"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1312" w:type="dxa"/>
            <w:tcBorders>
              <w:top w:val="single" w:sz="4" w:space="0" w:color="000000"/>
              <w:left w:val="single" w:sz="4" w:space="0" w:color="000000"/>
              <w:bottom w:val="single" w:sz="4" w:space="0" w:color="000000"/>
              <w:right w:val="nil" w:sz="6" w:space="0" w:color="auto"/>
            </w:tcBorders>
          </w:tcPr>
          <w:p>
            <w:pPr/>
          </w:p>
        </w:tc>
      </w:tr>
      <w:tr>
        <w:trPr>
          <w:trHeight w:val="402" w:hRule="exact"/>
        </w:trPr>
        <w:tc>
          <w:tcPr>
            <w:tcW w:w="18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其中：0.5</w:t>
            </w:r>
            <w:r>
              <w:rPr>
                <w:rFonts w:ascii="宋体" w:hAnsi="宋体" w:cs="宋体" w:eastAsia="宋体" w:hint="default"/>
                <w:spacing w:val="-46"/>
                <w:sz w:val="18"/>
                <w:szCs w:val="18"/>
              </w:rPr>
              <w:t> </w:t>
            </w:r>
            <w:r>
              <w:rPr>
                <w:rFonts w:ascii="宋体" w:hAnsi="宋体" w:cs="宋体" w:eastAsia="宋体" w:hint="default"/>
                <w:sz w:val="18"/>
                <w:szCs w:val="18"/>
              </w:rPr>
              <w:t>年以内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0" w:right="0"/>
              <w:jc w:val="left"/>
              <w:rPr>
                <w:rFonts w:ascii="Arial" w:hAnsi="Arial" w:cs="Arial" w:eastAsia="Arial" w:hint="default"/>
                <w:sz w:val="18"/>
                <w:szCs w:val="18"/>
              </w:rPr>
            </w:pPr>
            <w:r>
              <w:rPr>
                <w:rFonts w:ascii="Arial"/>
                <w:spacing w:val="-3"/>
                <w:w w:val="90"/>
                <w:sz w:val="18"/>
              </w:rPr>
              <w:t>87,115,524.40</w:t>
            </w:r>
            <w:r>
              <w:rPr>
                <w:rFonts w:ascii="Arial"/>
                <w:spacing w:val="-3"/>
                <w:sz w:val="18"/>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Arial" w:hAnsi="Arial" w:cs="Arial" w:eastAsia="Arial" w:hint="default"/>
                <w:sz w:val="18"/>
                <w:szCs w:val="18"/>
              </w:rPr>
            </w:pPr>
            <w:r>
              <w:rPr>
                <w:rFonts w:ascii="Arial"/>
                <w:w w:val="90"/>
                <w:sz w:val="18"/>
              </w:rPr>
              <w:t>2.00</w:t>
            </w:r>
            <w:r>
              <w:rPr>
                <w:rFonts w:ascii="Arial"/>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1" w:right="0"/>
              <w:jc w:val="left"/>
              <w:rPr>
                <w:rFonts w:ascii="Arial" w:hAnsi="Arial" w:cs="Arial" w:eastAsia="Arial" w:hint="default"/>
                <w:sz w:val="18"/>
                <w:szCs w:val="18"/>
              </w:rPr>
            </w:pPr>
            <w:r>
              <w:rPr>
                <w:rFonts w:ascii="Arial"/>
                <w:w w:val="90"/>
                <w:sz w:val="18"/>
              </w:rPr>
              <w:t>1,742,310.47</w:t>
            </w:r>
            <w:r>
              <w:rPr>
                <w:rFonts w:ascii="Arial"/>
                <w:sz w:val="18"/>
              </w:rPr>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282,317,317.70</w:t>
            </w:r>
            <w:r>
              <w:rPr>
                <w:rFonts w:ascii="Arial"/>
                <w:sz w:val="18"/>
              </w:rPr>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Arial" w:hAnsi="Arial" w:cs="Arial" w:eastAsia="Arial" w:hint="default"/>
                <w:sz w:val="18"/>
                <w:szCs w:val="18"/>
              </w:rPr>
            </w:pPr>
            <w:r>
              <w:rPr>
                <w:rFonts w:ascii="Arial"/>
                <w:w w:val="90"/>
                <w:sz w:val="18"/>
              </w:rPr>
              <w:t>2.00</w:t>
            </w:r>
            <w:r>
              <w:rPr>
                <w:rFonts w:ascii="Arial"/>
                <w:sz w:val="18"/>
              </w:rPr>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107"/>
              <w:jc w:val="right"/>
              <w:rPr>
                <w:rFonts w:ascii="Arial" w:hAnsi="Arial" w:cs="Arial" w:eastAsia="Arial" w:hint="default"/>
                <w:sz w:val="18"/>
                <w:szCs w:val="18"/>
              </w:rPr>
            </w:pPr>
            <w:r>
              <w:rPr>
                <w:rFonts w:ascii="Arial"/>
                <w:spacing w:val="-1"/>
                <w:w w:val="80"/>
                <w:sz w:val="18"/>
              </w:rPr>
              <w:t>5,646,346.36</w:t>
            </w:r>
            <w:r>
              <w:rPr>
                <w:rFonts w:ascii="Arial"/>
                <w:sz w:val="18"/>
              </w:rPr>
            </w:r>
          </w:p>
        </w:tc>
      </w:tr>
      <w:tr>
        <w:trPr>
          <w:trHeight w:val="402" w:hRule="exact"/>
        </w:trPr>
        <w:tc>
          <w:tcPr>
            <w:tcW w:w="18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0.5-1</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0" w:right="0"/>
              <w:jc w:val="left"/>
              <w:rPr>
                <w:rFonts w:ascii="Arial" w:hAnsi="Arial" w:cs="Arial" w:eastAsia="Arial" w:hint="default"/>
                <w:sz w:val="18"/>
                <w:szCs w:val="18"/>
              </w:rPr>
            </w:pPr>
            <w:r>
              <w:rPr>
                <w:rFonts w:ascii="Arial"/>
                <w:spacing w:val="-3"/>
                <w:w w:val="90"/>
                <w:sz w:val="18"/>
              </w:rPr>
              <w:t>22,173,411.42</w:t>
            </w:r>
            <w:r>
              <w:rPr>
                <w:rFonts w:ascii="Arial"/>
                <w:spacing w:val="-3"/>
                <w:sz w:val="18"/>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Arial" w:hAnsi="Arial" w:cs="Arial" w:eastAsia="Arial" w:hint="default"/>
                <w:sz w:val="18"/>
                <w:szCs w:val="18"/>
              </w:rPr>
            </w:pPr>
            <w:r>
              <w:rPr>
                <w:rFonts w:ascii="Arial"/>
                <w:w w:val="90"/>
                <w:sz w:val="18"/>
              </w:rPr>
              <w:t>5.00</w:t>
            </w:r>
            <w:r>
              <w:rPr>
                <w:rFonts w:ascii="Arial"/>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1" w:right="0"/>
              <w:jc w:val="left"/>
              <w:rPr>
                <w:rFonts w:ascii="Arial" w:hAnsi="Arial" w:cs="Arial" w:eastAsia="Arial" w:hint="default"/>
                <w:sz w:val="18"/>
                <w:szCs w:val="18"/>
              </w:rPr>
            </w:pPr>
            <w:r>
              <w:rPr>
                <w:rFonts w:ascii="Arial"/>
                <w:w w:val="90"/>
                <w:sz w:val="18"/>
              </w:rPr>
              <w:t>1,108,670.58</w:t>
            </w:r>
            <w:r>
              <w:rPr>
                <w:rFonts w:ascii="Arial"/>
                <w:sz w:val="18"/>
              </w:rPr>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41,148,766.36</w:t>
            </w:r>
            <w:r>
              <w:rPr>
                <w:rFonts w:ascii="Arial"/>
                <w:spacing w:val="-1"/>
                <w:sz w:val="18"/>
              </w:rPr>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Arial" w:hAnsi="Arial" w:cs="Arial" w:eastAsia="Arial" w:hint="default"/>
                <w:sz w:val="18"/>
                <w:szCs w:val="18"/>
              </w:rPr>
            </w:pPr>
            <w:r>
              <w:rPr>
                <w:rFonts w:ascii="Arial"/>
                <w:w w:val="90"/>
                <w:sz w:val="18"/>
              </w:rPr>
              <w:t>5.00</w:t>
            </w:r>
            <w:r>
              <w:rPr>
                <w:rFonts w:ascii="Arial"/>
                <w:sz w:val="18"/>
              </w:rPr>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107"/>
              <w:jc w:val="right"/>
              <w:rPr>
                <w:rFonts w:ascii="Arial" w:hAnsi="Arial" w:cs="Arial" w:eastAsia="Arial" w:hint="default"/>
                <w:sz w:val="18"/>
                <w:szCs w:val="18"/>
              </w:rPr>
            </w:pPr>
            <w:r>
              <w:rPr>
                <w:rFonts w:ascii="Arial"/>
                <w:spacing w:val="-1"/>
                <w:w w:val="80"/>
                <w:sz w:val="18"/>
              </w:rPr>
              <w:t>2,057,438.32</w:t>
            </w:r>
            <w:r>
              <w:rPr>
                <w:rFonts w:ascii="Arial"/>
                <w:sz w:val="18"/>
              </w:rPr>
            </w:r>
          </w:p>
        </w:tc>
      </w:tr>
      <w:tr>
        <w:trPr>
          <w:trHeight w:val="402" w:hRule="exact"/>
        </w:trPr>
        <w:tc>
          <w:tcPr>
            <w:tcW w:w="18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年以内小计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109,288,935.82</w:t>
            </w:r>
            <w:r>
              <w:rPr>
                <w:rFonts w:ascii="Arial"/>
                <w:sz w:val="18"/>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2,850,981.05</w:t>
            </w:r>
            <w:r>
              <w:rPr>
                <w:rFonts w:ascii="Arial"/>
                <w:sz w:val="18"/>
              </w:rPr>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323,466,084.06</w:t>
            </w:r>
            <w:r>
              <w:rPr>
                <w:rFonts w:ascii="Arial"/>
                <w:sz w:val="18"/>
              </w:rPr>
            </w:r>
          </w:p>
        </w:tc>
        <w:tc>
          <w:tcPr>
            <w:tcW w:w="1286" w:type="dxa"/>
            <w:tcBorders>
              <w:top w:val="single" w:sz="4" w:space="0" w:color="000000"/>
              <w:left w:val="single" w:sz="4" w:space="0" w:color="000000"/>
              <w:bottom w:val="single" w:sz="4" w:space="0" w:color="000000"/>
              <w:right w:val="single" w:sz="4" w:space="0" w:color="000000"/>
            </w:tcBorders>
          </w:tcPr>
          <w:p>
            <w:pP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107"/>
              <w:jc w:val="right"/>
              <w:rPr>
                <w:rFonts w:ascii="Arial" w:hAnsi="Arial" w:cs="Arial" w:eastAsia="Arial" w:hint="default"/>
                <w:sz w:val="18"/>
                <w:szCs w:val="18"/>
              </w:rPr>
            </w:pPr>
            <w:r>
              <w:rPr>
                <w:rFonts w:ascii="Arial"/>
                <w:spacing w:val="-1"/>
                <w:w w:val="80"/>
                <w:sz w:val="18"/>
              </w:rPr>
              <w:t>7,703,784.68</w:t>
            </w:r>
            <w:r>
              <w:rPr>
                <w:rFonts w:ascii="Arial"/>
                <w:sz w:val="18"/>
              </w:rPr>
            </w:r>
          </w:p>
        </w:tc>
      </w:tr>
      <w:tr>
        <w:trPr>
          <w:trHeight w:val="402" w:hRule="exact"/>
        </w:trPr>
        <w:tc>
          <w:tcPr>
            <w:tcW w:w="18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pacing w:val="29"/>
                <w:sz w:val="18"/>
                <w:szCs w:val="18"/>
              </w:rPr>
              <w:t>1至2</w:t>
            </w:r>
            <w:r>
              <w:rPr>
                <w:rFonts w:ascii="宋体" w:hAnsi="宋体" w:cs="宋体" w:eastAsia="宋体" w:hint="default"/>
                <w:spacing w:val="-45"/>
                <w:sz w:val="18"/>
                <w:szCs w:val="18"/>
              </w:rPr>
              <w:t> </w:t>
            </w:r>
            <w:r>
              <w:rPr>
                <w:rFonts w:ascii="宋体" w:hAnsi="宋体" w:cs="宋体" w:eastAsia="宋体" w:hint="default"/>
                <w:sz w:val="18"/>
                <w:szCs w:val="18"/>
              </w:rPr>
              <w:t>年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175,667,526.98</w:t>
            </w:r>
            <w:r>
              <w:rPr>
                <w:rFonts w:ascii="Arial"/>
                <w:sz w:val="18"/>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Arial" w:hAnsi="Arial" w:cs="Arial" w:eastAsia="Arial" w:hint="default"/>
                <w:sz w:val="18"/>
                <w:szCs w:val="18"/>
              </w:rPr>
            </w:pPr>
            <w:r>
              <w:rPr>
                <w:rFonts w:ascii="Arial"/>
                <w:w w:val="90"/>
                <w:sz w:val="18"/>
              </w:rPr>
              <w:t>10.00</w:t>
            </w:r>
            <w:r>
              <w:rPr>
                <w:rFonts w:ascii="Arial"/>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17,566,752.70</w:t>
            </w:r>
            <w:r>
              <w:rPr>
                <w:rFonts w:ascii="Arial"/>
                <w:spacing w:val="-1"/>
                <w:sz w:val="18"/>
              </w:rPr>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7,010,645.53</w:t>
            </w:r>
            <w:r>
              <w:rPr>
                <w:rFonts w:ascii="Arial"/>
                <w:sz w:val="18"/>
              </w:rPr>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Arial" w:hAnsi="Arial" w:cs="Arial" w:eastAsia="Arial" w:hint="default"/>
                <w:sz w:val="18"/>
                <w:szCs w:val="18"/>
              </w:rPr>
            </w:pPr>
            <w:r>
              <w:rPr>
                <w:rFonts w:ascii="Arial"/>
                <w:w w:val="90"/>
                <w:sz w:val="18"/>
              </w:rPr>
              <w:t>10.00</w:t>
            </w:r>
            <w:r>
              <w:rPr>
                <w:rFonts w:ascii="Arial"/>
                <w:sz w:val="18"/>
              </w:rPr>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107"/>
              <w:jc w:val="right"/>
              <w:rPr>
                <w:rFonts w:ascii="Arial" w:hAnsi="Arial" w:cs="Arial" w:eastAsia="Arial" w:hint="default"/>
                <w:sz w:val="18"/>
                <w:szCs w:val="18"/>
              </w:rPr>
            </w:pPr>
            <w:r>
              <w:rPr>
                <w:rFonts w:ascii="Arial"/>
                <w:spacing w:val="-1"/>
                <w:w w:val="80"/>
                <w:sz w:val="18"/>
              </w:rPr>
              <w:t>701,064.56</w:t>
            </w:r>
            <w:r>
              <w:rPr>
                <w:rFonts w:ascii="Arial"/>
                <w:spacing w:val="-1"/>
                <w:sz w:val="18"/>
              </w:rPr>
            </w:r>
          </w:p>
        </w:tc>
      </w:tr>
      <w:tr>
        <w:trPr>
          <w:trHeight w:val="402" w:hRule="exact"/>
        </w:trPr>
        <w:tc>
          <w:tcPr>
            <w:tcW w:w="18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pacing w:val="29"/>
                <w:sz w:val="18"/>
                <w:szCs w:val="18"/>
              </w:rPr>
              <w:t>2至3</w:t>
            </w:r>
            <w:r>
              <w:rPr>
                <w:rFonts w:ascii="宋体" w:hAnsi="宋体" w:cs="宋体" w:eastAsia="宋体" w:hint="default"/>
                <w:spacing w:val="-45"/>
                <w:sz w:val="18"/>
                <w:szCs w:val="18"/>
              </w:rPr>
              <w:t> </w:t>
            </w:r>
            <w:r>
              <w:rPr>
                <w:rFonts w:ascii="宋体" w:hAnsi="宋体" w:cs="宋体" w:eastAsia="宋体" w:hint="default"/>
                <w:sz w:val="18"/>
                <w:szCs w:val="18"/>
              </w:rPr>
              <w:t>年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1,440,528.64</w:t>
            </w:r>
            <w:r>
              <w:rPr>
                <w:rFonts w:ascii="Arial"/>
                <w:sz w:val="18"/>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Arial" w:hAnsi="Arial" w:cs="Arial" w:eastAsia="Arial" w:hint="default"/>
                <w:sz w:val="18"/>
                <w:szCs w:val="18"/>
              </w:rPr>
            </w:pPr>
            <w:r>
              <w:rPr>
                <w:rFonts w:ascii="Arial"/>
                <w:w w:val="90"/>
                <w:sz w:val="18"/>
              </w:rPr>
              <w:t>30.00</w:t>
            </w:r>
            <w:r>
              <w:rPr>
                <w:rFonts w:ascii="Arial"/>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432,158.59</w:t>
            </w:r>
            <w:r>
              <w:rPr>
                <w:rFonts w:ascii="Arial"/>
                <w:spacing w:val="-1"/>
                <w:sz w:val="18"/>
              </w:rPr>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141,121.31</w:t>
            </w:r>
            <w:r>
              <w:rPr>
                <w:rFonts w:ascii="Arial"/>
                <w:spacing w:val="-1"/>
                <w:sz w:val="18"/>
              </w:rPr>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Arial" w:hAnsi="Arial" w:cs="Arial" w:eastAsia="Arial" w:hint="default"/>
                <w:sz w:val="18"/>
                <w:szCs w:val="18"/>
              </w:rPr>
            </w:pPr>
            <w:r>
              <w:rPr>
                <w:rFonts w:ascii="Arial"/>
                <w:w w:val="90"/>
                <w:sz w:val="18"/>
              </w:rPr>
              <w:t>30.00</w:t>
            </w:r>
            <w:r>
              <w:rPr>
                <w:rFonts w:ascii="Arial"/>
                <w:sz w:val="18"/>
              </w:rPr>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107"/>
              <w:jc w:val="right"/>
              <w:rPr>
                <w:rFonts w:ascii="Arial" w:hAnsi="Arial" w:cs="Arial" w:eastAsia="Arial" w:hint="default"/>
                <w:sz w:val="18"/>
                <w:szCs w:val="18"/>
              </w:rPr>
            </w:pPr>
            <w:r>
              <w:rPr>
                <w:rFonts w:ascii="Arial"/>
                <w:spacing w:val="-1"/>
                <w:w w:val="80"/>
                <w:sz w:val="18"/>
              </w:rPr>
              <w:t>42,336.40</w:t>
            </w:r>
            <w:r>
              <w:rPr>
                <w:rFonts w:ascii="Arial"/>
                <w:sz w:val="18"/>
              </w:rPr>
            </w:r>
          </w:p>
        </w:tc>
      </w:tr>
      <w:tr>
        <w:trPr>
          <w:trHeight w:val="402" w:hRule="exact"/>
        </w:trPr>
        <w:tc>
          <w:tcPr>
            <w:tcW w:w="18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1,748,634.75</w:t>
            </w:r>
            <w:r>
              <w:rPr>
                <w:rFonts w:ascii="Arial"/>
                <w:sz w:val="18"/>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3" w:right="0"/>
              <w:jc w:val="left"/>
              <w:rPr>
                <w:rFonts w:ascii="Arial" w:hAnsi="Arial" w:cs="Arial" w:eastAsia="Arial" w:hint="default"/>
                <w:sz w:val="18"/>
                <w:szCs w:val="18"/>
              </w:rPr>
            </w:pPr>
            <w:r>
              <w:rPr>
                <w:rFonts w:ascii="Arial"/>
                <w:w w:val="90"/>
                <w:sz w:val="18"/>
              </w:rPr>
              <w:t>100.00</w:t>
            </w:r>
            <w:r>
              <w:rPr>
                <w:rFonts w:ascii="Arial"/>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1,748,634.75</w:t>
            </w:r>
            <w:r>
              <w:rPr>
                <w:rFonts w:ascii="Arial"/>
                <w:sz w:val="18"/>
              </w:rPr>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1,669,294.66</w:t>
            </w:r>
            <w:r>
              <w:rPr>
                <w:rFonts w:ascii="Arial"/>
                <w:sz w:val="18"/>
              </w:rPr>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
              <w:jc w:val="center"/>
              <w:rPr>
                <w:rFonts w:ascii="Arial" w:hAnsi="Arial" w:cs="Arial" w:eastAsia="Arial" w:hint="default"/>
                <w:sz w:val="18"/>
                <w:szCs w:val="18"/>
              </w:rPr>
            </w:pPr>
            <w:r>
              <w:rPr>
                <w:rFonts w:ascii="Arial"/>
                <w:w w:val="90"/>
                <w:sz w:val="18"/>
              </w:rPr>
              <w:t>100.00</w:t>
            </w:r>
            <w:r>
              <w:rPr>
                <w:rFonts w:ascii="Arial"/>
                <w:sz w:val="18"/>
              </w:rPr>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107"/>
              <w:jc w:val="right"/>
              <w:rPr>
                <w:rFonts w:ascii="Arial" w:hAnsi="Arial" w:cs="Arial" w:eastAsia="Arial" w:hint="default"/>
                <w:sz w:val="18"/>
                <w:szCs w:val="18"/>
              </w:rPr>
            </w:pPr>
            <w:r>
              <w:rPr>
                <w:rFonts w:ascii="Arial"/>
                <w:spacing w:val="-1"/>
                <w:w w:val="80"/>
                <w:sz w:val="18"/>
              </w:rPr>
              <w:t>1,669,294.66</w:t>
            </w:r>
            <w:r>
              <w:rPr>
                <w:rFonts w:ascii="Arial"/>
                <w:sz w:val="18"/>
              </w:rPr>
            </w:r>
          </w:p>
        </w:tc>
      </w:tr>
      <w:tr>
        <w:trPr>
          <w:trHeight w:val="412" w:hRule="exact"/>
        </w:trPr>
        <w:tc>
          <w:tcPr>
            <w:tcW w:w="185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0"/>
              <w:ind w:left="10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140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288,145,626.19</w:t>
            </w:r>
            <w:r>
              <w:rPr>
                <w:rFonts w:ascii="Arial"/>
                <w:sz w:val="18"/>
              </w:rPr>
            </w:r>
          </w:p>
        </w:tc>
        <w:tc>
          <w:tcPr>
            <w:tcW w:w="1289" w:type="dxa"/>
            <w:tcBorders>
              <w:top w:val="single" w:sz="4" w:space="0" w:color="000000"/>
              <w:left w:val="single" w:sz="4" w:space="0" w:color="000000"/>
              <w:bottom w:val="single" w:sz="12" w:space="0" w:color="000000"/>
              <w:right w:val="single" w:sz="4" w:space="0" w:color="000000"/>
            </w:tcBorders>
          </w:tcPr>
          <w:p>
            <w:pPr/>
          </w:p>
        </w:tc>
        <w:tc>
          <w:tcPr>
            <w:tcW w:w="131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22,598,527.09</w:t>
            </w:r>
            <w:r>
              <w:rPr>
                <w:rFonts w:ascii="Arial"/>
                <w:spacing w:val="-1"/>
                <w:sz w:val="18"/>
              </w:rPr>
            </w:r>
          </w:p>
        </w:tc>
        <w:tc>
          <w:tcPr>
            <w:tcW w:w="140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332,287,145.56</w:t>
            </w:r>
            <w:r>
              <w:rPr>
                <w:rFonts w:ascii="Arial"/>
                <w:sz w:val="18"/>
              </w:rPr>
            </w:r>
          </w:p>
        </w:tc>
        <w:tc>
          <w:tcPr>
            <w:tcW w:w="1286" w:type="dxa"/>
            <w:tcBorders>
              <w:top w:val="single" w:sz="4" w:space="0" w:color="000000"/>
              <w:left w:val="single" w:sz="4" w:space="0" w:color="000000"/>
              <w:bottom w:val="single" w:sz="12" w:space="0" w:color="000000"/>
              <w:right w:val="single" w:sz="4" w:space="0" w:color="000000"/>
            </w:tcBorders>
          </w:tcPr>
          <w:p>
            <w:pPr/>
          </w:p>
        </w:tc>
        <w:tc>
          <w:tcPr>
            <w:tcW w:w="131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9"/>
              <w:ind w:right="106"/>
              <w:jc w:val="right"/>
              <w:rPr>
                <w:rFonts w:ascii="Arial" w:hAnsi="Arial" w:cs="Arial" w:eastAsia="Arial" w:hint="default"/>
                <w:sz w:val="18"/>
                <w:szCs w:val="18"/>
              </w:rPr>
            </w:pPr>
            <w:r>
              <w:rPr>
                <w:rFonts w:ascii="Arial"/>
                <w:spacing w:val="-1"/>
                <w:w w:val="80"/>
                <w:sz w:val="18"/>
              </w:rPr>
              <w:t>10,116,480.30</w:t>
            </w:r>
            <w:r>
              <w:rPr>
                <w:rFonts w:ascii="Arial"/>
                <w:spacing w:val="-1"/>
                <w:sz w:val="18"/>
              </w:rPr>
            </w:r>
          </w:p>
        </w:tc>
      </w:tr>
    </w:tbl>
    <w:p>
      <w:pPr>
        <w:spacing w:line="360" w:lineRule="auto" w:before="51"/>
        <w:ind w:left="253" w:right="1751"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如是按照预期信用损失一般模型计提应收账款坏账准备，请参照其他应收款的披露方式披露坏账准备的相关信息：</w:t>
      </w:r>
    </w:p>
    <w:p>
      <w:pPr>
        <w:spacing w:line="338" w:lineRule="auto" w:before="26"/>
        <w:ind w:left="254" w:right="855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按账龄披露</w:t>
      </w:r>
    </w:p>
    <w:p>
      <w:pPr>
        <w:spacing w:before="43"/>
        <w:ind w:left="0" w:right="1129"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249" w:type="dxa"/>
        <w:tblLayout w:type="fixed"/>
        <w:tblCellMar>
          <w:top w:w="0" w:type="dxa"/>
          <w:left w:w="0" w:type="dxa"/>
          <w:bottom w:w="0" w:type="dxa"/>
          <w:right w:w="0" w:type="dxa"/>
        </w:tblCellMar>
        <w:tblLook w:val="01E0"/>
      </w:tblPr>
      <w:tblGrid>
        <w:gridCol w:w="4784"/>
        <w:gridCol w:w="4783"/>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109,288,935.82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87,115,524.40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22,173,411.42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178,567,526.97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1,440,528.64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10,901,184.09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10,901,184.09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300,198,175.52</w:t>
            </w:r>
          </w:p>
        </w:tc>
      </w:tr>
    </w:tbl>
    <w:p>
      <w:pPr>
        <w:spacing w:line="240" w:lineRule="auto" w:before="2"/>
        <w:rPr>
          <w:rFonts w:ascii="宋体" w:hAnsi="宋体" w:cs="宋体" w:eastAsia="宋体" w:hint="default"/>
          <w:sz w:val="19"/>
          <w:szCs w:val="19"/>
        </w:rPr>
      </w:pPr>
    </w:p>
    <w:p>
      <w:pPr>
        <w:pStyle w:val="Heading4"/>
        <w:spacing w:line="240" w:lineRule="auto" w:before="35"/>
        <w:ind w:left="254" w:right="1013"/>
        <w:jc w:val="left"/>
        <w:rPr>
          <w:b w:val="0"/>
          <w:bCs w:val="0"/>
        </w:rPr>
      </w:pPr>
      <w:r>
        <w:rPr/>
        <w:t>（</w:t>
      </w:r>
      <w:r>
        <w:rPr>
          <w:rFonts w:ascii="Times New Roman" w:hAnsi="Times New Roman" w:cs="Times New Roman" w:eastAsia="Times New Roman" w:hint="default"/>
        </w:rPr>
        <w:t>2</w:t>
      </w:r>
      <w:r>
        <w:rPr/>
        <w:t>）按欠款方归集的期末余额前五名的应收账款情况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49" w:type="dxa"/>
        <w:tblLayout w:type="fixed"/>
        <w:tblCellMar>
          <w:top w:w="0" w:type="dxa"/>
          <w:left w:w="0" w:type="dxa"/>
          <w:bottom w:w="0" w:type="dxa"/>
          <w:right w:w="0" w:type="dxa"/>
        </w:tblCellMar>
        <w:tblLook w:val="01E0"/>
      </w:tblPr>
      <w:tblGrid>
        <w:gridCol w:w="2410"/>
        <w:gridCol w:w="2411"/>
        <w:gridCol w:w="2977"/>
        <w:gridCol w:w="1770"/>
      </w:tblGrid>
      <w:tr>
        <w:trPr>
          <w:trHeight w:val="402" w:hRule="exact"/>
        </w:trPr>
        <w:tc>
          <w:tcPr>
            <w:tcW w:w="24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81"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33" w:right="0"/>
              <w:jc w:val="left"/>
              <w:rPr>
                <w:rFonts w:ascii="宋体" w:hAnsi="宋体" w:cs="宋体" w:eastAsia="宋体" w:hint="default"/>
                <w:sz w:val="18"/>
                <w:szCs w:val="18"/>
              </w:rPr>
            </w:pPr>
            <w:r>
              <w:rPr>
                <w:rFonts w:ascii="宋体" w:hAnsi="宋体" w:cs="宋体" w:eastAsia="宋体" w:hint="default"/>
                <w:sz w:val="18"/>
                <w:szCs w:val="18"/>
              </w:rPr>
              <w:t>占应收账款期末余额合计数的比例</w:t>
            </w:r>
          </w:p>
        </w:tc>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59"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5"/>
              <w:jc w:val="left"/>
              <w:rPr>
                <w:rFonts w:ascii="宋体" w:hAnsi="宋体" w:cs="宋体" w:eastAsia="宋体" w:hint="default"/>
                <w:sz w:val="18"/>
                <w:szCs w:val="18"/>
              </w:rPr>
            </w:pPr>
            <w:r>
              <w:rPr>
                <w:rFonts w:ascii="宋体" w:hAnsi="宋体" w:cs="宋体" w:eastAsia="宋体" w:hint="default"/>
                <w:sz w:val="18"/>
                <w:szCs w:val="18"/>
              </w:rPr>
              <w:t>霍尔果斯向日葵影视文化有限 公司</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72,250,000.00</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24.07%</w:t>
            </w:r>
            <w:r>
              <w:rPr>
                <w:rFonts w:ascii="Times New Roman"/>
                <w:sz w:val="18"/>
              </w:rPr>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7,225,000.00</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浙江天意影视有限公司</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63,376,000.18</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21.11%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6,337,600.02</w:t>
            </w:r>
          </w:p>
        </w:tc>
      </w:tr>
      <w:tr>
        <w:trPr>
          <w:trHeight w:val="71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5"/>
              <w:jc w:val="left"/>
              <w:rPr>
                <w:rFonts w:ascii="宋体" w:hAnsi="宋体" w:cs="宋体" w:eastAsia="宋体" w:hint="default"/>
                <w:sz w:val="18"/>
                <w:szCs w:val="18"/>
              </w:rPr>
            </w:pPr>
            <w:r>
              <w:rPr>
                <w:rFonts w:ascii="宋体" w:hAnsi="宋体" w:cs="宋体" w:eastAsia="宋体" w:hint="default"/>
                <w:sz w:val="18"/>
                <w:szCs w:val="18"/>
              </w:rPr>
              <w:t>北京绿芽新培文化传播有限责 任公司</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17,249,990.00</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5.75%</w:t>
            </w:r>
            <w:r>
              <w:rPr>
                <w:rFonts w:ascii="Times New Roman"/>
                <w:sz w:val="18"/>
              </w:rPr>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344,999.80</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成都次世代科技有限公司</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11,072,587.45</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3.69%</w:t>
            </w:r>
            <w:r>
              <w:rPr>
                <w:rFonts w:ascii="Times New Roman"/>
                <w:sz w:val="18"/>
              </w:rPr>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869,452.06</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杭州游嬉久网络科技有限公司</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9,848,430.57</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3.28%</w:t>
            </w:r>
            <w:r>
              <w:rPr>
                <w:rFonts w:ascii="Times New Roman"/>
                <w:sz w:val="18"/>
              </w:rPr>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264,886.52</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173,797,008.20</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57.90%</w:t>
            </w:r>
            <w:r>
              <w:rPr>
                <w:rFonts w:ascii="Times New Roman"/>
                <w:sz w:val="18"/>
              </w:rPr>
            </w:r>
          </w:p>
        </w:tc>
        <w:tc>
          <w:tcPr>
            <w:tcW w:w="1770"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spacing w:after="0"/>
        <w:sectPr>
          <w:pgSz w:w="11910" w:h="16840"/>
          <w:pgMar w:header="877" w:footer="982" w:top="1100" w:bottom="1180" w:left="880" w:right="0"/>
        </w:sectPr>
      </w:pPr>
    </w:p>
    <w:p>
      <w:pPr>
        <w:spacing w:line="240" w:lineRule="auto" w:before="13"/>
        <w:rPr>
          <w:rFonts w:ascii="宋体" w:hAnsi="宋体" w:cs="宋体" w:eastAsia="宋体" w:hint="default"/>
          <w:sz w:val="21"/>
          <w:szCs w:val="21"/>
        </w:rPr>
      </w:pPr>
    </w:p>
    <w:p>
      <w:pPr>
        <w:spacing w:before="44"/>
        <w:ind w:left="213" w:right="11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left="214" w:right="1113"/>
        <w:jc w:val="left"/>
        <w:rPr>
          <w:b w:val="0"/>
          <w:bCs w:val="0"/>
        </w:rPr>
      </w:pPr>
      <w:r>
        <w:rPr>
          <w:rFonts w:ascii="Times New Roman" w:hAnsi="Times New Roman" w:cs="Times New Roman" w:eastAsia="Times New Roman" w:hint="default"/>
        </w:rPr>
        <w:t>5</w:t>
      </w:r>
      <w:r>
        <w:rPr/>
        <w:t>、预付款项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214" w:right="1113"/>
        <w:jc w:val="left"/>
        <w:rPr>
          <w:b w:val="0"/>
          <w:bCs w:val="0"/>
        </w:rPr>
      </w:pPr>
      <w:r>
        <w:rPr/>
        <w:t>（</w:t>
      </w:r>
      <w:r>
        <w:rPr>
          <w:rFonts w:ascii="Times New Roman" w:hAnsi="Times New Roman" w:cs="Times New Roman" w:eastAsia="Times New Roman" w:hint="default"/>
        </w:rPr>
        <w:t>1</w:t>
      </w:r>
      <w:r>
        <w:rPr/>
        <w:t>）预付款项按账龄列示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1912"/>
        <w:gridCol w:w="1915"/>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3D3D3"/>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5,679,389.47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49.82%</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9,541,934.48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79.50%</w:t>
            </w:r>
            <w:r>
              <w:rPr>
                <w:rFonts w:ascii="Times New Roman"/>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5,524,920.81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48.47%</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2,106,166.59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17.55%</w:t>
            </w:r>
            <w:r>
              <w:rPr>
                <w:rFonts w:ascii="Times New Roman"/>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191,654.45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1.68%</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6,098.01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0.05%</w:t>
            </w:r>
            <w:r>
              <w:rPr>
                <w:rFonts w:ascii="Times New Roman"/>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3,098.01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0.03%</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347,536.80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2.90%</w:t>
            </w:r>
            <w:r>
              <w:rPr>
                <w:rFonts w:ascii="Times New Roman"/>
                <w:sz w:val="18"/>
              </w:rPr>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11,399,062.74</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12,001,735.88</w:t>
            </w: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214" w:right="1113" w:firstLine="0"/>
        <w:jc w:val="left"/>
        <w:rPr>
          <w:rFonts w:ascii="宋体" w:hAnsi="宋体" w:cs="宋体" w:eastAsia="宋体" w:hint="default"/>
          <w:sz w:val="18"/>
          <w:szCs w:val="18"/>
        </w:rPr>
      </w:pP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年且金额重要的预付款项未及时结算原因的说明：</w:t>
      </w:r>
    </w:p>
    <w:p>
      <w:pPr>
        <w:spacing w:line="240" w:lineRule="auto" w:before="9"/>
        <w:rPr>
          <w:rFonts w:ascii="宋体" w:hAnsi="宋体" w:cs="宋体" w:eastAsia="宋体" w:hint="default"/>
          <w:sz w:val="25"/>
          <w:szCs w:val="25"/>
        </w:rPr>
      </w:pPr>
    </w:p>
    <w:p>
      <w:pPr>
        <w:pStyle w:val="Heading4"/>
        <w:spacing w:line="240" w:lineRule="auto"/>
        <w:ind w:left="214" w:right="1113"/>
        <w:jc w:val="left"/>
        <w:rPr>
          <w:b w:val="0"/>
          <w:bCs w:val="0"/>
        </w:rPr>
      </w:pP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10"/>
        <w:rPr>
          <w:rFonts w:ascii="宋体" w:hAnsi="宋体" w:cs="宋体" w:eastAsia="宋体" w:hint="default"/>
          <w:b/>
          <w:bCs/>
          <w:sz w:val="25"/>
          <w:szCs w:val="25"/>
        </w:rPr>
      </w:pPr>
    </w:p>
    <w:tbl>
      <w:tblPr>
        <w:tblW w:w="0" w:type="auto"/>
        <w:jc w:val="left"/>
        <w:tblInd w:w="209" w:type="dxa"/>
        <w:tblLayout w:type="fixed"/>
        <w:tblCellMar>
          <w:top w:w="0" w:type="dxa"/>
          <w:left w:w="0" w:type="dxa"/>
          <w:bottom w:w="0" w:type="dxa"/>
          <w:right w:w="0" w:type="dxa"/>
        </w:tblCellMar>
        <w:tblLook w:val="01E0"/>
      </w:tblPr>
      <w:tblGrid>
        <w:gridCol w:w="3510"/>
        <w:gridCol w:w="2393"/>
        <w:gridCol w:w="3595"/>
      </w:tblGrid>
      <w:tr>
        <w:trPr>
          <w:trHeight w:val="342" w:hRule="exact"/>
        </w:trPr>
        <w:tc>
          <w:tcPr>
            <w:tcW w:w="3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占预付款项总额的比例</w:t>
            </w:r>
            <w:r>
              <w:rPr>
                <w:rFonts w:ascii="Times New Roman" w:hAnsi="Times New Roman" w:cs="Times New Roman" w:eastAsia="Times New Roman" w:hint="default"/>
                <w:sz w:val="18"/>
                <w:szCs w:val="18"/>
              </w:rPr>
              <w:t>(%)</w:t>
            </w:r>
          </w:p>
        </w:tc>
      </w:tr>
      <w:tr>
        <w:trPr>
          <w:trHeight w:val="342" w:hRule="exact"/>
        </w:trPr>
        <w:tc>
          <w:tcPr>
            <w:tcW w:w="3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浙江励合水原文化传播有限公司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4,000,000.00</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35.09</w:t>
            </w:r>
          </w:p>
        </w:tc>
      </w:tr>
      <w:tr>
        <w:trPr>
          <w:trHeight w:val="342" w:hRule="exact"/>
        </w:trPr>
        <w:tc>
          <w:tcPr>
            <w:tcW w:w="3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北京水源影业文化传媒有限公司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800,000.00</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7.02</w:t>
            </w:r>
          </w:p>
        </w:tc>
      </w:tr>
      <w:tr>
        <w:trPr>
          <w:trHeight w:val="342" w:hRule="exact"/>
        </w:trPr>
        <w:tc>
          <w:tcPr>
            <w:tcW w:w="3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安禄达供应链管理（上海）有限公司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784,500.00</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6.88</w:t>
            </w:r>
          </w:p>
        </w:tc>
      </w:tr>
      <w:tr>
        <w:trPr>
          <w:trHeight w:val="342" w:hRule="exact"/>
        </w:trPr>
        <w:tc>
          <w:tcPr>
            <w:tcW w:w="3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庆云剧派网络科技有限公司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598,490.57</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5.25</w:t>
            </w:r>
          </w:p>
        </w:tc>
      </w:tr>
      <w:tr>
        <w:trPr>
          <w:trHeight w:val="342" w:hRule="exact"/>
        </w:trPr>
        <w:tc>
          <w:tcPr>
            <w:tcW w:w="3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亚太森博（广东）纸业有限公司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571,447.79</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5.01</w:t>
            </w:r>
          </w:p>
        </w:tc>
      </w:tr>
      <w:tr>
        <w:trPr>
          <w:trHeight w:val="343" w:hRule="exact"/>
        </w:trPr>
        <w:tc>
          <w:tcPr>
            <w:tcW w:w="3510" w:type="dxa"/>
            <w:tcBorders>
              <w:top w:val="single" w:sz="4" w:space="0" w:color="000000"/>
              <w:left w:val="single" w:sz="4" w:space="0" w:color="000000"/>
              <w:bottom w:val="single" w:sz="4" w:space="0" w:color="000000"/>
              <w:right w:val="single" w:sz="4" w:space="0" w:color="000000"/>
            </w:tcBorders>
          </w:tcPr>
          <w:p>
            <w:pPr>
              <w:pStyle w:val="TableParagraph"/>
              <w:tabs>
                <w:tab w:pos="470" w:val="left" w:leader="none"/>
              </w:tabs>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6,754,438.36</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59.25</w:t>
            </w:r>
          </w:p>
        </w:tc>
      </w:tr>
    </w:tbl>
    <w:p>
      <w:pPr>
        <w:spacing w:line="240" w:lineRule="auto" w:before="5"/>
        <w:rPr>
          <w:rFonts w:ascii="宋体" w:hAnsi="宋体" w:cs="宋体" w:eastAsia="宋体" w:hint="default"/>
          <w:b/>
          <w:bCs/>
          <w:sz w:val="24"/>
          <w:szCs w:val="24"/>
        </w:rPr>
      </w:pPr>
    </w:p>
    <w:p>
      <w:pPr>
        <w:spacing w:before="44"/>
        <w:ind w:left="214" w:right="11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left="214" w:right="1113"/>
        <w:jc w:val="left"/>
        <w:rPr>
          <w:b w:val="0"/>
          <w:bCs w:val="0"/>
        </w:rPr>
      </w:pPr>
      <w:r>
        <w:rPr>
          <w:rFonts w:ascii="Times New Roman" w:hAnsi="Times New Roman" w:cs="Times New Roman" w:eastAsia="Times New Roman" w:hint="default"/>
        </w:rPr>
        <w:t>6</w:t>
      </w:r>
      <w:r>
        <w:rPr/>
        <w:t>、其他应收款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3808"/>
        <w:gridCol w:w="3024"/>
        <w:gridCol w:w="3023"/>
      </w:tblGrid>
      <w:tr>
        <w:trPr>
          <w:trHeight w:val="361" w:hRule="exact"/>
        </w:trPr>
        <w:tc>
          <w:tcPr>
            <w:tcW w:w="38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88"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30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87" w:right="0"/>
              <w:jc w:val="center"/>
              <w:rPr>
                <w:rFonts w:ascii="宋体" w:hAnsi="宋体" w:cs="宋体" w:eastAsia="宋体" w:hint="default"/>
                <w:sz w:val="18"/>
                <w:szCs w:val="18"/>
              </w:rPr>
            </w:pPr>
            <w:r>
              <w:rPr>
                <w:rFonts w:ascii="宋体" w:hAnsi="宋体" w:cs="宋体" w:eastAsia="宋体" w:hint="default"/>
                <w:sz w:val="18"/>
                <w:szCs w:val="18"/>
              </w:rPr>
              <w:t>期末余额 </w:t>
            </w:r>
          </w:p>
        </w:tc>
        <w:tc>
          <w:tcPr>
            <w:tcW w:w="30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86" w:right="0"/>
              <w:jc w:val="center"/>
              <w:rPr>
                <w:rFonts w:ascii="宋体" w:hAnsi="宋体" w:cs="宋体" w:eastAsia="宋体" w:hint="default"/>
                <w:sz w:val="18"/>
                <w:szCs w:val="18"/>
              </w:rPr>
            </w:pPr>
            <w:r>
              <w:rPr>
                <w:rFonts w:ascii="宋体" w:hAnsi="宋体" w:cs="宋体" w:eastAsia="宋体" w:hint="default"/>
                <w:sz w:val="18"/>
                <w:szCs w:val="18"/>
              </w:rPr>
              <w:t>期初余额 </w:t>
            </w:r>
          </w:p>
        </w:tc>
      </w:tr>
      <w:tr>
        <w:trPr>
          <w:trHeight w:val="402" w:hRule="exact"/>
        </w:trPr>
        <w:tc>
          <w:tcPr>
            <w:tcW w:w="3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应收利息 </w:t>
            </w:r>
          </w:p>
        </w:tc>
        <w:tc>
          <w:tcPr>
            <w:tcW w:w="3024" w:type="dxa"/>
            <w:tcBorders>
              <w:top w:val="single" w:sz="4" w:space="0" w:color="000000"/>
              <w:left w:val="single" w:sz="4" w:space="0" w:color="000000"/>
              <w:bottom w:val="single" w:sz="4" w:space="0" w:color="000000"/>
              <w:right w:val="single" w:sz="4" w:space="0" w:color="000000"/>
            </w:tcBorders>
          </w:tcPr>
          <w:p>
            <w:pP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3"/>
              <w:jc w:val="right"/>
              <w:rPr>
                <w:rFonts w:ascii="Arial" w:hAnsi="Arial" w:cs="Arial" w:eastAsia="Arial" w:hint="default"/>
                <w:sz w:val="18"/>
                <w:szCs w:val="18"/>
              </w:rPr>
            </w:pPr>
            <w:r>
              <w:rPr>
                <w:rFonts w:ascii="Arial"/>
                <w:spacing w:val="-1"/>
                <w:w w:val="80"/>
                <w:sz w:val="18"/>
              </w:rPr>
              <w:t>568,333.33</w:t>
            </w:r>
            <w:r>
              <w:rPr>
                <w:rFonts w:ascii="Arial"/>
                <w:spacing w:val="-1"/>
                <w:sz w:val="18"/>
              </w:rPr>
            </w:r>
          </w:p>
        </w:tc>
      </w:tr>
      <w:tr>
        <w:trPr>
          <w:trHeight w:val="402" w:hRule="exact"/>
        </w:trPr>
        <w:tc>
          <w:tcPr>
            <w:tcW w:w="3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应收股利 </w:t>
            </w:r>
          </w:p>
        </w:tc>
        <w:tc>
          <w:tcPr>
            <w:tcW w:w="3024" w:type="dxa"/>
            <w:tcBorders>
              <w:top w:val="single" w:sz="4" w:space="0" w:color="000000"/>
              <w:left w:val="single" w:sz="4" w:space="0" w:color="000000"/>
              <w:bottom w:val="single" w:sz="4" w:space="0" w:color="000000"/>
              <w:right w:val="single" w:sz="4" w:space="0" w:color="000000"/>
            </w:tcBorders>
          </w:tcPr>
          <w:p>
            <w:pPr/>
          </w:p>
        </w:tc>
        <w:tc>
          <w:tcPr>
            <w:tcW w:w="302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其他应收款项 </w:t>
            </w:r>
          </w:p>
        </w:tc>
        <w:tc>
          <w:tcPr>
            <w:tcW w:w="3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36,570,671.01</w:t>
            </w:r>
            <w:r>
              <w:rPr>
                <w:rFonts w:ascii="Arial"/>
                <w:spacing w:val="-1"/>
                <w:sz w:val="18"/>
              </w:rPr>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3"/>
              <w:jc w:val="right"/>
              <w:rPr>
                <w:rFonts w:ascii="Arial" w:hAnsi="Arial" w:cs="Arial" w:eastAsia="Arial" w:hint="default"/>
                <w:sz w:val="18"/>
                <w:szCs w:val="18"/>
              </w:rPr>
            </w:pPr>
            <w:r>
              <w:rPr>
                <w:rFonts w:ascii="Arial"/>
                <w:spacing w:val="-1"/>
                <w:w w:val="80"/>
                <w:sz w:val="18"/>
              </w:rPr>
              <w:t>35,085,179.34</w:t>
            </w:r>
            <w:r>
              <w:rPr>
                <w:rFonts w:ascii="Arial"/>
                <w:spacing w:val="-1"/>
                <w:sz w:val="18"/>
              </w:rPr>
            </w:r>
          </w:p>
        </w:tc>
      </w:tr>
      <w:tr>
        <w:trPr>
          <w:trHeight w:val="402" w:hRule="exact"/>
        </w:trPr>
        <w:tc>
          <w:tcPr>
            <w:tcW w:w="3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183" w:right="0"/>
              <w:jc w:val="left"/>
              <w:rPr>
                <w:rFonts w:ascii="宋体" w:hAnsi="宋体" w:cs="宋体" w:eastAsia="宋体" w:hint="default"/>
                <w:sz w:val="18"/>
                <w:szCs w:val="18"/>
              </w:rPr>
            </w:pPr>
            <w:r>
              <w:rPr>
                <w:rFonts w:ascii="宋体" w:hAnsi="宋体" w:cs="宋体" w:eastAsia="宋体" w:hint="default"/>
                <w:sz w:val="18"/>
                <w:szCs w:val="18"/>
              </w:rPr>
              <w:t>减：坏账准备 </w:t>
            </w:r>
          </w:p>
        </w:tc>
        <w:tc>
          <w:tcPr>
            <w:tcW w:w="3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6,356,310.75</w:t>
            </w:r>
            <w:r>
              <w:rPr>
                <w:rFonts w:ascii="Arial"/>
                <w:sz w:val="18"/>
              </w:rPr>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3"/>
              <w:jc w:val="right"/>
              <w:rPr>
                <w:rFonts w:ascii="Arial" w:hAnsi="Arial" w:cs="Arial" w:eastAsia="Arial" w:hint="default"/>
                <w:sz w:val="18"/>
                <w:szCs w:val="18"/>
              </w:rPr>
            </w:pPr>
            <w:r>
              <w:rPr>
                <w:rFonts w:ascii="Arial"/>
                <w:spacing w:val="-1"/>
                <w:w w:val="80"/>
                <w:sz w:val="18"/>
              </w:rPr>
              <w:t>5,052,346.66</w:t>
            </w:r>
            <w:r>
              <w:rPr>
                <w:rFonts w:ascii="Arial"/>
                <w:sz w:val="18"/>
              </w:rPr>
            </w:r>
          </w:p>
        </w:tc>
      </w:tr>
      <w:tr>
        <w:trPr>
          <w:trHeight w:val="402" w:hRule="exact"/>
        </w:trPr>
        <w:tc>
          <w:tcPr>
            <w:tcW w:w="3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3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Arial" w:hAnsi="Arial" w:cs="Arial" w:eastAsia="Arial" w:hint="default"/>
                <w:sz w:val="18"/>
                <w:szCs w:val="18"/>
              </w:rPr>
            </w:pPr>
            <w:r>
              <w:rPr>
                <w:rFonts w:ascii="Arial"/>
                <w:spacing w:val="-1"/>
                <w:w w:val="80"/>
                <w:sz w:val="18"/>
              </w:rPr>
              <w:t>30,214,360.26</w:t>
            </w:r>
            <w:r>
              <w:rPr>
                <w:rFonts w:ascii="Arial"/>
                <w:spacing w:val="-1"/>
                <w:sz w:val="18"/>
              </w:rPr>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3"/>
              <w:jc w:val="right"/>
              <w:rPr>
                <w:rFonts w:ascii="Arial" w:hAnsi="Arial" w:cs="Arial" w:eastAsia="Arial" w:hint="default"/>
                <w:sz w:val="18"/>
                <w:szCs w:val="18"/>
              </w:rPr>
            </w:pPr>
            <w:r>
              <w:rPr>
                <w:rFonts w:ascii="Arial"/>
                <w:spacing w:val="-1"/>
                <w:w w:val="80"/>
                <w:sz w:val="18"/>
              </w:rPr>
              <w:t>30,601,166.01</w:t>
            </w:r>
            <w:r>
              <w:rPr>
                <w:rFonts w:ascii="Arial"/>
                <w:spacing w:val="-1"/>
                <w:sz w:val="18"/>
              </w:rPr>
            </w:r>
          </w:p>
        </w:tc>
      </w:tr>
    </w:tbl>
    <w:p>
      <w:pPr>
        <w:spacing w:after="0" w:line="240" w:lineRule="auto"/>
        <w:jc w:val="right"/>
        <w:rPr>
          <w:rFonts w:ascii="Arial" w:hAnsi="Arial" w:cs="Arial" w:eastAsia="Arial" w:hint="default"/>
          <w:sz w:val="18"/>
          <w:szCs w:val="18"/>
        </w:rPr>
        <w:sectPr>
          <w:pgSz w:w="11910" w:h="16840"/>
          <w:pgMar w:header="877" w:footer="982" w:top="1100" w:bottom="1180" w:left="920" w:right="0"/>
        </w:sectPr>
      </w:pPr>
    </w:p>
    <w:p>
      <w:pPr>
        <w:spacing w:line="240" w:lineRule="auto" w:before="10"/>
        <w:rPr>
          <w:rFonts w:ascii="宋体" w:hAnsi="宋体" w:cs="宋体" w:eastAsia="宋体" w:hint="default"/>
          <w:sz w:val="20"/>
          <w:szCs w:val="20"/>
        </w:rPr>
      </w:pPr>
    </w:p>
    <w:p>
      <w:pPr>
        <w:pStyle w:val="Heading4"/>
        <w:spacing w:line="240" w:lineRule="auto" w:before="35"/>
        <w:ind w:left="214" w:right="1113"/>
        <w:jc w:val="left"/>
        <w:rPr>
          <w:b w:val="0"/>
          <w:bCs w:val="0"/>
        </w:rPr>
      </w:pPr>
      <w:r>
        <w:rPr/>
        <w:t>（</w:t>
      </w:r>
      <w:r>
        <w:rPr>
          <w:rFonts w:ascii="Times New Roman" w:hAnsi="Times New Roman" w:cs="Times New Roman" w:eastAsia="Times New Roman" w:hint="default"/>
        </w:rPr>
        <w:t>1</w:t>
      </w:r>
      <w:r>
        <w:rPr/>
        <w:t>）应收利息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14" w:right="1113"/>
        <w:jc w:val="left"/>
        <w:rPr>
          <w:b w:val="0"/>
          <w:bCs w:val="0"/>
        </w:rPr>
      </w:pPr>
      <w:r>
        <w:rPr>
          <w:rFonts w:ascii="Times New Roman" w:hAnsi="Times New Roman" w:cs="Times New Roman" w:eastAsia="Times New Roman" w:hint="default"/>
        </w:rPr>
        <w:t>1</w:t>
      </w:r>
      <w:r>
        <w:rPr/>
        <w:t>）应收利息分类</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3484"/>
        <w:gridCol w:w="3186"/>
        <w:gridCol w:w="3185"/>
      </w:tblGrid>
      <w:tr>
        <w:trPr>
          <w:trHeight w:val="401" w:hRule="exact"/>
        </w:trPr>
        <w:tc>
          <w:tcPr>
            <w:tcW w:w="3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555"/>
              <w:jc w:val="right"/>
              <w:rPr>
                <w:rFonts w:ascii="宋体" w:hAnsi="宋体" w:cs="宋体" w:eastAsia="宋体" w:hint="default"/>
                <w:sz w:val="18"/>
                <w:szCs w:val="18"/>
              </w:rPr>
            </w:pPr>
            <w:r>
              <w:rPr>
                <w:rFonts w:ascii="宋体" w:hAnsi="宋体" w:cs="宋体" w:eastAsia="宋体" w:hint="default"/>
                <w:sz w:val="18"/>
                <w:szCs w:val="18"/>
              </w:rPr>
              <w:t>项目</w:t>
            </w:r>
          </w:p>
        </w:tc>
        <w:tc>
          <w:tcPr>
            <w:tcW w:w="31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186" w:type="dxa"/>
            <w:tcBorders>
              <w:top w:val="single" w:sz="4" w:space="0" w:color="000000"/>
              <w:left w:val="single" w:sz="4" w:space="0" w:color="000000"/>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3"/>
              <w:jc w:val="right"/>
              <w:rPr>
                <w:rFonts w:ascii="Arial" w:hAnsi="Arial" w:cs="Arial" w:eastAsia="Arial" w:hint="default"/>
                <w:sz w:val="18"/>
                <w:szCs w:val="18"/>
              </w:rPr>
            </w:pPr>
            <w:r>
              <w:rPr>
                <w:rFonts w:ascii="Arial"/>
                <w:spacing w:val="-1"/>
                <w:w w:val="80"/>
                <w:sz w:val="18"/>
              </w:rPr>
              <w:t>568,333.33</w:t>
            </w:r>
            <w:r>
              <w:rPr>
                <w:rFonts w:ascii="Arial"/>
                <w:spacing w:val="-1"/>
                <w:sz w:val="18"/>
              </w:rPr>
            </w:r>
          </w:p>
        </w:tc>
      </w:tr>
      <w:tr>
        <w:trPr>
          <w:trHeight w:val="402"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借款利息</w:t>
            </w:r>
          </w:p>
        </w:tc>
        <w:tc>
          <w:tcPr>
            <w:tcW w:w="3186" w:type="dxa"/>
            <w:tcBorders>
              <w:top w:val="single" w:sz="4" w:space="0" w:color="000000"/>
              <w:left w:val="single" w:sz="4" w:space="0" w:color="000000"/>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568"/>
              <w:jc w:val="right"/>
              <w:rPr>
                <w:rFonts w:ascii="宋体" w:hAnsi="宋体" w:cs="宋体" w:eastAsia="宋体" w:hint="default"/>
                <w:sz w:val="18"/>
                <w:szCs w:val="18"/>
              </w:rPr>
            </w:pPr>
            <w:r>
              <w:rPr>
                <w:rFonts w:ascii="宋体" w:hAnsi="宋体" w:cs="宋体" w:eastAsia="宋体" w:hint="default"/>
                <w:sz w:val="18"/>
                <w:szCs w:val="18"/>
              </w:rPr>
              <w:t>减：坏账准备</w:t>
            </w:r>
          </w:p>
        </w:tc>
        <w:tc>
          <w:tcPr>
            <w:tcW w:w="3186" w:type="dxa"/>
            <w:tcBorders>
              <w:top w:val="single" w:sz="4" w:space="0" w:color="000000"/>
              <w:left w:val="single" w:sz="4" w:space="0" w:color="000000"/>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555"/>
              <w:jc w:val="right"/>
              <w:rPr>
                <w:rFonts w:ascii="宋体" w:hAnsi="宋体" w:cs="宋体" w:eastAsia="宋体" w:hint="default"/>
                <w:sz w:val="18"/>
                <w:szCs w:val="18"/>
              </w:rPr>
            </w:pPr>
            <w:r>
              <w:rPr>
                <w:rFonts w:ascii="宋体" w:hAnsi="宋体" w:cs="宋体" w:eastAsia="宋体" w:hint="default"/>
                <w:sz w:val="18"/>
                <w:szCs w:val="18"/>
              </w:rPr>
              <w:t>合计</w:t>
            </w:r>
          </w:p>
        </w:tc>
        <w:tc>
          <w:tcPr>
            <w:tcW w:w="3186" w:type="dxa"/>
            <w:tcBorders>
              <w:top w:val="single" w:sz="4" w:space="0" w:color="000000"/>
              <w:left w:val="single" w:sz="4" w:space="0" w:color="000000"/>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3"/>
              <w:jc w:val="right"/>
              <w:rPr>
                <w:rFonts w:ascii="Arial" w:hAnsi="Arial" w:cs="Arial" w:eastAsia="Arial" w:hint="default"/>
                <w:sz w:val="18"/>
                <w:szCs w:val="18"/>
              </w:rPr>
            </w:pPr>
            <w:r>
              <w:rPr>
                <w:rFonts w:ascii="Arial"/>
                <w:spacing w:val="-1"/>
                <w:w w:val="80"/>
                <w:sz w:val="18"/>
              </w:rPr>
              <w:t>568,333.33</w:t>
            </w:r>
            <w:r>
              <w:rPr>
                <w:rFonts w:ascii="Arial"/>
                <w:spacing w:val="-1"/>
                <w:sz w:val="18"/>
              </w:rPr>
            </w:r>
          </w:p>
        </w:tc>
      </w:tr>
    </w:tbl>
    <w:p>
      <w:pPr>
        <w:spacing w:line="240" w:lineRule="auto" w:before="2"/>
        <w:rPr>
          <w:rFonts w:ascii="宋体" w:hAnsi="宋体" w:cs="宋体" w:eastAsia="宋体" w:hint="default"/>
          <w:sz w:val="19"/>
          <w:szCs w:val="19"/>
        </w:rPr>
      </w:pPr>
    </w:p>
    <w:p>
      <w:pPr>
        <w:pStyle w:val="Heading4"/>
        <w:spacing w:line="240" w:lineRule="auto" w:before="35"/>
        <w:ind w:left="214" w:right="1113"/>
        <w:jc w:val="left"/>
        <w:rPr>
          <w:b w:val="0"/>
          <w:bCs w:val="0"/>
        </w:rPr>
      </w:pPr>
      <w:r>
        <w:rPr/>
        <w:t>（</w:t>
      </w:r>
      <w:r>
        <w:rPr>
          <w:rFonts w:ascii="Times New Roman" w:hAnsi="Times New Roman" w:cs="Times New Roman" w:eastAsia="Times New Roman" w:hint="default"/>
        </w:rPr>
        <w:t>2</w:t>
      </w:r>
      <w:r>
        <w:rPr/>
        <w:t>）其他应收款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14" w:right="1113"/>
        <w:jc w:val="left"/>
        <w:rPr>
          <w:b w:val="0"/>
          <w:bCs w:val="0"/>
        </w:rPr>
      </w:pPr>
      <w:r>
        <w:rPr>
          <w:rFonts w:ascii="Times New Roman" w:hAnsi="Times New Roman" w:cs="Times New Roman" w:eastAsia="Times New Roman" w:hint="default"/>
        </w:rPr>
        <w:t>1</w:t>
      </w:r>
      <w:r>
        <w:rPr/>
        <w:t>）其他应收款按款项性质分类情况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3187"/>
        <w:gridCol w:w="3191"/>
        <w:gridCol w:w="3191"/>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049"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保证金、押金等</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3,426,035.69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5,046,971.01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2,500,000.00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往来款等</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26,788,324.57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22,485,861.67</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30,214,360.26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30,032,832.68</w:t>
            </w:r>
          </w:p>
        </w:tc>
      </w:tr>
    </w:tbl>
    <w:p>
      <w:pPr>
        <w:spacing w:line="240" w:lineRule="auto" w:before="2"/>
        <w:rPr>
          <w:rFonts w:ascii="宋体" w:hAnsi="宋体" w:cs="宋体" w:eastAsia="宋体" w:hint="default"/>
          <w:sz w:val="19"/>
          <w:szCs w:val="19"/>
        </w:rPr>
      </w:pPr>
    </w:p>
    <w:p>
      <w:pPr>
        <w:pStyle w:val="Heading4"/>
        <w:spacing w:line="240" w:lineRule="auto" w:before="35"/>
        <w:ind w:left="214" w:right="1113"/>
        <w:jc w:val="left"/>
        <w:rPr>
          <w:b w:val="0"/>
          <w:bCs w:val="0"/>
        </w:rPr>
      </w:pPr>
      <w:r>
        <w:rPr>
          <w:rFonts w:ascii="Times New Roman" w:hAnsi="Times New Roman" w:cs="Times New Roman" w:eastAsia="Times New Roman" w:hint="default"/>
        </w:rPr>
        <w:t>2</w:t>
      </w:r>
      <w:r>
        <w:rPr/>
        <w:t>）坏账准备计提情况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2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59"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83"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83"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549" w:right="54" w:hanging="496"/>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 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7"/>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7"/>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4"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543,331.78</w:t>
            </w: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3,070,407.78</w:t>
            </w: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1,438,607.10</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5,052,346.66</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3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日余额在 本期</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50"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1,190,791.71</w:t>
            </w: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2,490,791.71</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348,220.52</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348,220.52</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650"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838,607.10</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838,607.10</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195,111.26</w:t>
            </w: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4,261,199.49</w:t>
            </w: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1,900,000.00</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6,356,310.75</w:t>
            </w:r>
          </w:p>
        </w:tc>
      </w:tr>
    </w:tbl>
    <w:p>
      <w:pPr>
        <w:spacing w:before="51"/>
        <w:ind w:left="214" w:right="1113" w:firstLine="0"/>
        <w:jc w:val="left"/>
        <w:rPr>
          <w:rFonts w:ascii="宋体" w:hAnsi="宋体" w:cs="宋体" w:eastAsia="宋体" w:hint="default"/>
          <w:sz w:val="18"/>
          <w:szCs w:val="18"/>
        </w:rPr>
      </w:pPr>
      <w:r>
        <w:rPr>
          <w:rFonts w:ascii="宋体" w:hAnsi="宋体" w:cs="宋体" w:eastAsia="宋体" w:hint="default"/>
          <w:sz w:val="18"/>
          <w:szCs w:val="18"/>
        </w:rPr>
        <w:t>损失准备本期变动金额重大的账面余额变动情况</w:t>
      </w:r>
    </w:p>
    <w:p>
      <w:pPr>
        <w:spacing w:line="338" w:lineRule="auto" w:before="117"/>
        <w:ind w:left="214" w:right="90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按账龄披露</w:t>
      </w:r>
    </w:p>
    <w:p>
      <w:pPr>
        <w:spacing w:after="0" w:line="338" w:lineRule="auto"/>
        <w:jc w:val="left"/>
        <w:rPr>
          <w:rFonts w:ascii="宋体" w:hAnsi="宋体" w:cs="宋体" w:eastAsia="宋体" w:hint="default"/>
          <w:sz w:val="18"/>
          <w:szCs w:val="18"/>
        </w:rPr>
        <w:sectPr>
          <w:pgSz w:w="11910" w:h="16840"/>
          <w:pgMar w:header="877" w:footer="982" w:top="1100" w:bottom="1180" w:left="920" w:right="0"/>
        </w:sectPr>
      </w:pPr>
    </w:p>
    <w:p>
      <w:pPr>
        <w:spacing w:line="240" w:lineRule="auto" w:before="13"/>
        <w:rPr>
          <w:rFonts w:ascii="宋体" w:hAnsi="宋体" w:cs="宋体" w:eastAsia="宋体" w:hint="default"/>
          <w:sz w:val="21"/>
          <w:szCs w:val="21"/>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4"/>
        <w:gridCol w:w="4783"/>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8,447,800.30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7,575,958.09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871,842.21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23,724,257.81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870,805.27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1,627,807.63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1,627,807.63</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34,670,671.01</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3</w:t>
      </w:r>
      <w:r>
        <w:rPr/>
        <w:t>）按欠款方归集的期末余额前五名的其他应收款情况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314"/>
        <w:gridCol w:w="187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8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392" w:right="31" w:hanging="360"/>
              <w:jc w:val="left"/>
              <w:rPr>
                <w:rFonts w:ascii="宋体" w:hAnsi="宋体" w:cs="宋体" w:eastAsia="宋体" w:hint="default"/>
                <w:sz w:val="18"/>
                <w:szCs w:val="18"/>
              </w:rPr>
            </w:pPr>
            <w:r>
              <w:rPr>
                <w:rFonts w:ascii="宋体" w:hAnsi="宋体" w:cs="宋体" w:eastAsia="宋体" w:hint="default"/>
                <w:sz w:val="18"/>
                <w:szCs w:val="18"/>
              </w:rPr>
              <w:t>占其他应收款期末余额 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北京布偶影视传媒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联合摄制投资款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10,630,000.00</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29.07%</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1,189,000.00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天津启泰文化传播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联合宣发款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27.34%</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北京永信嘉创网络 科技有限公司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8.20%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300,000.00</w:t>
            </w:r>
          </w:p>
        </w:tc>
      </w:tr>
      <w:tr>
        <w:trPr>
          <w:trHeight w:val="1026"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庆云巨棒文化产业 投资中心（有限合 伙）</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2,505,000.00</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6.85%</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50,100.00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北京安策文化有限 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联合摄制投资款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1,300,000.00</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3.55%</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1,300,000.00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27,435,000.00</w:t>
            </w:r>
          </w:p>
        </w:tc>
        <w:tc>
          <w:tcPr>
            <w:tcW w:w="13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876"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3,839,100.00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7</w:t>
      </w:r>
      <w:r>
        <w:rPr/>
        <w:t>、存货</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7"/>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）存货分类</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11,261,681.20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2,310,335.79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8,951,345.41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13,632,061.88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2,369,367.96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11,262,693.92</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1,276,222.59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1,276,222.59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755,716.71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755,716.71</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30,398,162.29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2,089,215.78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28,308,946.51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31,316,747.49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2,340,619.03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28,976,128.46</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5,004,433.57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88,507.27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4,915,926.30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931,759.23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931,759.23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2,099,955.22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13,999.11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2,085,956.11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216,431.83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216,431.83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1,456,982.13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228,085.82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1,228,896.31</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50,040,454.87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4,502,057.95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45,538,396.92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48,309,699.27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4,938,072.81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43,371,626.46</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）存货跌价准备</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82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368"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9"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2,369,367.96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1,636,806.52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1,695,838.69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2,310,335.79</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2,340,619.03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1,976,289.16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2,227,692.41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2,089,215.78</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228,085.82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13,999.11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228,085.82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13,999.11</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88,507.27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88,507.27</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4,938,072.81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3,715,602.06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4,151,616.92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4,502,057.95</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8</w:t>
      </w:r>
      <w:r>
        <w:rPr/>
        <w:t>、其他流动资产</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82" w:top="1100" w:bottom="1180" w:left="980" w:right="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6"/>
        <w:ind w:left="153"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955" w:space="6874"/>
            <w:col w:w="2101"/>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待抵扣进项税（注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19,767,215.69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23,075,915.64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房租</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208,499.71</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89,672.98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预缴企业所得税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544,197.08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828,508.52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保险及其他等</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811,910.96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884,325.38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21,331,823.44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24,878,422.52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9</w:t>
      </w:r>
      <w:r>
        <w:rPr/>
        <w:t>、长期股权投资</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850"/>
        <w:gridCol w:w="746"/>
        <w:gridCol w:w="798"/>
        <w:gridCol w:w="797"/>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02" w:right="31"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8" w:type="dxa"/>
            <w:vMerge w:val="restart"/>
            <w:tcBorders>
              <w:top w:val="single" w:sz="4" w:space="0" w:color="000000"/>
              <w:left w:val="single" w:sz="4" w:space="0" w:color="000000"/>
              <w:right w:val="single" w:sz="4" w:space="0" w:color="000000"/>
            </w:tcBorders>
            <w:shd w:val="clear" w:color="auto" w:fill="D3D3D3"/>
          </w:tcPr>
          <w:p>
            <w:pPr>
              <w:pStyle w:val="TableParagraph"/>
              <w:spacing w:line="309" w:lineRule="auto" w:before="52"/>
              <w:ind w:left="34" w:right="31"/>
              <w:jc w:val="center"/>
              <w:rPr>
                <w:rFonts w:ascii="Times New Roman" w:hAnsi="Times New Roman" w:cs="Times New Roman" w:eastAsia="Times New Roman" w:hint="default"/>
                <w:sz w:val="18"/>
                <w:szCs w:val="18"/>
              </w:rPr>
            </w:pPr>
            <w:r>
              <w:rPr>
                <w:rFonts w:ascii="宋体" w:hAnsi="宋体" w:cs="宋体" w:eastAsia="宋体" w:hint="default"/>
                <w:sz w:val="18"/>
                <w:szCs w:val="18"/>
              </w:rPr>
              <w:t>期初余额 </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3D3D3"/>
          </w:tcPr>
          <w:p>
            <w:pPr>
              <w:pStyle w:val="TableParagraph"/>
              <w:spacing w:line="309" w:lineRule="auto" w:before="52"/>
              <w:ind w:left="33" w:right="32"/>
              <w:jc w:val="center"/>
              <w:rPr>
                <w:rFonts w:ascii="Times New Roman" w:hAnsi="Times New Roman" w:cs="Times New Roman" w:eastAsia="Times New Roman" w:hint="default"/>
                <w:sz w:val="18"/>
                <w:szCs w:val="18"/>
              </w:rPr>
            </w:pPr>
            <w:r>
              <w:rPr>
                <w:rFonts w:ascii="宋体" w:hAnsi="宋体" w:cs="宋体" w:eastAsia="宋体" w:hint="default"/>
                <w:sz w:val="18"/>
                <w:szCs w:val="18"/>
              </w:rPr>
              <w:t>期末余额 </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79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624" w:hRule="exact"/>
        </w:trPr>
        <w:tc>
          <w:tcPr>
            <w:tcW w:w="796" w:type="dxa"/>
            <w:vMerge/>
            <w:tcBorders>
              <w:left w:val="single" w:sz="4" w:space="0" w:color="000000"/>
              <w:bottom w:val="single" w:sz="4" w:space="0" w:color="000000"/>
              <w:right w:val="single" w:sz="4" w:space="0" w:color="000000"/>
            </w:tcBorders>
            <w:shd w:val="clear" w:color="auto" w:fill="D3D3D3"/>
          </w:tcPr>
          <w:p>
            <w:pPr/>
          </w:p>
        </w:tc>
        <w:tc>
          <w:tcPr>
            <w:tcW w:w="798" w:type="dxa"/>
            <w:vMerge/>
            <w:tcBorders>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权益法下</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其他综合</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其他权益</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宣告发放</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60" w:right="0"/>
              <w:jc w:val="left"/>
              <w:rPr>
                <w:rFonts w:ascii="宋体" w:hAnsi="宋体" w:cs="宋体" w:eastAsia="宋体" w:hint="default"/>
                <w:sz w:val="18"/>
                <w:szCs w:val="18"/>
              </w:rPr>
            </w:pPr>
            <w:r>
              <w:rPr>
                <w:rFonts w:ascii="宋体" w:hAnsi="宋体" w:cs="宋体" w:eastAsia="宋体" w:hint="default"/>
                <w:sz w:val="18"/>
                <w:szCs w:val="18"/>
              </w:rPr>
              <w:t>计提减值</w:t>
            </w:r>
          </w:p>
        </w:tc>
        <w:tc>
          <w:tcPr>
            <w:tcW w:w="7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3D3D3"/>
          </w:tcPr>
          <w:p>
            <w:pPr/>
          </w:p>
        </w:tc>
        <w:tc>
          <w:tcPr>
            <w:tcW w:w="797" w:type="dxa"/>
            <w:vMerge/>
            <w:tcBorders>
              <w:left w:val="single" w:sz="4" w:space="0" w:color="000000"/>
              <w:bottom w:val="single" w:sz="4" w:space="0" w:color="000000"/>
              <w:right w:val="single" w:sz="4" w:space="0" w:color="000000"/>
            </w:tcBorders>
            <w:shd w:val="clear" w:color="auto" w:fill="D3D3D3"/>
          </w:tcPr>
          <w:p>
            <w:pPr/>
          </w:p>
        </w:tc>
      </w:tr>
    </w:tbl>
    <w:p>
      <w:pPr>
        <w:spacing w:after="0"/>
        <w:sectPr>
          <w:type w:val="continuous"/>
          <w:pgSz w:w="11910" w:h="16840"/>
          <w:pgMar w:top="106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850"/>
        <w:gridCol w:w="746"/>
        <w:gridCol w:w="798"/>
        <w:gridCol w:w="798"/>
      </w:tblGrid>
      <w:tr>
        <w:trPr>
          <w:trHeight w:val="674"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123" w:right="32" w:hanging="90"/>
              <w:jc w:val="left"/>
              <w:rPr>
                <w:rFonts w:ascii="宋体" w:hAnsi="宋体" w:cs="宋体" w:eastAsia="宋体" w:hint="default"/>
                <w:sz w:val="18"/>
                <w:szCs w:val="18"/>
              </w:rPr>
            </w:pPr>
            <w:r>
              <w:rPr>
                <w:rFonts w:ascii="宋体" w:hAnsi="宋体" w:cs="宋体" w:eastAsia="宋体" w:hint="default"/>
                <w:sz w:val="18"/>
                <w:szCs w:val="18"/>
              </w:rPr>
              <w:t>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33" w:right="0"/>
              <w:jc w:val="left"/>
              <w:rPr>
                <w:rFonts w:ascii="宋体" w:hAnsi="宋体" w:cs="宋体" w:eastAsia="宋体" w:hint="default"/>
                <w:sz w:val="18"/>
                <w:szCs w:val="18"/>
              </w:rPr>
            </w:pPr>
            <w:r>
              <w:rPr>
                <w:rFonts w:ascii="宋体" w:hAnsi="宋体" w:cs="宋体" w:eastAsia="宋体" w:hint="default"/>
                <w:sz w:val="18"/>
                <w:szCs w:val="18"/>
              </w:rPr>
              <w:t>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13" w:right="0"/>
              <w:jc w:val="left"/>
              <w:rPr>
                <w:rFonts w:ascii="宋体" w:hAnsi="宋体" w:cs="宋体" w:eastAsia="宋体" w:hint="default"/>
                <w:sz w:val="18"/>
                <w:szCs w:val="18"/>
              </w:rPr>
            </w:pPr>
            <w:r>
              <w:rPr>
                <w:rFonts w:ascii="宋体" w:hAnsi="宋体" w:cs="宋体" w:eastAsia="宋体" w:hint="default"/>
                <w:sz w:val="18"/>
                <w:szCs w:val="18"/>
              </w:rPr>
              <w:t>变动</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123" w:right="32" w:hanging="90"/>
              <w:jc w:val="left"/>
              <w:rPr>
                <w:rFonts w:ascii="宋体" w:hAnsi="宋体" w:cs="宋体" w:eastAsia="宋体" w:hint="default"/>
                <w:sz w:val="18"/>
                <w:szCs w:val="18"/>
              </w:rPr>
            </w:pPr>
            <w:r>
              <w:rPr>
                <w:rFonts w:ascii="宋体" w:hAnsi="宋体" w:cs="宋体" w:eastAsia="宋体" w:hint="default"/>
                <w:sz w:val="18"/>
                <w:szCs w:val="18"/>
              </w:rPr>
              <w:t>现金股利 或利润</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40"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74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USEON.</w:t>
            </w:r>
          </w:p>
          <w:p>
            <w:pPr>
              <w:pStyle w:val="TableParagraph"/>
              <w:spacing w:line="240" w:lineRule="auto" w:before="65"/>
              <w:ind w:left="22" w:right="0"/>
              <w:jc w:val="left"/>
              <w:rPr>
                <w:rFonts w:ascii="宋体" w:hAnsi="宋体" w:cs="宋体" w:eastAsia="宋体" w:hint="default"/>
                <w:sz w:val="18"/>
                <w:szCs w:val="18"/>
              </w:rPr>
            </w:pPr>
            <w:r>
              <w:rPr>
                <w:rFonts w:ascii="宋体" w:hAnsi="宋体" w:cs="宋体" w:eastAsia="宋体" w:hint="default"/>
                <w:sz w:val="18"/>
                <w:szCs w:val="18"/>
              </w:rPr>
              <w:t>（株）</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62,632.26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62,632.26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62,632.26</w:t>
            </w: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计易数据 科技</w:t>
            </w:r>
            <w:r>
              <w:rPr>
                <w:rFonts w:ascii="Times New Roman" w:hAnsi="Times New Roman" w:cs="Times New Roman" w:eastAsia="Times New Roman" w:hint="default"/>
                <w:sz w:val="18"/>
                <w:szCs w:val="18"/>
              </w:rPr>
              <w:t>(</w:t>
            </w:r>
            <w:r>
              <w:rPr>
                <w:rFonts w:ascii="宋体" w:hAnsi="宋体" w:cs="宋体" w:eastAsia="宋体" w:hint="default"/>
                <w:sz w:val="18"/>
                <w:szCs w:val="18"/>
              </w:rPr>
              <w:t>上 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31,971,49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1,050,000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-1,483,39</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2.44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31,538,10</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3.99</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颐麦科技</w:t>
            </w:r>
          </w:p>
          <w:p>
            <w:pPr>
              <w:pStyle w:val="TableParagraph"/>
              <w:spacing w:line="319" w:lineRule="auto" w:before="75"/>
              <w:ind w:left="22" w:right="41"/>
              <w:jc w:val="left"/>
              <w:rPr>
                <w:rFonts w:ascii="宋体" w:hAnsi="宋体" w:cs="宋体" w:eastAsia="宋体" w:hint="default"/>
                <w:sz w:val="18"/>
                <w:szCs w:val="18"/>
              </w:rPr>
            </w:pPr>
            <w:r>
              <w:rPr>
                <w:rFonts w:ascii="宋体" w:hAnsi="宋体" w:cs="宋体" w:eastAsia="宋体" w:hint="default"/>
                <w:sz w:val="18"/>
                <w:szCs w:val="18"/>
              </w:rPr>
              <w:t>（北京） 有限公司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1" w:right="0"/>
              <w:jc w:val="left"/>
              <w:rPr>
                <w:rFonts w:ascii="Times New Roman" w:hAnsi="Times New Roman" w:cs="Times New Roman" w:eastAsia="Times New Roman" w:hint="default"/>
                <w:sz w:val="18"/>
                <w:szCs w:val="18"/>
              </w:rPr>
            </w:pPr>
            <w:r>
              <w:rPr>
                <w:rFonts w:ascii="Times New Roman"/>
                <w:sz w:val="18"/>
              </w:rPr>
              <w:t>11,000,00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-97,821.8</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10,902,17</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8.12</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32,034,12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12,050,00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-1,581,21</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4.32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42,502,91</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4.37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62,632.26</w:t>
            </w: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32,034,12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12,050,00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-1,581,21</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4.32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42,502,91</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4.37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62,632.26</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10</w:t>
      </w:r>
      <w:r>
        <w:rPr/>
        <w:t>、其他权益工具投资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pict>
          <v:shape style="position:absolute;margin-left:165.119705pt;margin-top:100.132019pt;width:210.25pt;height:19.650pt;mso-position-horizontal-relative:page;mso-position-vertical-relative:paragraph;z-index:-962704"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（有限合伙）</w:t>
                  </w:r>
                </w:p>
              </w:txbxContent>
            </v:textbox>
            <w10:wrap type="none"/>
          </v:shape>
        </w:pict>
      </w: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九次方大数据信息集团有限公司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赛博坦科技有限公司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50,417,000.00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平潭凯智谦益投资合伙企业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22,000,000.00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9" w:space="0" w:color="FFFFFF"/>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庆云巨棒文化产业投资中心</w:t>
            </w:r>
          </w:p>
        </w:tc>
        <w:tc>
          <w:tcPr>
            <w:tcW w:w="3191" w:type="dxa"/>
            <w:tcBorders>
              <w:top w:val="single" w:sz="4" w:space="0" w:color="000000"/>
              <w:left w:val="single" w:sz="9" w:space="0" w:color="FFFFFF"/>
              <w:bottom w:val="single" w:sz="4" w:space="0" w:color="000000"/>
              <w:right w:val="single" w:sz="13" w:space="0" w:color="FFFFFF"/>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5,000,000.00</w:t>
            </w:r>
          </w:p>
        </w:tc>
        <w:tc>
          <w:tcPr>
            <w:tcW w:w="3191" w:type="dxa"/>
            <w:tcBorders>
              <w:top w:val="single" w:sz="4" w:space="0" w:color="000000"/>
              <w:left w:val="single" w:sz="13" w:space="0" w:color="FFFFFF"/>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北京红橙天宜科技有限公司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4,500,000.00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深圳国金天使投资企业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3,552,000.00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3,840,000.00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成都幸运节拍数字技术有限公司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成都思品科技有限公司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厦门市虹约产品设计有限公司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任我游（厦门）科技发展有限公司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深圳市尚彩科技有限公司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910,000.00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910,000.00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杭州拾贝知识产权服务有限公司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上海桎影数码科技有限公司</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中防联盟（北京）技术开发有限公司</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中广云（北京）科技有限公司</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3" w:right="0"/>
              <w:jc w:val="left"/>
              <w:rPr>
                <w:rFonts w:ascii="Times New Roman" w:hAnsi="Times New Roman" w:cs="Times New Roman" w:eastAsia="Times New Roman" w:hint="default"/>
                <w:sz w:val="18"/>
                <w:szCs w:val="18"/>
              </w:rPr>
            </w:pPr>
            <w:r>
              <w:rPr>
                <w:rFonts w:ascii="Times New Roman"/>
                <w:sz w:val="18"/>
              </w:rPr>
              <w:t>173,249,000.00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90,120,000.00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11</w:t>
      </w:r>
      <w:r>
        <w:rPr/>
        <w:t>、其他非流动金融资产</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庆云剧派网络科技有限公司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1,261,765.00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1,261,765.00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1,350,000.00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12</w:t>
      </w:r>
      <w:r>
        <w:rPr/>
        <w:t>、投资性房地产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3"/>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1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50,876,923.18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517,898.62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51,394,821.80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42"/>
                <w:sz w:val="18"/>
                <w:szCs w:val="18"/>
              </w:rPr>
              <w:t> </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）存货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固定资产</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7"/>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50,876,923.18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517,898.62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51,394,821.80</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7,675,768.36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168,316.83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7,844,085.19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1,211,918.94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10,357.97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1,222,276.91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1,211,918.94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10,357.97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1,222,276.91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2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8,887,687.30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178,674.80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9,066,362.10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41,989,235.88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339,223.82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42,328,459.70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43,201,154.82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349,581.79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43,550,736.61</w:t>
            </w:r>
          </w:p>
        </w:tc>
      </w:tr>
    </w:tbl>
    <w:p>
      <w:pPr>
        <w:spacing w:line="240" w:lineRule="auto" w:before="1"/>
        <w:rPr>
          <w:rFonts w:ascii="宋体" w:hAnsi="宋体" w:cs="宋体" w:eastAsia="宋体" w:hint="default"/>
          <w:sz w:val="7"/>
          <w:szCs w:val="7"/>
        </w:rPr>
      </w:pPr>
    </w:p>
    <w:p>
      <w:pPr>
        <w:spacing w:line="398" w:lineRule="auto" w:before="44"/>
        <w:ind w:left="213" w:right="1113" w:firstLine="360"/>
        <w:jc w:val="left"/>
        <w:rPr>
          <w:rFonts w:ascii="宋体" w:hAnsi="宋体" w:cs="宋体" w:eastAsia="宋体" w:hint="default"/>
          <w:sz w:val="16"/>
          <w:szCs w:val="16"/>
        </w:rPr>
      </w:pPr>
      <w:r>
        <w:rPr>
          <w:rFonts w:ascii="宋体" w:hAnsi="宋体" w:cs="宋体" w:eastAsia="宋体" w:hint="default"/>
          <w:w w:val="95"/>
          <w:sz w:val="18"/>
          <w:szCs w:val="18"/>
        </w:rPr>
        <w:t>其他说明：</w:t>
      </w:r>
      <w:r>
        <w:rPr>
          <w:rFonts w:ascii="宋体" w:hAnsi="宋体" w:cs="宋体" w:eastAsia="宋体" w:hint="default"/>
          <w:w w:val="95"/>
          <w:sz w:val="16"/>
          <w:szCs w:val="16"/>
        </w:rPr>
        <w:t>本公司的投资性房地产主要为办公用房和厂房,使用情况良好,期末预计可收回价值高于其账面价值,本期不存在计提减值</w:t>
      </w:r>
      <w:r>
        <w:rPr>
          <w:rFonts w:ascii="宋体" w:hAnsi="宋体" w:cs="宋体" w:eastAsia="宋体" w:hint="default"/>
          <w:spacing w:val="-1"/>
          <w:w w:val="95"/>
          <w:sz w:val="16"/>
          <w:szCs w:val="16"/>
        </w:rPr>
        <w:t> </w:t>
      </w:r>
      <w:r>
        <w:rPr>
          <w:rFonts w:ascii="宋体" w:hAnsi="宋体" w:cs="宋体" w:eastAsia="宋体" w:hint="default"/>
          <w:spacing w:val="-1"/>
          <w:w w:val="95"/>
          <w:sz w:val="16"/>
          <w:szCs w:val="16"/>
        </w:rPr>
      </w:r>
      <w:r>
        <w:rPr>
          <w:rFonts w:ascii="宋体" w:hAnsi="宋体" w:cs="宋体" w:eastAsia="宋体" w:hint="default"/>
          <w:sz w:val="16"/>
          <w:szCs w:val="16"/>
        </w:rPr>
        <w:t>准备之情形。 </w:t>
      </w:r>
    </w:p>
    <w:p>
      <w:pPr>
        <w:spacing w:line="240" w:lineRule="auto" w:before="8"/>
        <w:rPr>
          <w:rFonts w:ascii="宋体" w:hAnsi="宋体" w:cs="宋体" w:eastAsia="宋体" w:hint="default"/>
          <w:sz w:val="15"/>
          <w:szCs w:val="15"/>
        </w:rPr>
      </w:pPr>
    </w:p>
    <w:p>
      <w:pPr>
        <w:pStyle w:val="Heading4"/>
        <w:spacing w:line="240" w:lineRule="auto"/>
        <w:ind w:left="214" w:right="1113"/>
        <w:jc w:val="left"/>
        <w:rPr>
          <w:b w:val="0"/>
          <w:bCs w:val="0"/>
        </w:rPr>
      </w:pPr>
      <w:r>
        <w:rPr>
          <w:rFonts w:ascii="Times New Roman" w:hAnsi="Times New Roman" w:cs="Times New Roman" w:eastAsia="Times New Roman" w:hint="default"/>
        </w:rPr>
        <w:t>13</w:t>
      </w:r>
      <w:r>
        <w:rPr/>
        <w:t>、固定资产</w:t>
      </w:r>
      <w:r>
        <w:rPr>
          <w:b w:val="0"/>
          <w:bCs w:val="0"/>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3646"/>
        <w:gridCol w:w="3104"/>
        <w:gridCol w:w="3104"/>
      </w:tblGrid>
      <w:tr>
        <w:trPr>
          <w:trHeight w:val="350" w:hRule="exact"/>
        </w:trPr>
        <w:tc>
          <w:tcPr>
            <w:tcW w:w="36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90"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31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88" w:right="0"/>
              <w:jc w:val="center"/>
              <w:rPr>
                <w:rFonts w:ascii="宋体" w:hAnsi="宋体" w:cs="宋体" w:eastAsia="宋体" w:hint="default"/>
                <w:sz w:val="18"/>
                <w:szCs w:val="18"/>
              </w:rPr>
            </w:pPr>
            <w:r>
              <w:rPr>
                <w:rFonts w:ascii="宋体" w:hAnsi="宋体" w:cs="宋体" w:eastAsia="宋体" w:hint="default"/>
                <w:sz w:val="18"/>
                <w:szCs w:val="18"/>
              </w:rPr>
              <w:t>期末余额 </w:t>
            </w:r>
          </w:p>
        </w:tc>
        <w:tc>
          <w:tcPr>
            <w:tcW w:w="31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88" w:right="0"/>
              <w:jc w:val="center"/>
              <w:rPr>
                <w:rFonts w:ascii="宋体" w:hAnsi="宋体" w:cs="宋体" w:eastAsia="宋体" w:hint="default"/>
                <w:sz w:val="18"/>
                <w:szCs w:val="18"/>
              </w:rPr>
            </w:pPr>
            <w:r>
              <w:rPr>
                <w:rFonts w:ascii="宋体" w:hAnsi="宋体" w:cs="宋体" w:eastAsia="宋体" w:hint="default"/>
                <w:sz w:val="18"/>
                <w:szCs w:val="18"/>
              </w:rPr>
              <w:t>期初余额 </w:t>
            </w:r>
          </w:p>
        </w:tc>
      </w:tr>
      <w:tr>
        <w:trPr>
          <w:trHeight w:val="402" w:hRule="exact"/>
        </w:trPr>
        <w:tc>
          <w:tcPr>
            <w:tcW w:w="3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固定资产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164,981,807.33</w:t>
            </w:r>
            <w:r>
              <w:rPr>
                <w:rFonts w:ascii="Arial"/>
                <w:sz w:val="18"/>
              </w:rPr>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Arial" w:hAnsi="Arial" w:cs="Arial" w:eastAsia="Arial" w:hint="default"/>
                <w:sz w:val="18"/>
                <w:szCs w:val="18"/>
              </w:rPr>
            </w:pPr>
            <w:r>
              <w:rPr>
                <w:rFonts w:ascii="Arial"/>
                <w:spacing w:val="-1"/>
                <w:w w:val="80"/>
                <w:sz w:val="18"/>
              </w:rPr>
              <w:t>188,832,463.52</w:t>
            </w:r>
            <w:r>
              <w:rPr>
                <w:rFonts w:ascii="Arial"/>
                <w:sz w:val="18"/>
              </w:rPr>
            </w:r>
          </w:p>
        </w:tc>
      </w:tr>
      <w:tr>
        <w:trPr>
          <w:trHeight w:val="402" w:hRule="exact"/>
        </w:trPr>
        <w:tc>
          <w:tcPr>
            <w:tcW w:w="3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固定资产清理 </w:t>
            </w:r>
          </w:p>
        </w:tc>
        <w:tc>
          <w:tcPr>
            <w:tcW w:w="3104" w:type="dxa"/>
            <w:tcBorders>
              <w:top w:val="single" w:sz="4" w:space="0" w:color="000000"/>
              <w:left w:val="single" w:sz="4" w:space="0" w:color="000000"/>
              <w:bottom w:val="single" w:sz="4" w:space="0" w:color="000000"/>
              <w:right w:val="single" w:sz="4" w:space="0" w:color="000000"/>
            </w:tcBorders>
          </w:tcPr>
          <w:p>
            <w:pPr/>
          </w:p>
        </w:tc>
        <w:tc>
          <w:tcPr>
            <w:tcW w:w="310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183" w:right="0"/>
              <w:jc w:val="left"/>
              <w:rPr>
                <w:rFonts w:ascii="宋体" w:hAnsi="宋体" w:cs="宋体" w:eastAsia="宋体" w:hint="default"/>
                <w:sz w:val="18"/>
                <w:szCs w:val="18"/>
              </w:rPr>
            </w:pPr>
            <w:r>
              <w:rPr>
                <w:rFonts w:ascii="宋体" w:hAnsi="宋体" w:cs="宋体" w:eastAsia="宋体" w:hint="default"/>
                <w:sz w:val="18"/>
                <w:szCs w:val="18"/>
              </w:rPr>
              <w:t>减：减值准备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1,998,818.66</w:t>
            </w:r>
            <w:r>
              <w:rPr>
                <w:rFonts w:ascii="Arial"/>
                <w:sz w:val="18"/>
              </w:rPr>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Arial" w:hAnsi="Arial" w:cs="Arial" w:eastAsia="Arial" w:hint="default"/>
                <w:sz w:val="18"/>
                <w:szCs w:val="18"/>
              </w:rPr>
            </w:pPr>
            <w:r>
              <w:rPr>
                <w:rFonts w:ascii="Arial"/>
                <w:spacing w:val="-1"/>
                <w:w w:val="80"/>
                <w:sz w:val="18"/>
              </w:rPr>
              <w:t>16,973,332.30</w:t>
            </w:r>
            <w:r>
              <w:rPr>
                <w:rFonts w:ascii="Arial"/>
                <w:spacing w:val="-1"/>
                <w:sz w:val="18"/>
              </w:rPr>
            </w:r>
          </w:p>
        </w:tc>
      </w:tr>
      <w:tr>
        <w:trPr>
          <w:trHeight w:val="402" w:hRule="exact"/>
        </w:trPr>
        <w:tc>
          <w:tcPr>
            <w:tcW w:w="3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0"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162,982,988.67</w:t>
            </w:r>
            <w:r>
              <w:rPr>
                <w:rFonts w:ascii="Arial"/>
                <w:sz w:val="18"/>
              </w:rPr>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Arial" w:hAnsi="Arial" w:cs="Arial" w:eastAsia="Arial" w:hint="default"/>
                <w:sz w:val="18"/>
                <w:szCs w:val="18"/>
              </w:rPr>
            </w:pPr>
            <w:r>
              <w:rPr>
                <w:rFonts w:ascii="Arial"/>
                <w:spacing w:val="-1"/>
                <w:w w:val="80"/>
                <w:sz w:val="18"/>
              </w:rPr>
              <w:t>171,859,131.22</w:t>
            </w:r>
            <w:r>
              <w:rPr>
                <w:rFonts w:ascii="Arial"/>
                <w:sz w:val="18"/>
              </w:rPr>
            </w:r>
          </w:p>
        </w:tc>
      </w:tr>
    </w:tbl>
    <w:p>
      <w:pPr>
        <w:spacing w:line="240" w:lineRule="auto" w:before="2"/>
        <w:rPr>
          <w:rFonts w:ascii="宋体" w:hAnsi="宋体" w:cs="宋体" w:eastAsia="宋体" w:hint="default"/>
          <w:sz w:val="19"/>
          <w:szCs w:val="19"/>
        </w:rPr>
      </w:pPr>
    </w:p>
    <w:p>
      <w:pPr>
        <w:pStyle w:val="Heading4"/>
        <w:spacing w:line="240" w:lineRule="auto" w:before="35"/>
        <w:ind w:left="214" w:right="1113"/>
        <w:jc w:val="left"/>
        <w:rPr>
          <w:b w:val="0"/>
          <w:bCs w:val="0"/>
        </w:rPr>
      </w:pPr>
      <w:r>
        <w:rPr/>
        <w:t>（</w:t>
      </w:r>
      <w:r>
        <w:rPr>
          <w:rFonts w:ascii="Times New Roman" w:hAnsi="Times New Roman" w:cs="Times New Roman" w:eastAsia="Times New Roman" w:hint="default"/>
        </w:rPr>
        <w:t>1</w:t>
      </w:r>
      <w:r>
        <w:rPr/>
        <w:t>）固定资产情况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53"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2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165,529,361.11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165,085,431.98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16,428,836.11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17,445,407.48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364,489,036.68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5,591,469.69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198,395.83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5,789,865.52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5,591,469.69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198,395.83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5,789,865.52</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 转入</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 增加</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35,034,947.19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354,234.41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57,980.75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35,447,162.35</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 废</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35,034,947.19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354,234.41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57,980.75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35,447,162.35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165,529,361.11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135,641,954.48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16,074,601.70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17,585,822.56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334,831,739.85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33,320,974.75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115,925,568.79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13,324,391.32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13,085,638.30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175,656,573.16</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4,649,898.26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5,437,299.25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839,912.30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1,224,345.61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12,151,455.42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4,649,898.26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5,437,299.25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839,912.30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1,224,345.61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12,151,455.42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17,566,491.66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336,522.70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55,081.70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17,958,096.06</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 废</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17,566,491.66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336,522.70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55,081.70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17,958,096.06</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37,970,873.01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103,796,376.38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13,827,780.92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14,254,902.21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169,849,932.52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16,932,694.46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40,637.84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16,973,332.30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14,974,513.64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14,974,513.64</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 废</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14,974,513.64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14,974,513.64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1,958,180.82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40,637.84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1,998,818.66</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127,558,488.10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29,887,397.28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2,246,820.78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3,290,282.51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162,982,988.67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8" w:right="0"/>
              <w:jc w:val="left"/>
              <w:rPr>
                <w:rFonts w:ascii="Times New Roman" w:hAnsi="Times New Roman" w:cs="Times New Roman" w:eastAsia="Times New Roman" w:hint="default"/>
                <w:sz w:val="18"/>
                <w:szCs w:val="18"/>
              </w:rPr>
            </w:pPr>
            <w:r>
              <w:rPr>
                <w:rFonts w:ascii="Times New Roman"/>
                <w:sz w:val="18"/>
              </w:rPr>
              <w:t>132,208,386.36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6" w:right="0"/>
              <w:jc w:val="left"/>
              <w:rPr>
                <w:rFonts w:ascii="Times New Roman" w:hAnsi="Times New Roman" w:cs="Times New Roman" w:eastAsia="Times New Roman" w:hint="default"/>
                <w:sz w:val="18"/>
                <w:szCs w:val="18"/>
              </w:rPr>
            </w:pPr>
            <w:r>
              <w:rPr>
                <w:rFonts w:ascii="Times New Roman"/>
                <w:sz w:val="18"/>
              </w:rPr>
              <w:t>32,227,168.73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6" w:right="0"/>
              <w:jc w:val="left"/>
              <w:rPr>
                <w:rFonts w:ascii="Times New Roman" w:hAnsi="Times New Roman" w:cs="Times New Roman" w:eastAsia="Times New Roman" w:hint="default"/>
                <w:sz w:val="18"/>
                <w:szCs w:val="18"/>
              </w:rPr>
            </w:pPr>
            <w:r>
              <w:rPr>
                <w:rFonts w:ascii="Times New Roman"/>
                <w:sz w:val="18"/>
              </w:rPr>
              <w:t>3,104,444.79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8" w:right="0"/>
              <w:jc w:val="left"/>
              <w:rPr>
                <w:rFonts w:ascii="Times New Roman" w:hAnsi="Times New Roman" w:cs="Times New Roman" w:eastAsia="Times New Roman" w:hint="default"/>
                <w:sz w:val="18"/>
                <w:szCs w:val="18"/>
              </w:rPr>
            </w:pPr>
            <w:r>
              <w:rPr>
                <w:rFonts w:ascii="Times New Roman"/>
                <w:sz w:val="18"/>
              </w:rPr>
              <w:t>4,319,131.34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6" w:right="0"/>
              <w:jc w:val="left"/>
              <w:rPr>
                <w:rFonts w:ascii="Times New Roman" w:hAnsi="Times New Roman" w:cs="Times New Roman" w:eastAsia="Times New Roman" w:hint="default"/>
                <w:sz w:val="18"/>
                <w:szCs w:val="18"/>
              </w:rPr>
            </w:pPr>
            <w:r>
              <w:rPr>
                <w:rFonts w:ascii="Times New Roman"/>
                <w:sz w:val="18"/>
              </w:rPr>
              <w:t>171,859,131.22</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）未办妥产权证书的固定资产情况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88"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357" w:hRule="exact"/>
        </w:trPr>
        <w:tc>
          <w:tcPr>
            <w:tcW w:w="3187" w:type="dxa"/>
            <w:tcBorders>
              <w:top w:val="single" w:sz="4" w:space="0" w:color="000000"/>
              <w:left w:val="single" w:sz="4" w:space="0" w:color="000000"/>
              <w:bottom w:val="nil" w:sz="6" w:space="0" w:color="auto"/>
              <w:right w:val="single" w:sz="4" w:space="0" w:color="000000"/>
            </w:tcBorders>
          </w:tcPr>
          <w:p>
            <w:pPr/>
          </w:p>
        </w:tc>
        <w:tc>
          <w:tcPr>
            <w:tcW w:w="3193" w:type="dxa"/>
            <w:tcBorders>
              <w:top w:val="single" w:sz="4" w:space="0" w:color="000000"/>
              <w:left w:val="single" w:sz="4" w:space="0" w:color="000000"/>
              <w:bottom w:val="nil" w:sz="6" w:space="0" w:color="auto"/>
              <w:right w:val="single" w:sz="4" w:space="0" w:color="000000"/>
            </w:tcBorders>
          </w:tcPr>
          <w:p>
            <w:pPr/>
          </w:p>
        </w:tc>
        <w:tc>
          <w:tcPr>
            <w:tcW w:w="31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因公司未取得小客车配置指标，以股东</w:t>
            </w:r>
          </w:p>
        </w:tc>
      </w:tr>
      <w:tr>
        <w:trPr>
          <w:trHeight w:val="624" w:hRule="exact"/>
        </w:trPr>
        <w:tc>
          <w:tcPr>
            <w:tcW w:w="318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运输设备</w:t>
            </w:r>
            <w:r>
              <w:rPr>
                <w:rFonts w:ascii="Times New Roman" w:hAnsi="Times New Roman" w:cs="Times New Roman" w:eastAsia="Times New Roman" w:hint="default"/>
                <w:sz w:val="18"/>
                <w:szCs w:val="18"/>
              </w:rPr>
              <w:t>/</w:t>
            </w:r>
            <w:r>
              <w:rPr>
                <w:rFonts w:ascii="宋体" w:hAnsi="宋体" w:cs="宋体" w:eastAsia="宋体" w:hint="default"/>
                <w:sz w:val="18"/>
                <w:szCs w:val="18"/>
              </w:rPr>
              <w:t>畅元国讯</w:t>
            </w:r>
          </w:p>
        </w:tc>
        <w:tc>
          <w:tcPr>
            <w:tcW w:w="31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83,126.42</w:t>
            </w:r>
          </w:p>
        </w:tc>
        <w:tc>
          <w:tcPr>
            <w:tcW w:w="318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95"/>
              <w:jc w:val="left"/>
              <w:rPr>
                <w:rFonts w:ascii="宋体" w:hAnsi="宋体" w:cs="宋体" w:eastAsia="宋体" w:hint="default"/>
                <w:sz w:val="18"/>
                <w:szCs w:val="18"/>
              </w:rPr>
            </w:pPr>
            <w:r>
              <w:rPr>
                <w:rFonts w:ascii="宋体" w:hAnsi="宋体" w:cs="宋体" w:eastAsia="宋体" w:hint="default"/>
                <w:sz w:val="18"/>
                <w:szCs w:val="18"/>
              </w:rPr>
              <w:t>杨超的名义购买一辆汽车，杨超承诺待 畅元国讯取得小客车配置指标后，配合</w:t>
            </w:r>
          </w:p>
        </w:tc>
      </w:tr>
      <w:tr>
        <w:trPr>
          <w:trHeight w:val="357" w:hRule="exact"/>
        </w:trPr>
        <w:tc>
          <w:tcPr>
            <w:tcW w:w="3187" w:type="dxa"/>
            <w:tcBorders>
              <w:top w:val="nil" w:sz="6" w:space="0" w:color="auto"/>
              <w:left w:val="single" w:sz="4" w:space="0" w:color="000000"/>
              <w:bottom w:val="single" w:sz="4" w:space="0" w:color="000000"/>
              <w:right w:val="single" w:sz="4" w:space="0" w:color="000000"/>
            </w:tcBorders>
          </w:tcPr>
          <w:p>
            <w:pPr/>
          </w:p>
        </w:tc>
        <w:tc>
          <w:tcPr>
            <w:tcW w:w="3193" w:type="dxa"/>
            <w:tcBorders>
              <w:top w:val="nil" w:sz="6" w:space="0" w:color="auto"/>
              <w:left w:val="single" w:sz="4" w:space="0" w:color="000000"/>
              <w:bottom w:val="single" w:sz="4" w:space="0" w:color="000000"/>
              <w:right w:val="single" w:sz="4" w:space="0" w:color="000000"/>
            </w:tcBorders>
          </w:tcPr>
          <w:p>
            <w:pPr/>
          </w:p>
        </w:tc>
        <w:tc>
          <w:tcPr>
            <w:tcW w:w="31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将该车辆过户至畅元国讯名下</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r>
              <w:rPr>
                <w:rFonts w:ascii="Times New Roman" w:hAnsi="Times New Roman" w:cs="Times New Roman" w:eastAsia="Times New Roman" w:hint="default"/>
                <w:sz w:val="18"/>
                <w:szCs w:val="18"/>
              </w:rPr>
              <w:t>/</w:t>
            </w:r>
            <w:r>
              <w:rPr>
                <w:rFonts w:ascii="宋体" w:hAnsi="宋体" w:cs="宋体" w:eastAsia="宋体" w:hint="default"/>
                <w:sz w:val="18"/>
                <w:szCs w:val="18"/>
              </w:rPr>
              <w:t>北京至美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65,919,950.73</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北京至美房屋产权正在办理过程中</w:t>
            </w:r>
          </w:p>
        </w:tc>
      </w:tr>
      <w:tr>
        <w:trPr>
          <w:trHeight w:val="357" w:hRule="exact"/>
        </w:trPr>
        <w:tc>
          <w:tcPr>
            <w:tcW w:w="3187" w:type="dxa"/>
            <w:tcBorders>
              <w:top w:val="single" w:sz="4" w:space="0" w:color="000000"/>
              <w:left w:val="single" w:sz="4" w:space="0" w:color="000000"/>
              <w:bottom w:val="nil" w:sz="6" w:space="0" w:color="auto"/>
              <w:right w:val="single" w:sz="4" w:space="0" w:color="000000"/>
            </w:tcBorders>
          </w:tcPr>
          <w:p>
            <w:pPr/>
          </w:p>
        </w:tc>
        <w:tc>
          <w:tcPr>
            <w:tcW w:w="3193" w:type="dxa"/>
            <w:tcBorders>
              <w:top w:val="single" w:sz="4" w:space="0" w:color="000000"/>
              <w:left w:val="single" w:sz="4" w:space="0" w:color="000000"/>
              <w:bottom w:val="nil" w:sz="6" w:space="0" w:color="auto"/>
              <w:right w:val="single" w:sz="4" w:space="0" w:color="000000"/>
            </w:tcBorders>
          </w:tcPr>
          <w:p>
            <w:pPr/>
          </w:p>
        </w:tc>
        <w:tc>
          <w:tcPr>
            <w:tcW w:w="31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土地使用权为中冶美隆所有，房屋为湖</w:t>
            </w:r>
          </w:p>
        </w:tc>
      </w:tr>
      <w:tr>
        <w:trPr>
          <w:trHeight w:val="318" w:hRule="exact"/>
        </w:trPr>
        <w:tc>
          <w:tcPr>
            <w:tcW w:w="318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r>
              <w:rPr>
                <w:rFonts w:ascii="Times New Roman" w:hAnsi="Times New Roman" w:cs="Times New Roman" w:eastAsia="Times New Roman" w:hint="default"/>
                <w:sz w:val="18"/>
                <w:szCs w:val="18"/>
              </w:rPr>
              <w:t>/</w:t>
            </w:r>
            <w:r>
              <w:rPr>
                <w:rFonts w:ascii="宋体" w:hAnsi="宋体" w:cs="宋体" w:eastAsia="宋体" w:hint="default"/>
                <w:sz w:val="18"/>
                <w:szCs w:val="18"/>
              </w:rPr>
              <w:t>湖南安妮</w:t>
            </w:r>
          </w:p>
        </w:tc>
        <w:tc>
          <w:tcPr>
            <w:tcW w:w="319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792,435.79</w:t>
            </w:r>
          </w:p>
        </w:tc>
        <w:tc>
          <w:tcPr>
            <w:tcW w:w="318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南安妮建造，无法办理权证；两个门卫</w:t>
            </w:r>
          </w:p>
        </w:tc>
      </w:tr>
      <w:tr>
        <w:trPr>
          <w:trHeight w:val="351" w:hRule="exact"/>
        </w:trPr>
        <w:tc>
          <w:tcPr>
            <w:tcW w:w="3187" w:type="dxa"/>
            <w:tcBorders>
              <w:top w:val="nil" w:sz="6" w:space="0" w:color="auto"/>
              <w:left w:val="single" w:sz="4" w:space="0" w:color="000000"/>
              <w:bottom w:val="single" w:sz="4" w:space="0" w:color="000000"/>
              <w:right w:val="single" w:sz="4" w:space="0" w:color="000000"/>
            </w:tcBorders>
          </w:tcPr>
          <w:p>
            <w:pPr/>
          </w:p>
        </w:tc>
        <w:tc>
          <w:tcPr>
            <w:tcW w:w="3193" w:type="dxa"/>
            <w:tcBorders>
              <w:top w:val="nil" w:sz="6" w:space="0" w:color="auto"/>
              <w:left w:val="single" w:sz="4" w:space="0" w:color="000000"/>
              <w:bottom w:val="single" w:sz="4" w:space="0" w:color="000000"/>
              <w:right w:val="single" w:sz="4" w:space="0" w:color="000000"/>
            </w:tcBorders>
          </w:tcPr>
          <w:p>
            <w:pPr/>
          </w:p>
        </w:tc>
        <w:tc>
          <w:tcPr>
            <w:tcW w:w="31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室金额太小，未办理产权</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66,795,512.94</w:t>
            </w:r>
          </w:p>
        </w:tc>
        <w:tc>
          <w:tcPr>
            <w:tcW w:w="3188"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14</w:t>
      </w:r>
      <w:r>
        <w:rPr/>
        <w:t>、无形资产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）无形资产情况</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128"/>
        <w:gridCol w:w="1416"/>
        <w:gridCol w:w="1418"/>
        <w:gridCol w:w="1276"/>
        <w:gridCol w:w="1700"/>
        <w:gridCol w:w="1560"/>
      </w:tblGrid>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44"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游艇泊位</w:t>
            </w:r>
          </w:p>
        </w:tc>
        <w:tc>
          <w:tcPr>
            <w:tcW w:w="17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94" w:right="0"/>
              <w:jc w:val="left"/>
              <w:rPr>
                <w:rFonts w:ascii="宋体" w:hAnsi="宋体" w:cs="宋体" w:eastAsia="宋体" w:hint="default"/>
                <w:sz w:val="18"/>
                <w:szCs w:val="18"/>
              </w:rPr>
            </w:pPr>
            <w:r>
              <w:rPr>
                <w:rFonts w:ascii="宋体" w:hAnsi="宋体" w:cs="宋体" w:eastAsia="宋体" w:hint="default"/>
                <w:sz w:val="18"/>
                <w:szCs w:val="18"/>
              </w:rPr>
              <w:t>其他特许权</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27,627,034.81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42,223,819.29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2,393,494.00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17,270,062.08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89,514,410.18</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676,099.44</w:t>
            </w: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676,099.44</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676,099.44</w:t>
            </w: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676,099.44</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）内部研发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27,627,034.81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42,899,918.73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2,393,494.00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17,270,062.08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90,190,509.62</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5,874,172.36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17,644,379.90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425,510.40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10,796,305.35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34,740,368.01</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543,025.13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3,533,700.34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53,188.80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1,655,743.39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5,785,657.66</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543,025.13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3,533,700.34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53,188.80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1,655,743.39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5,785,657.66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2127"/>
        <w:gridCol w:w="1417"/>
        <w:gridCol w:w="1418"/>
        <w:gridCol w:w="1276"/>
        <w:gridCol w:w="1700"/>
        <w:gridCol w:w="1560"/>
      </w:tblGrid>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6,417,197.49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21,178,080.24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478,699.20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12,452,048.73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40,526,025.66</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1,166,029.72</w:t>
            </w: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4,781,613.34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5,947,643.06</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1,166,029.72</w:t>
            </w: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4,781,613.34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5,947,643.06</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21,209,837.32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20,555,808.77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1,914,794.80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36,400.01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43,716,840.90</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21,752,862.45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23,413,409.67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1,967,983.60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1,692,143.39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48,826,399.11</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本期末通过公司内部研发形成的无形资产占无形资产余额的比例。</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15</w:t>
      </w:r>
      <w:r>
        <w:rPr/>
        <w:t>、商誉</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）商誉账面原值</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977"/>
        <w:gridCol w:w="1700"/>
        <w:gridCol w:w="1418"/>
        <w:gridCol w:w="708"/>
        <w:gridCol w:w="709"/>
        <w:gridCol w:w="689"/>
        <w:gridCol w:w="1367"/>
      </w:tblGrid>
      <w:tr>
        <w:trPr>
          <w:trHeight w:val="206" w:hRule="exact"/>
        </w:trPr>
        <w:tc>
          <w:tcPr>
            <w:tcW w:w="2977" w:type="dxa"/>
            <w:tcBorders>
              <w:top w:val="single" w:sz="4" w:space="0" w:color="000000"/>
              <w:left w:val="single" w:sz="4" w:space="0" w:color="000000"/>
              <w:bottom w:val="nil" w:sz="6" w:space="0" w:color="auto"/>
              <w:right w:val="single" w:sz="4" w:space="0" w:color="000000"/>
            </w:tcBorders>
            <w:shd w:val="clear" w:color="auto" w:fill="D3D3D3"/>
          </w:tcPr>
          <w:p>
            <w:pPr/>
          </w:p>
        </w:tc>
        <w:tc>
          <w:tcPr>
            <w:tcW w:w="170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126"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left="69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98"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left="33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977" w:type="dxa"/>
            <w:vMerge w:val="restart"/>
            <w:tcBorders>
              <w:top w:val="nil" w:sz="6" w:space="0" w:color="auto"/>
              <w:left w:val="single" w:sz="4" w:space="0" w:color="000000"/>
              <w:right w:val="single" w:sz="4" w:space="0" w:color="000000"/>
            </w:tcBorders>
            <w:shd w:val="clear" w:color="auto" w:fill="D3D3D3"/>
          </w:tcPr>
          <w:p>
            <w:pPr>
              <w:pStyle w:val="TableParagraph"/>
              <w:spacing w:line="240" w:lineRule="auto" w:before="51"/>
              <w:ind w:left="133"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700" w:type="dxa"/>
            <w:vMerge/>
            <w:tcBorders>
              <w:left w:val="single" w:sz="4" w:space="0" w:color="000000"/>
              <w:right w:val="single" w:sz="4" w:space="0" w:color="000000"/>
            </w:tcBorders>
            <w:shd w:val="clear" w:color="auto" w:fill="D3D3D3"/>
          </w:tcPr>
          <w:p>
            <w:pPr/>
          </w:p>
        </w:tc>
        <w:tc>
          <w:tcPr>
            <w:tcW w:w="2126" w:type="dxa"/>
            <w:gridSpan w:val="2"/>
            <w:vMerge/>
            <w:tcBorders>
              <w:left w:val="single" w:sz="4" w:space="0" w:color="000000"/>
              <w:bottom w:val="single" w:sz="4" w:space="0" w:color="000000"/>
              <w:right w:val="single" w:sz="4" w:space="0" w:color="000000"/>
            </w:tcBorders>
            <w:shd w:val="clear" w:color="auto" w:fill="D3D3D3"/>
          </w:tcPr>
          <w:p>
            <w:pPr/>
          </w:p>
        </w:tc>
        <w:tc>
          <w:tcPr>
            <w:tcW w:w="1398" w:type="dxa"/>
            <w:gridSpan w:val="2"/>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right w:val="single" w:sz="4" w:space="0" w:color="000000"/>
            </w:tcBorders>
            <w:shd w:val="clear" w:color="auto" w:fill="D3D3D3"/>
          </w:tcPr>
          <w:p>
            <w:pPr/>
          </w:p>
        </w:tc>
      </w:tr>
      <w:tr>
        <w:trPr>
          <w:trHeight w:val="197" w:hRule="exact"/>
        </w:trPr>
        <w:tc>
          <w:tcPr>
            <w:tcW w:w="2977" w:type="dxa"/>
            <w:vMerge/>
            <w:tcBorders>
              <w:left w:val="single" w:sz="4" w:space="0" w:color="000000"/>
              <w:bottom w:val="nil" w:sz="6" w:space="0" w:color="auto"/>
              <w:right w:val="single" w:sz="4" w:space="0" w:color="000000"/>
            </w:tcBorders>
            <w:shd w:val="clear" w:color="auto" w:fill="D3D3D3"/>
          </w:tcPr>
          <w:p>
            <w:pPr/>
          </w:p>
        </w:tc>
        <w:tc>
          <w:tcPr>
            <w:tcW w:w="1700" w:type="dxa"/>
            <w:vMerge/>
            <w:tcBorders>
              <w:left w:val="single" w:sz="4" w:space="0" w:color="000000"/>
              <w:right w:val="single" w:sz="4" w:space="0" w:color="000000"/>
            </w:tcBorders>
            <w:shd w:val="clear" w:color="auto" w:fill="D3D3D3"/>
          </w:tcPr>
          <w:p>
            <w:pPr/>
          </w:p>
        </w:tc>
        <w:tc>
          <w:tcPr>
            <w:tcW w:w="141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left="74" w:right="0"/>
              <w:jc w:val="left"/>
              <w:rPr>
                <w:rFonts w:ascii="宋体" w:hAnsi="宋体" w:cs="宋体" w:eastAsia="宋体" w:hint="default"/>
                <w:sz w:val="18"/>
                <w:szCs w:val="18"/>
              </w:rPr>
            </w:pPr>
            <w:r>
              <w:rPr>
                <w:rFonts w:ascii="宋体" w:hAnsi="宋体" w:cs="宋体" w:eastAsia="宋体" w:hint="default"/>
                <w:sz w:val="18"/>
                <w:szCs w:val="18"/>
              </w:rPr>
              <w:t>企业合并形成的</w:t>
            </w:r>
          </w:p>
        </w:tc>
        <w:tc>
          <w:tcPr>
            <w:tcW w:w="708" w:type="dxa"/>
            <w:vMerge w:val="restart"/>
            <w:tcBorders>
              <w:top w:val="single" w:sz="4" w:space="0" w:color="000000"/>
              <w:left w:val="single" w:sz="4" w:space="0" w:color="000000"/>
              <w:right w:val="single" w:sz="4" w:space="0" w:color="000000"/>
            </w:tcBorders>
            <w:shd w:val="clear" w:color="auto" w:fill="D3D3D3"/>
          </w:tcPr>
          <w:p>
            <w:pPr/>
          </w:p>
        </w:tc>
        <w:tc>
          <w:tcPr>
            <w:tcW w:w="70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689" w:type="dxa"/>
            <w:vMerge w:val="restart"/>
            <w:tcBorders>
              <w:top w:val="single" w:sz="4" w:space="0" w:color="000000"/>
              <w:left w:val="single" w:sz="4" w:space="0" w:color="000000"/>
              <w:right w:val="single" w:sz="4" w:space="0" w:color="000000"/>
            </w:tcBorders>
            <w:shd w:val="clear" w:color="auto" w:fill="D3D3D3"/>
          </w:tcPr>
          <w:p>
            <w:pPr/>
          </w:p>
        </w:tc>
        <w:tc>
          <w:tcPr>
            <w:tcW w:w="1367" w:type="dxa"/>
            <w:vMerge/>
            <w:tcBorders>
              <w:left w:val="single" w:sz="4" w:space="0" w:color="000000"/>
              <w:right w:val="single" w:sz="4" w:space="0" w:color="000000"/>
            </w:tcBorders>
            <w:shd w:val="clear" w:color="auto" w:fill="D3D3D3"/>
          </w:tcPr>
          <w:p>
            <w:pPr/>
          </w:p>
        </w:tc>
      </w:tr>
      <w:tr>
        <w:trPr>
          <w:trHeight w:val="205" w:hRule="exact"/>
        </w:trPr>
        <w:tc>
          <w:tcPr>
            <w:tcW w:w="2977" w:type="dxa"/>
            <w:tcBorders>
              <w:top w:val="nil" w:sz="6" w:space="0" w:color="auto"/>
              <w:left w:val="single" w:sz="4" w:space="0" w:color="000000"/>
              <w:bottom w:val="single" w:sz="4" w:space="0" w:color="000000"/>
              <w:right w:val="single" w:sz="4" w:space="0" w:color="000000"/>
            </w:tcBorders>
            <w:shd w:val="clear" w:color="auto" w:fill="D3D3D3"/>
          </w:tcPr>
          <w:p>
            <w:pPr/>
          </w:p>
        </w:tc>
        <w:tc>
          <w:tcPr>
            <w:tcW w:w="1700" w:type="dxa"/>
            <w:vMerge/>
            <w:tcBorders>
              <w:left w:val="single" w:sz="4" w:space="0" w:color="000000"/>
              <w:bottom w:val="single" w:sz="4" w:space="0" w:color="000000"/>
              <w:right w:val="single" w:sz="4" w:space="0" w:color="000000"/>
            </w:tcBorders>
            <w:shd w:val="clear" w:color="auto" w:fill="D3D3D3"/>
          </w:tcPr>
          <w:p>
            <w:pPr/>
          </w:p>
        </w:tc>
        <w:tc>
          <w:tcPr>
            <w:tcW w:w="1418" w:type="dxa"/>
            <w:vMerge/>
            <w:tcBorders>
              <w:left w:val="single" w:sz="4" w:space="0" w:color="000000"/>
              <w:bottom w:val="single" w:sz="4" w:space="0" w:color="000000"/>
              <w:right w:val="single" w:sz="4" w:space="0" w:color="000000"/>
            </w:tcBorders>
            <w:shd w:val="clear" w:color="auto" w:fill="D3D3D3"/>
          </w:tcPr>
          <w:p>
            <w:pPr/>
          </w:p>
        </w:tc>
        <w:tc>
          <w:tcPr>
            <w:tcW w:w="708" w:type="dxa"/>
            <w:vMerge/>
            <w:tcBorders>
              <w:left w:val="single" w:sz="4" w:space="0" w:color="000000"/>
              <w:bottom w:val="single" w:sz="4" w:space="0" w:color="000000"/>
              <w:right w:val="single" w:sz="4" w:space="0" w:color="000000"/>
            </w:tcBorders>
            <w:shd w:val="clear" w:color="auto" w:fill="D3D3D3"/>
          </w:tcPr>
          <w:p>
            <w:pPr/>
          </w:p>
        </w:tc>
        <w:tc>
          <w:tcPr>
            <w:tcW w:w="709" w:type="dxa"/>
            <w:vMerge/>
            <w:tcBorders>
              <w:left w:val="single" w:sz="4" w:space="0" w:color="000000"/>
              <w:bottom w:val="single" w:sz="4" w:space="0" w:color="000000"/>
              <w:right w:val="single" w:sz="4" w:space="0" w:color="000000"/>
            </w:tcBorders>
            <w:shd w:val="clear" w:color="auto" w:fill="D3D3D3"/>
          </w:tcPr>
          <w:p>
            <w:pPr/>
          </w:p>
        </w:tc>
        <w:tc>
          <w:tcPr>
            <w:tcW w:w="689"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非同一控制下合并北京至美形成商誉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1,958,144.00</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1,958,144.00</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非同一控制下合并北京联移形成商誉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308,315.00</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308,315.00</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非同一控制下合并上海超级形成商誉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395,191.02</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395,191.02</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非同一控制下合并微梦想形成商誉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85,244,292.85</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85,244,292.85</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非同一控制下合并畅元国讯形成商誉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1,041,006,026.82</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1,041,006,026.82</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非同一控制下合并华迪希艾形成商誉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2,685,623.92</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2,685,623.92</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非同一控制下合并成都博艾形成商誉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143,813.31</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143,813.31</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非同一控制下合并淘智惠形成商誉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2,549,999.32</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2,549,999.32</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1,134,291,406.24</w:t>
            </w:r>
          </w:p>
        </w:tc>
        <w:tc>
          <w:tcPr>
            <w:tcW w:w="141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1,134,291,406.24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宋体" w:hAnsi="宋体" w:cs="宋体" w:eastAsia="宋体" w:hint="default"/>
          <w:sz w:val="20"/>
          <w:szCs w:val="20"/>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）商誉减值准备</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977"/>
        <w:gridCol w:w="1418"/>
        <w:gridCol w:w="1416"/>
        <w:gridCol w:w="852"/>
        <w:gridCol w:w="850"/>
        <w:gridCol w:w="689"/>
        <w:gridCol w:w="1367"/>
      </w:tblGrid>
      <w:tr>
        <w:trPr>
          <w:trHeight w:val="206" w:hRule="exact"/>
        </w:trPr>
        <w:tc>
          <w:tcPr>
            <w:tcW w:w="2977" w:type="dxa"/>
            <w:tcBorders>
              <w:top w:val="single" w:sz="4" w:space="0" w:color="000000"/>
              <w:left w:val="single" w:sz="4" w:space="0" w:color="000000"/>
              <w:bottom w:val="nil" w:sz="6" w:space="0" w:color="auto"/>
              <w:right w:val="single" w:sz="4" w:space="0" w:color="000000"/>
            </w:tcBorders>
            <w:shd w:val="clear" w:color="auto" w:fill="D3D3D3"/>
          </w:tcPr>
          <w:p>
            <w:pPr/>
          </w:p>
        </w:tc>
        <w:tc>
          <w:tcPr>
            <w:tcW w:w="141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268"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538"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2"/>
              <w:ind w:left="40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977" w:type="dxa"/>
            <w:vMerge w:val="restart"/>
            <w:tcBorders>
              <w:top w:val="nil" w:sz="6" w:space="0" w:color="auto"/>
              <w:left w:val="single" w:sz="4" w:space="0" w:color="000000"/>
              <w:right w:val="single" w:sz="4" w:space="0" w:color="000000"/>
            </w:tcBorders>
            <w:shd w:val="clear" w:color="auto" w:fill="D3D3D3"/>
          </w:tcPr>
          <w:p>
            <w:pPr>
              <w:pStyle w:val="TableParagraph"/>
              <w:spacing w:line="240" w:lineRule="auto" w:before="51"/>
              <w:ind w:left="133"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418" w:type="dxa"/>
            <w:vMerge/>
            <w:tcBorders>
              <w:left w:val="single" w:sz="4" w:space="0" w:color="000000"/>
              <w:right w:val="single" w:sz="4" w:space="0" w:color="000000"/>
            </w:tcBorders>
            <w:shd w:val="clear" w:color="auto" w:fill="D3D3D3"/>
          </w:tcPr>
          <w:p>
            <w:pPr/>
          </w:p>
        </w:tc>
        <w:tc>
          <w:tcPr>
            <w:tcW w:w="2268" w:type="dxa"/>
            <w:gridSpan w:val="2"/>
            <w:vMerge/>
            <w:tcBorders>
              <w:left w:val="single" w:sz="4" w:space="0" w:color="000000"/>
              <w:bottom w:val="single" w:sz="4" w:space="0" w:color="000000"/>
              <w:right w:val="single" w:sz="4" w:space="0" w:color="000000"/>
            </w:tcBorders>
            <w:shd w:val="clear" w:color="auto" w:fill="D3D3D3"/>
          </w:tcPr>
          <w:p>
            <w:pPr/>
          </w:p>
        </w:tc>
        <w:tc>
          <w:tcPr>
            <w:tcW w:w="1538" w:type="dxa"/>
            <w:gridSpan w:val="2"/>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right w:val="single" w:sz="4" w:space="0" w:color="000000"/>
            </w:tcBorders>
            <w:shd w:val="clear" w:color="auto" w:fill="D3D3D3"/>
          </w:tcPr>
          <w:p>
            <w:pPr/>
          </w:p>
        </w:tc>
      </w:tr>
      <w:tr>
        <w:trPr>
          <w:trHeight w:val="196" w:hRule="exact"/>
        </w:trPr>
        <w:tc>
          <w:tcPr>
            <w:tcW w:w="2977" w:type="dxa"/>
            <w:vMerge/>
            <w:tcBorders>
              <w:left w:val="single" w:sz="4" w:space="0" w:color="000000"/>
              <w:bottom w:val="nil" w:sz="6" w:space="0" w:color="auto"/>
              <w:right w:val="single" w:sz="4" w:space="0" w:color="000000"/>
            </w:tcBorders>
            <w:shd w:val="clear" w:color="auto" w:fill="D3D3D3"/>
          </w:tcPr>
          <w:p>
            <w:pPr/>
          </w:p>
        </w:tc>
        <w:tc>
          <w:tcPr>
            <w:tcW w:w="1418" w:type="dxa"/>
            <w:vMerge/>
            <w:tcBorders>
              <w:left w:val="single" w:sz="4" w:space="0" w:color="000000"/>
              <w:right w:val="single" w:sz="4" w:space="0" w:color="000000"/>
            </w:tcBorders>
            <w:shd w:val="clear" w:color="auto" w:fill="D3D3D3"/>
          </w:tcPr>
          <w:p>
            <w:pPr/>
          </w:p>
        </w:tc>
        <w:tc>
          <w:tcPr>
            <w:tcW w:w="14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852" w:type="dxa"/>
            <w:vMerge w:val="restart"/>
            <w:tcBorders>
              <w:top w:val="single" w:sz="4" w:space="0" w:color="000000"/>
              <w:left w:val="single" w:sz="4" w:space="0" w:color="000000"/>
              <w:right w:val="single" w:sz="4" w:space="0" w:color="000000"/>
            </w:tcBorders>
            <w:shd w:val="clear" w:color="auto" w:fill="D3D3D3"/>
          </w:tcPr>
          <w:p>
            <w:pPr/>
          </w:p>
        </w:tc>
        <w:tc>
          <w:tcPr>
            <w:tcW w:w="85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2"/>
              <w:ind w:left="239"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689" w:type="dxa"/>
            <w:vMerge w:val="restart"/>
            <w:tcBorders>
              <w:top w:val="single" w:sz="4" w:space="0" w:color="000000"/>
              <w:left w:val="single" w:sz="4" w:space="0" w:color="000000"/>
              <w:right w:val="single" w:sz="4" w:space="0" w:color="000000"/>
            </w:tcBorders>
            <w:shd w:val="clear" w:color="auto" w:fill="D3D3D3"/>
          </w:tcPr>
          <w:p>
            <w:pPr/>
          </w:p>
        </w:tc>
        <w:tc>
          <w:tcPr>
            <w:tcW w:w="1367" w:type="dxa"/>
            <w:vMerge/>
            <w:tcBorders>
              <w:left w:val="single" w:sz="4" w:space="0" w:color="000000"/>
              <w:right w:val="single" w:sz="4" w:space="0" w:color="000000"/>
            </w:tcBorders>
            <w:shd w:val="clear" w:color="auto" w:fill="D3D3D3"/>
          </w:tcPr>
          <w:p>
            <w:pPr/>
          </w:p>
        </w:tc>
      </w:tr>
      <w:tr>
        <w:trPr>
          <w:trHeight w:val="205" w:hRule="exact"/>
        </w:trPr>
        <w:tc>
          <w:tcPr>
            <w:tcW w:w="2977" w:type="dxa"/>
            <w:tcBorders>
              <w:top w:val="nil" w:sz="6" w:space="0" w:color="auto"/>
              <w:left w:val="single" w:sz="4" w:space="0" w:color="000000"/>
              <w:bottom w:val="single" w:sz="4" w:space="0" w:color="000000"/>
              <w:right w:val="single" w:sz="4" w:space="0" w:color="000000"/>
            </w:tcBorders>
            <w:shd w:val="clear" w:color="auto" w:fill="D3D3D3"/>
          </w:tcPr>
          <w:p>
            <w:pPr/>
          </w:p>
        </w:tc>
        <w:tc>
          <w:tcPr>
            <w:tcW w:w="1418" w:type="dxa"/>
            <w:vMerge/>
            <w:tcBorders>
              <w:left w:val="single" w:sz="4" w:space="0" w:color="000000"/>
              <w:bottom w:val="single" w:sz="4" w:space="0" w:color="000000"/>
              <w:right w:val="single" w:sz="4" w:space="0" w:color="000000"/>
            </w:tcBorders>
            <w:shd w:val="clear" w:color="auto" w:fill="D3D3D3"/>
          </w:tcPr>
          <w:p>
            <w:pPr/>
          </w:p>
        </w:tc>
        <w:tc>
          <w:tcPr>
            <w:tcW w:w="1416" w:type="dxa"/>
            <w:vMerge/>
            <w:tcBorders>
              <w:left w:val="single" w:sz="4" w:space="0" w:color="000000"/>
              <w:bottom w:val="single" w:sz="4" w:space="0" w:color="000000"/>
              <w:right w:val="single" w:sz="4" w:space="0" w:color="000000"/>
            </w:tcBorders>
            <w:shd w:val="clear" w:color="auto" w:fill="D3D3D3"/>
          </w:tcPr>
          <w:p>
            <w:pPr/>
          </w:p>
        </w:tc>
        <w:tc>
          <w:tcPr>
            <w:tcW w:w="852" w:type="dxa"/>
            <w:vMerge/>
            <w:tcBorders>
              <w:left w:val="single" w:sz="4" w:space="0" w:color="000000"/>
              <w:bottom w:val="single" w:sz="4" w:space="0" w:color="000000"/>
              <w:right w:val="single" w:sz="4" w:space="0" w:color="000000"/>
            </w:tcBorders>
            <w:shd w:val="clear" w:color="auto" w:fill="D3D3D3"/>
          </w:tcPr>
          <w:p>
            <w:pPr/>
          </w:p>
        </w:tc>
        <w:tc>
          <w:tcPr>
            <w:tcW w:w="850" w:type="dxa"/>
            <w:vMerge/>
            <w:tcBorders>
              <w:left w:val="single" w:sz="4" w:space="0" w:color="000000"/>
              <w:bottom w:val="single" w:sz="4" w:space="0" w:color="000000"/>
              <w:right w:val="single" w:sz="4" w:space="0" w:color="000000"/>
            </w:tcBorders>
            <w:shd w:val="clear" w:color="auto" w:fill="D3D3D3"/>
          </w:tcPr>
          <w:p>
            <w:pPr/>
          </w:p>
        </w:tc>
        <w:tc>
          <w:tcPr>
            <w:tcW w:w="689"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非同一控制下合并北京至美形成商誉</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1,958,144.00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1,958,144.00</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非同一控制下合并北京联移形成商誉</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308,315.00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308,315.00</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非同一控制下合并微梦想形成商誉</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85,244,292.85</w:t>
            </w:r>
          </w:p>
        </w:tc>
        <w:tc>
          <w:tcPr>
            <w:tcW w:w="141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85,244,292.85</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非同一控制下合并畅元国讯形成商誉</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302,976,568.89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220,614,798.62</w:t>
            </w: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523,591,367.51</w:t>
            </w:r>
          </w:p>
        </w:tc>
      </w:tr>
      <w:tr>
        <w:trPr>
          <w:trHeight w:val="402"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非同一控制下合并成都博艾形成商誉</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143,813.31</w:t>
            </w:r>
          </w:p>
        </w:tc>
        <w:tc>
          <w:tcPr>
            <w:tcW w:w="141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143,813.31</w:t>
            </w:r>
          </w:p>
        </w:tc>
      </w:tr>
      <w:tr>
        <w:trPr>
          <w:trHeight w:val="403" w:hRule="exact"/>
        </w:trPr>
        <w:tc>
          <w:tcPr>
            <w:tcW w:w="29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390,631,134.05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220,614,798.62</w:t>
            </w: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611,245,932.67</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商誉所在资产组或资产组组合的相关信息</w:t>
      </w:r>
    </w:p>
    <w:p>
      <w:pPr>
        <w:spacing w:line="338" w:lineRule="auto" w:before="130"/>
        <w:ind w:left="154" w:right="1131" w:firstLine="320"/>
        <w:jc w:val="both"/>
        <w:rPr>
          <w:rFonts w:ascii="宋体" w:hAnsi="宋体" w:cs="宋体" w:eastAsia="宋体" w:hint="default"/>
          <w:sz w:val="16"/>
          <w:szCs w:val="16"/>
        </w:rPr>
      </w:pPr>
      <w:r>
        <w:rPr>
          <w:rFonts w:ascii="宋体" w:hAnsi="宋体" w:cs="宋体" w:eastAsia="宋体" w:hint="default"/>
          <w:spacing w:val="-1"/>
          <w:sz w:val="16"/>
          <w:szCs w:val="16"/>
        </w:rPr>
        <w:t>注</w:t>
      </w:r>
      <w:r>
        <w:rPr>
          <w:rFonts w:ascii="Times New Roman" w:hAnsi="Times New Roman" w:cs="Times New Roman" w:eastAsia="Times New Roman" w:hint="default"/>
          <w:spacing w:val="-1"/>
          <w:sz w:val="16"/>
          <w:szCs w:val="16"/>
        </w:rPr>
        <w:t>1</w:t>
      </w:r>
      <w:r>
        <w:rPr>
          <w:rFonts w:ascii="宋体" w:hAnsi="宋体" w:cs="宋体" w:eastAsia="宋体" w:hint="default"/>
          <w:spacing w:val="-1"/>
          <w:sz w:val="16"/>
          <w:szCs w:val="16"/>
        </w:rPr>
        <w:t>：上海超级为公司控股子公司，商誉值非常小，目前公司经营现金流情况稳定，经公司测试表明包含分摊商誉的资产组的可收回金</w:t>
      </w:r>
      <w:r>
        <w:rPr>
          <w:rFonts w:ascii="宋体" w:hAnsi="宋体" w:cs="宋体" w:eastAsia="宋体" w:hint="default"/>
          <w:w w:val="99"/>
          <w:sz w:val="16"/>
          <w:szCs w:val="16"/>
        </w:rPr>
        <w:t> </w:t>
      </w:r>
      <w:r>
        <w:rPr>
          <w:rFonts w:ascii="宋体" w:hAnsi="宋体" w:cs="宋体" w:eastAsia="宋体" w:hint="default"/>
          <w:sz w:val="16"/>
          <w:szCs w:val="16"/>
        </w:rPr>
        <w:t>额未低于其账面价值，故商誉不存在减值。</w:t>
      </w:r>
    </w:p>
    <w:p>
      <w:pPr>
        <w:spacing w:line="338" w:lineRule="auto" w:before="37"/>
        <w:ind w:left="154" w:right="1131" w:firstLine="320"/>
        <w:jc w:val="both"/>
        <w:rPr>
          <w:rFonts w:ascii="宋体" w:hAnsi="宋体" w:cs="宋体" w:eastAsia="宋体" w:hint="default"/>
          <w:sz w:val="16"/>
          <w:szCs w:val="16"/>
        </w:rPr>
      </w:pPr>
      <w:r>
        <w:rPr>
          <w:rFonts w:ascii="宋体" w:hAnsi="宋体" w:cs="宋体" w:eastAsia="宋体" w:hint="default"/>
          <w:spacing w:val="-1"/>
          <w:sz w:val="16"/>
          <w:szCs w:val="16"/>
        </w:rPr>
        <w:t>注</w:t>
      </w:r>
      <w:r>
        <w:rPr>
          <w:rFonts w:ascii="Times New Roman" w:hAnsi="Times New Roman" w:cs="Times New Roman" w:eastAsia="Times New Roman" w:hint="default"/>
          <w:spacing w:val="-1"/>
          <w:sz w:val="16"/>
          <w:szCs w:val="16"/>
        </w:rPr>
        <w:t>2</w:t>
      </w:r>
      <w:r>
        <w:rPr>
          <w:rFonts w:ascii="宋体" w:hAnsi="宋体" w:cs="宋体" w:eastAsia="宋体" w:hint="default"/>
          <w:spacing w:val="-1"/>
          <w:sz w:val="16"/>
          <w:szCs w:val="16"/>
        </w:rPr>
        <w:t>：华迪希艾为公司控股子公司，商誉值非常小，目前公司经营现金流情况稳定，经公司测试表明包含分摊商誉的资产组的可收回金</w:t>
      </w:r>
      <w:r>
        <w:rPr>
          <w:rFonts w:ascii="宋体" w:hAnsi="宋体" w:cs="宋体" w:eastAsia="宋体" w:hint="default"/>
          <w:w w:val="99"/>
          <w:sz w:val="16"/>
          <w:szCs w:val="16"/>
        </w:rPr>
        <w:t> </w:t>
      </w:r>
      <w:r>
        <w:rPr>
          <w:rFonts w:ascii="宋体" w:hAnsi="宋体" w:cs="宋体" w:eastAsia="宋体" w:hint="default"/>
          <w:sz w:val="16"/>
          <w:szCs w:val="16"/>
        </w:rPr>
        <w:t>额未低于其账面价值，故商誉不存在减值。</w:t>
      </w:r>
    </w:p>
    <w:p>
      <w:pPr>
        <w:spacing w:line="338" w:lineRule="auto" w:before="37"/>
        <w:ind w:left="154" w:right="1128" w:firstLine="320"/>
        <w:jc w:val="both"/>
        <w:rPr>
          <w:rFonts w:ascii="宋体" w:hAnsi="宋体" w:cs="宋体" w:eastAsia="宋体" w:hint="default"/>
          <w:sz w:val="16"/>
          <w:szCs w:val="16"/>
        </w:rPr>
      </w:pPr>
      <w:r>
        <w:rPr>
          <w:rFonts w:ascii="宋体" w:hAnsi="宋体" w:cs="宋体" w:eastAsia="宋体" w:hint="default"/>
          <w:spacing w:val="-1"/>
          <w:sz w:val="16"/>
          <w:szCs w:val="16"/>
        </w:rPr>
        <w:t>注</w:t>
      </w:r>
      <w:r>
        <w:rPr>
          <w:rFonts w:ascii="Times New Roman" w:hAnsi="Times New Roman" w:cs="Times New Roman" w:eastAsia="Times New Roman" w:hint="default"/>
          <w:spacing w:val="-1"/>
          <w:sz w:val="16"/>
          <w:szCs w:val="16"/>
        </w:rPr>
        <w:t>3</w:t>
      </w:r>
      <w:r>
        <w:rPr>
          <w:rFonts w:ascii="宋体" w:hAnsi="宋体" w:cs="宋体" w:eastAsia="宋体" w:hint="default"/>
          <w:spacing w:val="-1"/>
          <w:sz w:val="16"/>
          <w:szCs w:val="16"/>
        </w:rPr>
        <w:t>：淘智惠为公司控股子公司，商誉值非常小，目前公司经营现金流情况稳定，经公司测试表明包含分摊商誉的资产组的可收回金额</w:t>
      </w:r>
      <w:r>
        <w:rPr>
          <w:rFonts w:ascii="宋体" w:hAnsi="宋体" w:cs="宋体" w:eastAsia="宋体" w:hint="default"/>
          <w:w w:val="99"/>
          <w:sz w:val="16"/>
          <w:szCs w:val="16"/>
        </w:rPr>
        <w:t> </w:t>
      </w:r>
      <w:r>
        <w:rPr>
          <w:rFonts w:ascii="宋体" w:hAnsi="宋体" w:cs="宋体" w:eastAsia="宋体" w:hint="default"/>
          <w:sz w:val="16"/>
          <w:szCs w:val="16"/>
        </w:rPr>
        <w:t>未低于其账面价值，故商誉不存在减值。</w:t>
      </w:r>
    </w:p>
    <w:p>
      <w:pPr>
        <w:spacing w:line="319" w:lineRule="auto" w:before="63"/>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说明商誉减值测试过程、关键参数（如预计未来现金流量现值时的预测期增长率、稳定期增长率、利润率、折现率、预测期</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等）及商誉减值损失的确认方法：</w:t>
      </w:r>
    </w:p>
    <w:p>
      <w:pPr>
        <w:pStyle w:val="BodyText"/>
        <w:spacing w:line="408" w:lineRule="auto" w:before="108"/>
        <w:ind w:right="1131" w:firstLine="420"/>
        <w:jc w:val="both"/>
      </w:pPr>
      <w:r>
        <w:rPr>
          <w:spacing w:val="-1"/>
        </w:rPr>
        <w:t>公司期末对与商誉相关的北京畅元国讯科技有限公司各资产组进行了减值测试，首先将该商誉及归属</w:t>
      </w:r>
      <w:r>
        <w:rPr/>
        <w:t> </w:t>
      </w:r>
      <w:r>
        <w:rPr>
          <w:spacing w:val="-1"/>
        </w:rPr>
        <w:t>于少数股东权益的商誉包括在内，调整各资产组的账面价值，然后将调整后的各资产组账面价值与其可收</w:t>
      </w:r>
      <w:r>
        <w:rPr>
          <w:spacing w:val="-81"/>
        </w:rPr>
        <w:t> </w:t>
      </w:r>
      <w:r>
        <w:rPr>
          <w:spacing w:val="-81"/>
        </w:rPr>
      </w:r>
      <w:r>
        <w:rPr/>
        <w:t>回金额进行比较，以确定各资产组（包括商誉）是否发生了减值。 </w:t>
      </w:r>
    </w:p>
    <w:p>
      <w:pPr>
        <w:pStyle w:val="BodyText"/>
        <w:spacing w:line="240" w:lineRule="auto"/>
        <w:ind w:left="574" w:right="0"/>
        <w:jc w:val="left"/>
      </w:pPr>
      <w:r>
        <w:rPr/>
        <w:t>（1）商誉减值测试情况如下：  </w:t>
      </w:r>
    </w:p>
    <w:p>
      <w:pPr>
        <w:spacing w:line="240" w:lineRule="auto" w:before="12"/>
        <w:rPr>
          <w:rFonts w:ascii="宋体" w:hAnsi="宋体" w:cs="宋体" w:eastAsia="宋体" w:hint="default"/>
          <w:sz w:val="9"/>
          <w:szCs w:val="9"/>
        </w:rPr>
      </w:pPr>
    </w:p>
    <w:tbl>
      <w:tblPr>
        <w:tblW w:w="0" w:type="auto"/>
        <w:jc w:val="left"/>
        <w:tblInd w:w="149" w:type="dxa"/>
        <w:tblLayout w:type="fixed"/>
        <w:tblCellMar>
          <w:top w:w="0" w:type="dxa"/>
          <w:left w:w="0" w:type="dxa"/>
          <w:bottom w:w="0" w:type="dxa"/>
          <w:right w:w="0" w:type="dxa"/>
        </w:tblCellMar>
        <w:tblLook w:val="01E0"/>
      </w:tblPr>
      <w:tblGrid>
        <w:gridCol w:w="4786"/>
        <w:gridCol w:w="4854"/>
      </w:tblGrid>
      <w:tr>
        <w:trPr>
          <w:trHeight w:val="342" w:hRule="exact"/>
        </w:trPr>
        <w:tc>
          <w:tcPr>
            <w:tcW w:w="47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341" w:right="0"/>
              <w:jc w:val="left"/>
              <w:rPr>
                <w:rFonts w:ascii="宋体" w:hAnsi="宋体" w:cs="宋体" w:eastAsia="宋体" w:hint="default"/>
                <w:sz w:val="18"/>
                <w:szCs w:val="18"/>
              </w:rPr>
            </w:pPr>
            <w:r>
              <w:rPr>
                <w:rFonts w:ascii="宋体" w:hAnsi="宋体" w:cs="宋体" w:eastAsia="宋体" w:hint="default"/>
                <w:sz w:val="18"/>
                <w:szCs w:val="18"/>
              </w:rPr>
              <w:t>北京畅元国讯科技有限公司</w:t>
            </w: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4" w:right="0"/>
              <w:jc w:val="left"/>
              <w:rPr>
                <w:rFonts w:ascii="宋体" w:hAnsi="宋体" w:cs="宋体" w:eastAsia="宋体" w:hint="default"/>
                <w:sz w:val="21"/>
                <w:szCs w:val="21"/>
              </w:rPr>
            </w:pPr>
            <w:r>
              <w:rPr>
                <w:rFonts w:ascii="宋体" w:hAnsi="宋体" w:cs="宋体" w:eastAsia="宋体" w:hint="default"/>
                <w:sz w:val="18"/>
                <w:szCs w:val="18"/>
              </w:rPr>
              <w:t>未确认归属于少数股东权益的商誉账面余额</w:t>
            </w:r>
            <w:r>
              <w:rPr>
                <w:rFonts w:ascii="宋体" w:hAnsi="宋体" w:cs="宋体" w:eastAsia="宋体" w:hint="default"/>
                <w:sz w:val="21"/>
                <w:szCs w:val="21"/>
              </w:rPr>
              <w:t>①</w:t>
            </w:r>
          </w:p>
        </w:tc>
        <w:tc>
          <w:tcPr>
            <w:tcW w:w="4854"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4" w:right="0"/>
              <w:jc w:val="left"/>
              <w:rPr>
                <w:rFonts w:ascii="宋体" w:hAnsi="宋体" w:cs="宋体" w:eastAsia="宋体" w:hint="default"/>
                <w:sz w:val="21"/>
                <w:szCs w:val="21"/>
              </w:rPr>
            </w:pPr>
            <w:r>
              <w:rPr>
                <w:rFonts w:ascii="宋体" w:hAnsi="宋体" w:cs="宋体" w:eastAsia="宋体" w:hint="default"/>
                <w:sz w:val="18"/>
                <w:szCs w:val="18"/>
              </w:rPr>
              <w:t>包含归属于少数股东权益的商誉账面余额</w:t>
            </w:r>
            <w:r>
              <w:rPr>
                <w:rFonts w:ascii="宋体" w:hAnsi="宋体" w:cs="宋体" w:eastAsia="宋体" w:hint="default"/>
                <w:sz w:val="21"/>
                <w:szCs w:val="21"/>
              </w:rPr>
              <w:t>②</w:t>
            </w:r>
          </w:p>
        </w:tc>
        <w:tc>
          <w:tcPr>
            <w:tcW w:w="4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4"/>
              <w:jc w:val="right"/>
              <w:rPr>
                <w:rFonts w:ascii="Times New Roman" w:hAnsi="Times New Roman" w:cs="Times New Roman" w:eastAsia="Times New Roman" w:hint="default"/>
                <w:sz w:val="18"/>
                <w:szCs w:val="18"/>
              </w:rPr>
            </w:pPr>
            <w:r>
              <w:rPr>
                <w:rFonts w:ascii="Times New Roman"/>
                <w:spacing w:val="-1"/>
                <w:sz w:val="18"/>
              </w:rPr>
              <w:t>1,041,006,026.82</w:t>
            </w: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4" w:right="0"/>
              <w:jc w:val="left"/>
              <w:rPr>
                <w:rFonts w:ascii="宋体" w:hAnsi="宋体" w:cs="宋体" w:eastAsia="宋体" w:hint="default"/>
                <w:sz w:val="21"/>
                <w:szCs w:val="21"/>
              </w:rPr>
            </w:pPr>
            <w:r>
              <w:rPr>
                <w:rFonts w:ascii="宋体" w:hAnsi="宋体" w:cs="宋体" w:eastAsia="宋体" w:hint="default"/>
                <w:sz w:val="18"/>
                <w:szCs w:val="18"/>
              </w:rPr>
              <w:t>账面已提商誉减值准备余额</w:t>
            </w:r>
            <w:r>
              <w:rPr>
                <w:rFonts w:ascii="宋体" w:hAnsi="宋体" w:cs="宋体" w:eastAsia="宋体" w:hint="default"/>
                <w:sz w:val="21"/>
                <w:szCs w:val="21"/>
              </w:rPr>
              <w:t>③</w:t>
            </w:r>
          </w:p>
        </w:tc>
        <w:tc>
          <w:tcPr>
            <w:tcW w:w="4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302,976,568.89</w:t>
            </w: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left="4" w:right="0"/>
              <w:jc w:val="left"/>
              <w:rPr>
                <w:rFonts w:ascii="宋体" w:hAnsi="宋体" w:cs="宋体" w:eastAsia="宋体" w:hint="default"/>
                <w:sz w:val="21"/>
                <w:szCs w:val="21"/>
              </w:rPr>
            </w:pPr>
            <w:r>
              <w:rPr>
                <w:rFonts w:ascii="宋体" w:hAnsi="宋体" w:cs="宋体" w:eastAsia="宋体" w:hint="default"/>
                <w:sz w:val="18"/>
                <w:szCs w:val="18"/>
              </w:rPr>
              <w:t>包含归属于少数股东权益的商誉账面价值</w:t>
            </w:r>
            <w:r>
              <w:rPr>
                <w:rFonts w:ascii="宋体" w:hAnsi="宋体" w:cs="宋体" w:eastAsia="宋体" w:hint="default"/>
                <w:sz w:val="21"/>
                <w:szCs w:val="21"/>
              </w:rPr>
              <w:t>④</w:t>
            </w:r>
            <w:r>
              <w:rPr>
                <w:rFonts w:ascii="Times New Roman" w:hAnsi="Times New Roman" w:cs="Times New Roman" w:eastAsia="Times New Roman" w:hint="default"/>
                <w:sz w:val="21"/>
                <w:szCs w:val="21"/>
              </w:rPr>
              <w:t>=</w:t>
            </w:r>
            <w:r>
              <w:rPr>
                <w:rFonts w:ascii="宋体" w:hAnsi="宋体" w:cs="宋体" w:eastAsia="宋体" w:hint="default"/>
                <w:sz w:val="21"/>
                <w:szCs w:val="21"/>
              </w:rPr>
              <w:t>②</w:t>
            </w:r>
            <w:r>
              <w:rPr>
                <w:rFonts w:ascii="Times New Roman" w:hAnsi="Times New Roman" w:cs="Times New Roman" w:eastAsia="Times New Roman" w:hint="default"/>
                <w:sz w:val="21"/>
                <w:szCs w:val="21"/>
              </w:rPr>
              <w:t>-</w:t>
            </w:r>
            <w:r>
              <w:rPr>
                <w:rFonts w:ascii="宋体" w:hAnsi="宋体" w:cs="宋体" w:eastAsia="宋体" w:hint="default"/>
                <w:sz w:val="21"/>
                <w:szCs w:val="21"/>
              </w:rPr>
              <w:t>③</w:t>
            </w:r>
          </w:p>
        </w:tc>
        <w:tc>
          <w:tcPr>
            <w:tcW w:w="4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738,029,457.93</w:t>
            </w: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4" w:right="0"/>
              <w:jc w:val="left"/>
              <w:rPr>
                <w:rFonts w:ascii="宋体" w:hAnsi="宋体" w:cs="宋体" w:eastAsia="宋体" w:hint="default"/>
                <w:sz w:val="21"/>
                <w:szCs w:val="21"/>
              </w:rPr>
            </w:pPr>
            <w:r>
              <w:rPr>
                <w:rFonts w:ascii="宋体" w:hAnsi="宋体" w:cs="宋体" w:eastAsia="宋体" w:hint="default"/>
                <w:sz w:val="18"/>
                <w:szCs w:val="18"/>
              </w:rPr>
              <w:t>资产组的账面价值</w:t>
            </w:r>
            <w:r>
              <w:rPr>
                <w:rFonts w:ascii="宋体" w:hAnsi="宋体" w:cs="宋体" w:eastAsia="宋体" w:hint="default"/>
                <w:sz w:val="21"/>
                <w:szCs w:val="21"/>
              </w:rPr>
              <w:t>⑤</w:t>
            </w:r>
          </w:p>
        </w:tc>
        <w:tc>
          <w:tcPr>
            <w:tcW w:w="4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18,962,706.92</w:t>
            </w: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left="4" w:right="0"/>
              <w:jc w:val="left"/>
              <w:rPr>
                <w:rFonts w:ascii="宋体" w:hAnsi="宋体" w:cs="宋体" w:eastAsia="宋体" w:hint="default"/>
                <w:sz w:val="21"/>
                <w:szCs w:val="21"/>
              </w:rPr>
            </w:pPr>
            <w:r>
              <w:rPr>
                <w:rFonts w:ascii="宋体" w:hAnsi="宋体" w:cs="宋体" w:eastAsia="宋体" w:hint="default"/>
                <w:sz w:val="18"/>
                <w:szCs w:val="18"/>
              </w:rPr>
              <w:t>包含整体商誉的资产组的账面价值</w:t>
            </w:r>
            <w:r>
              <w:rPr>
                <w:rFonts w:ascii="宋体" w:hAnsi="宋体" w:cs="宋体" w:eastAsia="宋体" w:hint="default"/>
                <w:sz w:val="21"/>
                <w:szCs w:val="21"/>
              </w:rPr>
              <w:t>⑥</w:t>
            </w:r>
            <w:r>
              <w:rPr>
                <w:rFonts w:ascii="Times New Roman" w:hAnsi="Times New Roman" w:cs="Times New Roman" w:eastAsia="Times New Roman" w:hint="default"/>
                <w:sz w:val="18"/>
                <w:szCs w:val="18"/>
              </w:rPr>
              <w:t>=</w:t>
            </w:r>
            <w:r>
              <w:rPr>
                <w:rFonts w:ascii="宋体" w:hAnsi="宋体" w:cs="宋体" w:eastAsia="宋体" w:hint="default"/>
                <w:sz w:val="21"/>
                <w:szCs w:val="21"/>
              </w:rPr>
              <w:t>④</w:t>
            </w:r>
            <w:r>
              <w:rPr>
                <w:rFonts w:ascii="Times New Roman" w:hAnsi="Times New Roman" w:cs="Times New Roman" w:eastAsia="Times New Roman" w:hint="default"/>
                <w:sz w:val="21"/>
                <w:szCs w:val="21"/>
              </w:rPr>
              <w:t>+</w:t>
            </w:r>
            <w:r>
              <w:rPr>
                <w:rFonts w:ascii="宋体" w:hAnsi="宋体" w:cs="宋体" w:eastAsia="宋体" w:hint="default"/>
                <w:sz w:val="21"/>
                <w:szCs w:val="21"/>
              </w:rPr>
              <w:t>⑤</w:t>
            </w:r>
          </w:p>
        </w:tc>
        <w:tc>
          <w:tcPr>
            <w:tcW w:w="4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756,992,164.85</w:t>
            </w: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4" w:right="0"/>
              <w:jc w:val="left"/>
              <w:rPr>
                <w:rFonts w:ascii="宋体" w:hAnsi="宋体" w:cs="宋体" w:eastAsia="宋体" w:hint="default"/>
                <w:sz w:val="21"/>
                <w:szCs w:val="21"/>
              </w:rPr>
            </w:pPr>
            <w:r>
              <w:rPr>
                <w:rFonts w:ascii="宋体" w:hAnsi="宋体" w:cs="宋体" w:eastAsia="宋体" w:hint="default"/>
                <w:sz w:val="18"/>
                <w:szCs w:val="18"/>
              </w:rPr>
              <w:t>资产组预计未来现金流量现值（可收回金额）</w:t>
            </w:r>
            <w:r>
              <w:rPr>
                <w:rFonts w:ascii="宋体" w:hAnsi="宋体" w:cs="宋体" w:eastAsia="宋体" w:hint="default"/>
                <w:sz w:val="21"/>
                <w:szCs w:val="21"/>
              </w:rPr>
              <w:t>⑦</w:t>
            </w:r>
          </w:p>
        </w:tc>
        <w:tc>
          <w:tcPr>
            <w:tcW w:w="4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536,377,366.23</w:t>
            </w: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87" w:lineRule="exact"/>
              <w:ind w:left="4" w:right="0"/>
              <w:jc w:val="left"/>
              <w:rPr>
                <w:rFonts w:ascii="宋体" w:hAnsi="宋体" w:cs="宋体" w:eastAsia="宋体" w:hint="default"/>
                <w:sz w:val="21"/>
                <w:szCs w:val="21"/>
              </w:rPr>
            </w:pPr>
            <w:r>
              <w:rPr>
                <w:rFonts w:ascii="宋体" w:hAnsi="宋体" w:cs="宋体" w:eastAsia="宋体" w:hint="default"/>
                <w:sz w:val="18"/>
                <w:szCs w:val="18"/>
              </w:rPr>
              <w:t>商誉减值损失（大于</w:t>
            </w:r>
            <w:r>
              <w:rPr>
                <w:rFonts w:ascii="Times New Roman" w:hAnsi="Times New Roman" w:cs="Times New Roman" w:eastAsia="Times New Roman" w:hint="default"/>
                <w:sz w:val="18"/>
                <w:szCs w:val="18"/>
              </w:rPr>
              <w:t>0</w:t>
            </w:r>
            <w:r>
              <w:rPr>
                <w:rFonts w:ascii="宋体" w:hAnsi="宋体" w:cs="宋体" w:eastAsia="宋体" w:hint="default"/>
                <w:sz w:val="18"/>
                <w:szCs w:val="18"/>
              </w:rPr>
              <w:t>时）</w:t>
            </w:r>
            <w:r>
              <w:rPr>
                <w:rFonts w:ascii="宋体" w:hAnsi="宋体" w:cs="宋体" w:eastAsia="宋体" w:hint="default"/>
                <w:sz w:val="21"/>
                <w:szCs w:val="21"/>
              </w:rPr>
              <w:t>⑧</w:t>
            </w:r>
            <w:r>
              <w:rPr>
                <w:rFonts w:ascii="Times New Roman" w:hAnsi="Times New Roman" w:cs="Times New Roman" w:eastAsia="Times New Roman" w:hint="default"/>
                <w:sz w:val="18"/>
                <w:szCs w:val="18"/>
              </w:rPr>
              <w:t>=</w:t>
            </w:r>
            <w:r>
              <w:rPr>
                <w:rFonts w:ascii="宋体" w:hAnsi="宋体" w:cs="宋体" w:eastAsia="宋体" w:hint="default"/>
                <w:sz w:val="21"/>
                <w:szCs w:val="21"/>
              </w:rPr>
              <w:t>⑥</w:t>
            </w:r>
            <w:r>
              <w:rPr>
                <w:rFonts w:ascii="Times New Roman" w:hAnsi="Times New Roman" w:cs="Times New Roman" w:eastAsia="Times New Roman" w:hint="default"/>
                <w:sz w:val="21"/>
                <w:szCs w:val="21"/>
              </w:rPr>
              <w:t>-</w:t>
            </w:r>
            <w:r>
              <w:rPr>
                <w:rFonts w:ascii="宋体" w:hAnsi="宋体" w:cs="宋体" w:eastAsia="宋体" w:hint="default"/>
                <w:sz w:val="21"/>
                <w:szCs w:val="21"/>
              </w:rPr>
              <w:t>⑦</w:t>
            </w:r>
          </w:p>
        </w:tc>
        <w:tc>
          <w:tcPr>
            <w:tcW w:w="4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220,614,798.62</w:t>
            </w:r>
          </w:p>
        </w:tc>
      </w:tr>
      <w:tr>
        <w:trPr>
          <w:trHeight w:val="342"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4" w:right="0"/>
              <w:jc w:val="left"/>
              <w:rPr>
                <w:rFonts w:ascii="宋体" w:hAnsi="宋体" w:cs="宋体" w:eastAsia="宋体" w:hint="default"/>
                <w:sz w:val="21"/>
                <w:szCs w:val="21"/>
              </w:rPr>
            </w:pPr>
            <w:r>
              <w:rPr>
                <w:rFonts w:ascii="宋体" w:hAnsi="宋体" w:cs="宋体" w:eastAsia="宋体" w:hint="default"/>
                <w:sz w:val="18"/>
                <w:szCs w:val="18"/>
              </w:rPr>
              <w:t>归属于母公司商誉减值损失</w:t>
            </w:r>
            <w:r>
              <w:rPr>
                <w:rFonts w:ascii="宋体" w:hAnsi="宋体" w:cs="宋体" w:eastAsia="宋体" w:hint="default"/>
                <w:sz w:val="21"/>
                <w:szCs w:val="21"/>
              </w:rPr>
              <w:t>⑨</w:t>
            </w:r>
          </w:p>
        </w:tc>
        <w:tc>
          <w:tcPr>
            <w:tcW w:w="4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220,614,798.62</w:t>
            </w:r>
          </w:p>
        </w:tc>
      </w:tr>
    </w:tbl>
    <w:p>
      <w:pPr>
        <w:pStyle w:val="BodyText"/>
        <w:spacing w:line="240" w:lineRule="auto" w:before="63"/>
        <w:ind w:left="574" w:right="0"/>
        <w:jc w:val="left"/>
      </w:pPr>
      <w:r>
        <w:rPr/>
        <w:t>（2）商誉所在资产组或资产组组合的相关信息 </w:t>
      </w:r>
    </w:p>
    <w:p>
      <w:pPr>
        <w:spacing w:line="240" w:lineRule="auto" w:before="10"/>
        <w:rPr>
          <w:rFonts w:ascii="宋体" w:hAnsi="宋体" w:cs="宋体" w:eastAsia="宋体" w:hint="default"/>
          <w:sz w:val="14"/>
          <w:szCs w:val="14"/>
        </w:rPr>
      </w:pPr>
    </w:p>
    <w:p>
      <w:pPr>
        <w:pStyle w:val="BodyText"/>
        <w:spacing w:line="408" w:lineRule="auto" w:before="0"/>
        <w:ind w:left="574" w:right="0"/>
        <w:jc w:val="left"/>
      </w:pPr>
      <w:r>
        <w:rPr/>
        <w:t>（Ⅰ）商誉减值的资产组或资产组组合的构成情况 </w:t>
      </w:r>
      <w:r>
        <w:rPr>
          <w:spacing w:val="-1"/>
        </w:rPr>
        <w:t>北京畅元国讯科技有限公司资产组与购买日及以前年度商誉减值测试时所确定的资产组一致，范围包</w:t>
      </w:r>
    </w:p>
    <w:p>
      <w:pPr>
        <w:spacing w:after="0" w:line="408" w:lineRule="auto"/>
        <w:jc w:val="left"/>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right="0"/>
        <w:jc w:val="left"/>
      </w:pPr>
      <w:r>
        <w:rPr/>
        <w:t>括组成资产组的固定资产、无形资产及其他相关经营性资产。 </w:t>
      </w:r>
    </w:p>
    <w:p>
      <w:pPr>
        <w:spacing w:line="240" w:lineRule="auto" w:before="10"/>
        <w:rPr>
          <w:rFonts w:ascii="宋体" w:hAnsi="宋体" w:cs="宋体" w:eastAsia="宋体" w:hint="default"/>
          <w:sz w:val="14"/>
          <w:szCs w:val="14"/>
        </w:rPr>
      </w:pPr>
    </w:p>
    <w:p>
      <w:pPr>
        <w:pStyle w:val="BodyText"/>
        <w:spacing w:line="408" w:lineRule="auto" w:before="0"/>
        <w:ind w:left="574" w:right="0"/>
        <w:jc w:val="left"/>
      </w:pPr>
      <w:r>
        <w:rPr/>
        <w:t>（Ⅱ）资产组预计未来现金流量现值（可收回金额）的评估结果 </w:t>
      </w:r>
      <w:r>
        <w:rPr>
          <w:spacing w:val="-1"/>
        </w:rPr>
        <w:t>北京畅元国讯科技有限公司资产组预计未来现金流量现值（可收回金额）利用了中联国际评估咨询有</w:t>
      </w:r>
    </w:p>
    <w:p>
      <w:pPr>
        <w:pStyle w:val="BodyText"/>
        <w:spacing w:line="408" w:lineRule="auto"/>
        <w:ind w:right="0"/>
        <w:jc w:val="left"/>
      </w:pPr>
      <w:r>
        <w:rPr/>
        <w:t>限公司</w:t>
      </w:r>
      <w:r>
        <w:rPr>
          <w:spacing w:val="-63"/>
        </w:rPr>
        <w:t> </w:t>
      </w:r>
      <w:r>
        <w:rPr/>
        <w:t>2020</w:t>
      </w:r>
      <w:r>
        <w:rPr>
          <w:spacing w:val="-63"/>
        </w:rPr>
        <w:t> </w:t>
      </w:r>
      <w:r>
        <w:rPr/>
        <w:t>年</w:t>
      </w:r>
      <w:r>
        <w:rPr>
          <w:spacing w:val="-63"/>
        </w:rPr>
        <w:t> </w:t>
      </w:r>
      <w:r>
        <w:rPr/>
        <w:t>4</w:t>
      </w:r>
      <w:r>
        <w:rPr>
          <w:spacing w:val="-62"/>
        </w:rPr>
        <w:t> </w:t>
      </w:r>
      <w:r>
        <w:rPr/>
        <w:t>月</w:t>
      </w:r>
      <w:r>
        <w:rPr>
          <w:spacing w:val="-63"/>
        </w:rPr>
        <w:t> </w:t>
      </w:r>
      <w:r>
        <w:rPr/>
        <w:t>28</w:t>
      </w:r>
      <w:r>
        <w:rPr>
          <w:spacing w:val="-62"/>
        </w:rPr>
        <w:t> </w:t>
      </w:r>
      <w:r>
        <w:rPr/>
        <w:t>日出具的《厦门安妮股份有限公司拟对合并北京畅元国讯科技有限公司股权形成的</w:t>
      </w:r>
      <w:r>
        <w:rPr>
          <w:spacing w:val="-1"/>
        </w:rPr>
        <w:t> </w:t>
      </w:r>
      <w:r>
        <w:rPr/>
        <w:t>商誉进行减值测试涉及的商誉及资产组价值资产评估报告》中联国际评字【2020】第</w:t>
      </w:r>
      <w:r>
        <w:rPr>
          <w:spacing w:val="-76"/>
        </w:rPr>
        <w:t> </w:t>
      </w:r>
      <w:r>
        <w:rPr/>
        <w:t>TKMQP0225</w:t>
      </w:r>
      <w:r>
        <w:rPr>
          <w:spacing w:val="-76"/>
        </w:rPr>
        <w:t> </w:t>
      </w:r>
      <w:r>
        <w:rPr/>
        <w:t>号</w:t>
      </w:r>
      <w:r>
        <w:rPr>
          <w:color w:val="0000FF"/>
        </w:rPr>
        <w:t> </w:t>
      </w:r>
      <w:r>
        <w:rPr/>
      </w:r>
    </w:p>
    <w:p>
      <w:pPr>
        <w:pStyle w:val="BodyText"/>
        <w:spacing w:line="240" w:lineRule="auto"/>
        <w:ind w:left="573" w:right="0"/>
        <w:jc w:val="left"/>
      </w:pPr>
      <w:r>
        <w:rPr/>
        <w:t>（3）商誉减值测试过程、参数及商誉减值损失的确认方法 </w:t>
      </w:r>
    </w:p>
    <w:p>
      <w:pPr>
        <w:spacing w:line="240" w:lineRule="auto" w:before="10"/>
        <w:rPr>
          <w:rFonts w:ascii="宋体" w:hAnsi="宋体" w:cs="宋体" w:eastAsia="宋体" w:hint="default"/>
          <w:sz w:val="14"/>
          <w:szCs w:val="14"/>
        </w:rPr>
      </w:pPr>
    </w:p>
    <w:p>
      <w:pPr>
        <w:pStyle w:val="BodyText"/>
        <w:spacing w:line="240" w:lineRule="auto" w:before="0"/>
        <w:ind w:left="573" w:right="0"/>
        <w:jc w:val="left"/>
      </w:pPr>
      <w:r>
        <w:rPr/>
        <w:t>（Ⅰ）重要假设及依据 </w:t>
      </w:r>
    </w:p>
    <w:p>
      <w:pPr>
        <w:spacing w:line="240" w:lineRule="auto" w:before="10"/>
        <w:rPr>
          <w:rFonts w:ascii="宋体" w:hAnsi="宋体" w:cs="宋体" w:eastAsia="宋体" w:hint="default"/>
          <w:sz w:val="14"/>
          <w:szCs w:val="14"/>
        </w:rPr>
      </w:pPr>
    </w:p>
    <w:p>
      <w:pPr>
        <w:pStyle w:val="BodyText"/>
        <w:spacing w:line="240" w:lineRule="auto" w:before="0"/>
        <w:ind w:left="573" w:right="0"/>
        <w:jc w:val="left"/>
      </w:pPr>
      <w:r>
        <w:rPr/>
        <w:t>①假设国家现行的宏观经济、金融以及产业等政策不发生重大变化； </w:t>
      </w:r>
    </w:p>
    <w:p>
      <w:pPr>
        <w:spacing w:line="240" w:lineRule="auto" w:before="10"/>
        <w:rPr>
          <w:rFonts w:ascii="宋体" w:hAnsi="宋体" w:cs="宋体" w:eastAsia="宋体" w:hint="default"/>
          <w:sz w:val="14"/>
          <w:szCs w:val="14"/>
        </w:rPr>
      </w:pPr>
    </w:p>
    <w:p>
      <w:pPr>
        <w:pStyle w:val="BodyText"/>
        <w:spacing w:line="240" w:lineRule="auto" w:before="0"/>
        <w:ind w:left="573" w:right="0"/>
        <w:jc w:val="left"/>
      </w:pPr>
      <w:r>
        <w:rPr/>
        <w:t>②假设含商誉资产组所处的社会经济环境以及所执行的税赋、税率等政策无重大变化； </w:t>
      </w:r>
    </w:p>
    <w:p>
      <w:pPr>
        <w:spacing w:line="240" w:lineRule="auto" w:before="10"/>
        <w:rPr>
          <w:rFonts w:ascii="宋体" w:hAnsi="宋体" w:cs="宋体" w:eastAsia="宋体" w:hint="default"/>
          <w:sz w:val="14"/>
          <w:szCs w:val="14"/>
        </w:rPr>
      </w:pPr>
    </w:p>
    <w:p>
      <w:pPr>
        <w:pStyle w:val="BodyText"/>
        <w:spacing w:line="408" w:lineRule="auto" w:before="0"/>
        <w:ind w:left="153" w:right="1117" w:firstLine="420"/>
        <w:jc w:val="left"/>
      </w:pPr>
      <w:r>
        <w:rPr>
          <w:spacing w:val="-1"/>
        </w:rPr>
        <w:t>③假设含商誉资产组涉及的主要经营管理团队具备管理及经营必要的知识及能力，合法合规经营，勤</w:t>
      </w:r>
      <w:r>
        <w:rPr/>
        <w:t> 勉尽责； </w:t>
      </w:r>
    </w:p>
    <w:p>
      <w:pPr>
        <w:pStyle w:val="BodyText"/>
        <w:spacing w:line="408" w:lineRule="auto"/>
        <w:ind w:left="153" w:right="1131" w:firstLine="420"/>
        <w:jc w:val="both"/>
      </w:pPr>
      <w:r>
        <w:rPr>
          <w:spacing w:val="-1"/>
        </w:rPr>
        <w:t>④假设含商誉资产组在未来经营期内涉及的主营业务、收入与成本的构成以及经营策略等仍保持其最</w:t>
      </w:r>
      <w:r>
        <w:rPr/>
        <w:t> </w:t>
      </w:r>
      <w:r>
        <w:rPr>
          <w:spacing w:val="-1"/>
        </w:rPr>
        <w:t>近几年的状态持续，而不发生较大变化。不考虑未来可能由于委托人或含商誉资产组涉及的主要经营管理</w:t>
      </w:r>
      <w:r>
        <w:rPr>
          <w:spacing w:val="-81"/>
        </w:rPr>
        <w:t> </w:t>
      </w:r>
      <w:r>
        <w:rPr>
          <w:spacing w:val="-81"/>
        </w:rPr>
      </w:r>
      <w:r>
        <w:rPr/>
        <w:t>团队的经营管理策略变化以及商业环境变化等导致的主营业务状况的变化所带来的损益； </w:t>
      </w:r>
    </w:p>
    <w:p>
      <w:pPr>
        <w:pStyle w:val="BodyText"/>
        <w:spacing w:line="408" w:lineRule="auto"/>
        <w:ind w:left="153" w:right="0" w:firstLine="420"/>
        <w:jc w:val="left"/>
      </w:pPr>
      <w:r>
        <w:rPr>
          <w:spacing w:val="-1"/>
        </w:rPr>
        <w:t>⑤在未来的经营期内，含商誉资产组所涉及的各项管理费用、管理费用不会在现有基础上发生大幅的</w:t>
      </w:r>
      <w:r>
        <w:rPr/>
        <w:t> 变化，仍将保持其最近几年的变化趋势持续； </w:t>
      </w:r>
    </w:p>
    <w:p>
      <w:pPr>
        <w:pStyle w:val="BodyText"/>
        <w:spacing w:line="240" w:lineRule="auto"/>
        <w:ind w:left="573" w:right="0"/>
        <w:jc w:val="left"/>
      </w:pPr>
      <w:r>
        <w:rPr/>
        <w:t>⑥假设评估基准日后无其他人力不可抗拒因素及不可预见因素对企业造成重大不利影响。 </w:t>
      </w:r>
    </w:p>
    <w:p>
      <w:pPr>
        <w:spacing w:line="240" w:lineRule="auto" w:before="13"/>
        <w:rPr>
          <w:rFonts w:ascii="宋体" w:hAnsi="宋体" w:cs="宋体" w:eastAsia="宋体" w:hint="default"/>
          <w:sz w:val="17"/>
          <w:szCs w:val="17"/>
        </w:rPr>
      </w:pPr>
    </w:p>
    <w:p>
      <w:pPr>
        <w:pStyle w:val="BodyText"/>
        <w:spacing w:line="240" w:lineRule="auto" w:before="0"/>
        <w:ind w:left="573" w:right="0"/>
        <w:jc w:val="left"/>
      </w:pPr>
      <w:r>
        <w:rPr/>
        <w:t>（</w:t>
      </w:r>
      <w:r>
        <w:rPr>
          <w:rFonts w:ascii="Times New Roman" w:hAnsi="Times New Roman" w:cs="Times New Roman" w:eastAsia="Times New Roman" w:hint="default"/>
        </w:rPr>
        <w:t>Ⅱ</w:t>
      </w:r>
      <w:r>
        <w:rPr/>
        <w:t>）关键参数</w:t>
      </w:r>
    </w:p>
    <w:p>
      <w:pPr>
        <w:spacing w:line="240" w:lineRule="auto" w:before="12"/>
        <w:rPr>
          <w:rFonts w:ascii="宋体" w:hAnsi="宋体" w:cs="宋体" w:eastAsia="宋体" w:hint="default"/>
          <w:sz w:val="11"/>
          <w:szCs w:val="11"/>
        </w:rPr>
      </w:pPr>
    </w:p>
    <w:tbl>
      <w:tblPr>
        <w:tblW w:w="0" w:type="auto"/>
        <w:jc w:val="left"/>
        <w:tblInd w:w="149" w:type="dxa"/>
        <w:tblLayout w:type="fixed"/>
        <w:tblCellMar>
          <w:top w:w="0" w:type="dxa"/>
          <w:left w:w="0" w:type="dxa"/>
          <w:bottom w:w="0" w:type="dxa"/>
          <w:right w:w="0" w:type="dxa"/>
        </w:tblCellMar>
        <w:tblLook w:val="01E0"/>
      </w:tblPr>
      <w:tblGrid>
        <w:gridCol w:w="1387"/>
        <w:gridCol w:w="992"/>
        <w:gridCol w:w="848"/>
        <w:gridCol w:w="1134"/>
        <w:gridCol w:w="1592"/>
        <w:gridCol w:w="2268"/>
        <w:gridCol w:w="1417"/>
      </w:tblGrid>
      <w:tr>
        <w:trPr>
          <w:trHeight w:val="342" w:hRule="exact"/>
        </w:trPr>
        <w:tc>
          <w:tcPr>
            <w:tcW w:w="1387" w:type="dxa"/>
            <w:vMerge w:val="restart"/>
            <w:tcBorders>
              <w:top w:val="single" w:sz="4" w:space="0" w:color="000000"/>
              <w:left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25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58" w:right="0"/>
              <w:jc w:val="center"/>
              <w:rPr>
                <w:rFonts w:ascii="宋体" w:hAnsi="宋体" w:cs="宋体" w:eastAsia="宋体" w:hint="default"/>
                <w:sz w:val="18"/>
                <w:szCs w:val="18"/>
              </w:rPr>
            </w:pPr>
            <w:r>
              <w:rPr>
                <w:rFonts w:ascii="宋体" w:hAnsi="宋体" w:cs="宋体" w:eastAsia="宋体" w:hint="default"/>
                <w:sz w:val="18"/>
                <w:szCs w:val="18"/>
              </w:rPr>
              <w:t>关键参数</w:t>
            </w:r>
          </w:p>
        </w:tc>
      </w:tr>
      <w:tr>
        <w:trPr>
          <w:trHeight w:val="654" w:hRule="exact"/>
        </w:trPr>
        <w:tc>
          <w:tcPr>
            <w:tcW w:w="1387" w:type="dxa"/>
            <w:vMerge/>
            <w:tcBorders>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预测期</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238" w:right="58" w:hanging="180"/>
              <w:jc w:val="left"/>
              <w:rPr>
                <w:rFonts w:ascii="宋体" w:hAnsi="宋体" w:cs="宋体" w:eastAsia="宋体" w:hint="default"/>
                <w:sz w:val="18"/>
                <w:szCs w:val="18"/>
              </w:rPr>
            </w:pPr>
            <w:r>
              <w:rPr>
                <w:rFonts w:ascii="宋体" w:hAnsi="宋体" w:cs="宋体" w:eastAsia="宋体" w:hint="default"/>
                <w:sz w:val="18"/>
                <w:szCs w:val="18"/>
              </w:rPr>
              <w:t>预测期增 长率</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稳定期</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稳定期增长率</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利润率</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73" w:right="4" w:hanging="69"/>
              <w:jc w:val="left"/>
              <w:rPr>
                <w:rFonts w:ascii="宋体" w:hAnsi="宋体" w:cs="宋体" w:eastAsia="宋体" w:hint="default"/>
                <w:sz w:val="18"/>
                <w:szCs w:val="18"/>
              </w:rPr>
            </w:pPr>
            <w:r>
              <w:rPr>
                <w:rFonts w:ascii="宋体" w:hAnsi="宋体" w:cs="宋体" w:eastAsia="宋体" w:hint="default"/>
                <w:spacing w:val="-6"/>
                <w:sz w:val="18"/>
                <w:szCs w:val="18"/>
              </w:rPr>
              <w:t>折现率（税前加权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平均资本成本）</w:t>
            </w:r>
          </w:p>
        </w:tc>
      </w:tr>
      <w:tr>
        <w:trPr>
          <w:trHeight w:val="654"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110"/>
              <w:jc w:val="left"/>
              <w:rPr>
                <w:rFonts w:ascii="宋体" w:hAnsi="宋体" w:cs="宋体" w:eastAsia="宋体" w:hint="default"/>
                <w:sz w:val="18"/>
                <w:szCs w:val="18"/>
              </w:rPr>
            </w:pPr>
            <w:r>
              <w:rPr>
                <w:rFonts w:ascii="宋体" w:hAnsi="宋体" w:cs="宋体" w:eastAsia="宋体" w:hint="default"/>
                <w:sz w:val="18"/>
                <w:szCs w:val="18"/>
              </w:rPr>
              <w:t>北京畅元国讯科 技有限公司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2020-2025</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Times New Roman" w:hAnsi="Times New Roman" w:cs="Times New Roman" w:eastAsia="Times New Roman" w:hint="default"/>
                <w:sz w:val="18"/>
                <w:szCs w:val="18"/>
              </w:rPr>
              <w:t>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2025</w:t>
            </w:r>
            <w:r>
              <w:rPr>
                <w:rFonts w:ascii="宋体" w:hAnsi="宋体" w:cs="宋体" w:eastAsia="宋体" w:hint="default"/>
                <w:sz w:val="18"/>
                <w:szCs w:val="18"/>
              </w:rPr>
              <w:t>年以后</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0.00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767" w:right="48" w:hanging="720"/>
              <w:jc w:val="left"/>
              <w:rPr>
                <w:rFonts w:ascii="宋体" w:hAnsi="宋体" w:cs="宋体" w:eastAsia="宋体" w:hint="default"/>
                <w:sz w:val="18"/>
                <w:szCs w:val="18"/>
              </w:rPr>
            </w:pPr>
            <w:r>
              <w:rPr>
                <w:rFonts w:ascii="宋体" w:hAnsi="宋体" w:cs="宋体" w:eastAsia="宋体" w:hint="default"/>
                <w:sz w:val="18"/>
                <w:szCs w:val="18"/>
              </w:rPr>
              <w:t>根据预测的收入、成本、费 用等计算</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25" w:right="0"/>
              <w:jc w:val="left"/>
              <w:rPr>
                <w:rFonts w:ascii="Times New Roman" w:hAnsi="Times New Roman" w:cs="Times New Roman" w:eastAsia="Times New Roman" w:hint="default"/>
                <w:sz w:val="18"/>
                <w:szCs w:val="18"/>
              </w:rPr>
            </w:pPr>
            <w:r>
              <w:rPr>
                <w:rFonts w:ascii="Times New Roman"/>
                <w:sz w:val="18"/>
              </w:rPr>
              <w:t>13.41%</w:t>
            </w:r>
          </w:p>
        </w:tc>
      </w:tr>
    </w:tbl>
    <w:p>
      <w:pPr>
        <w:spacing w:line="338" w:lineRule="auto" w:before="25"/>
        <w:ind w:left="154" w:right="1170" w:firstLine="320"/>
        <w:jc w:val="both"/>
        <w:rPr>
          <w:rFonts w:ascii="宋体" w:hAnsi="宋体" w:cs="宋体" w:eastAsia="宋体" w:hint="default"/>
          <w:sz w:val="16"/>
          <w:szCs w:val="16"/>
        </w:rPr>
      </w:pPr>
      <w:r>
        <w:rPr>
          <w:rFonts w:ascii="宋体" w:hAnsi="宋体" w:cs="宋体" w:eastAsia="宋体" w:hint="default"/>
          <w:sz w:val="16"/>
          <w:szCs w:val="16"/>
        </w:rPr>
        <w:t>注</w:t>
      </w:r>
      <w:r>
        <w:rPr>
          <w:rFonts w:ascii="Times New Roman" w:hAnsi="Times New Roman" w:cs="Times New Roman" w:eastAsia="Times New Roman" w:hint="default"/>
          <w:sz w:val="16"/>
          <w:szCs w:val="16"/>
        </w:rPr>
        <w:t>1</w:t>
      </w:r>
      <w:r>
        <w:rPr>
          <w:rFonts w:ascii="宋体" w:hAnsi="宋体" w:cs="宋体" w:eastAsia="宋体" w:hint="default"/>
          <w:sz w:val="16"/>
          <w:szCs w:val="16"/>
        </w:rPr>
        <w:t>：根据北京畅元已经签订的合同、协议、发展规划、历年经营趋势等因素综合分析，对预测日未来</w:t>
      </w:r>
      <w:r>
        <w:rPr>
          <w:rFonts w:ascii="Times New Roman" w:hAnsi="Times New Roman" w:cs="Times New Roman" w:eastAsia="Times New Roman" w:hint="default"/>
          <w:sz w:val="16"/>
          <w:szCs w:val="16"/>
        </w:rPr>
        <w:t>5</w:t>
      </w:r>
      <w:r>
        <w:rPr>
          <w:rFonts w:ascii="宋体" w:hAnsi="宋体" w:cs="宋体" w:eastAsia="宋体" w:hint="default"/>
          <w:sz w:val="16"/>
          <w:szCs w:val="16"/>
        </w:rPr>
        <w:t>年的收入、成本、费用等进行</w:t>
      </w:r>
      <w:r>
        <w:rPr>
          <w:rFonts w:ascii="宋体" w:hAnsi="宋体" w:cs="宋体" w:eastAsia="宋体" w:hint="default"/>
          <w:w w:val="99"/>
          <w:sz w:val="16"/>
          <w:szCs w:val="16"/>
        </w:rPr>
        <w:t> </w:t>
      </w:r>
      <w:r>
        <w:rPr>
          <w:rFonts w:ascii="宋体" w:hAnsi="宋体" w:cs="宋体" w:eastAsia="宋体" w:hint="default"/>
          <w:w w:val="95"/>
          <w:sz w:val="16"/>
          <w:szCs w:val="16"/>
        </w:rPr>
        <w:t>预测。根据公司</w:t>
      </w:r>
      <w:r>
        <w:rPr>
          <w:rFonts w:ascii="Times New Roman" w:hAnsi="Times New Roman" w:cs="Times New Roman" w:eastAsia="Times New Roman" w:hint="default"/>
          <w:w w:val="95"/>
          <w:sz w:val="16"/>
          <w:szCs w:val="16"/>
        </w:rPr>
        <w:t>2017</w:t>
      </w:r>
      <w:r>
        <w:rPr>
          <w:rFonts w:ascii="宋体" w:hAnsi="宋体" w:cs="宋体" w:eastAsia="宋体" w:hint="default"/>
          <w:w w:val="95"/>
          <w:sz w:val="16"/>
          <w:szCs w:val="16"/>
        </w:rPr>
        <w:t>年－</w:t>
      </w:r>
      <w:r>
        <w:rPr>
          <w:rFonts w:ascii="Times New Roman" w:hAnsi="Times New Roman" w:cs="Times New Roman" w:eastAsia="Times New Roman" w:hint="default"/>
          <w:w w:val="95"/>
          <w:sz w:val="16"/>
          <w:szCs w:val="16"/>
        </w:rPr>
        <w:t>2019</w:t>
      </w:r>
      <w:r>
        <w:rPr>
          <w:rFonts w:ascii="宋体" w:hAnsi="宋体" w:cs="宋体" w:eastAsia="宋体" w:hint="default"/>
          <w:w w:val="95"/>
          <w:sz w:val="16"/>
          <w:szCs w:val="16"/>
        </w:rPr>
        <w:t>年的经营数据，参考各类业务板块的营业收入结构，并基于</w:t>
      </w:r>
      <w:r>
        <w:rPr>
          <w:rFonts w:ascii="Times New Roman" w:hAnsi="Times New Roman" w:cs="Times New Roman" w:eastAsia="Times New Roman" w:hint="default"/>
          <w:w w:val="95"/>
          <w:sz w:val="16"/>
          <w:szCs w:val="16"/>
        </w:rPr>
        <w:t>2019</w:t>
      </w:r>
      <w:r>
        <w:rPr>
          <w:rFonts w:ascii="宋体" w:hAnsi="宋体" w:cs="宋体" w:eastAsia="宋体" w:hint="default"/>
          <w:w w:val="95"/>
          <w:sz w:val="16"/>
          <w:szCs w:val="16"/>
        </w:rPr>
        <w:t>年公司的实际运营情况，北京畅元</w:t>
      </w:r>
      <w:r>
        <w:rPr>
          <w:rFonts w:ascii="Times New Roman" w:hAnsi="Times New Roman" w:cs="Times New Roman" w:eastAsia="Times New Roman" w:hint="default"/>
          <w:w w:val="95"/>
          <w:sz w:val="16"/>
          <w:szCs w:val="16"/>
        </w:rPr>
        <w:t>2020</w:t>
      </w:r>
      <w:r>
        <w:rPr>
          <w:rFonts w:ascii="宋体" w:hAnsi="宋体" w:cs="宋体" w:eastAsia="宋体" w:hint="default"/>
          <w:w w:val="95"/>
          <w:sz w:val="16"/>
          <w:szCs w:val="16"/>
        </w:rPr>
        <w:t>年至</w:t>
      </w:r>
      <w:r>
        <w:rPr>
          <w:rFonts w:ascii="宋体" w:hAnsi="宋体" w:cs="宋体" w:eastAsia="宋体" w:hint="default"/>
          <w:spacing w:val="9"/>
          <w:w w:val="95"/>
          <w:sz w:val="16"/>
          <w:szCs w:val="16"/>
        </w:rPr>
        <w:t> </w:t>
      </w:r>
      <w:r>
        <w:rPr>
          <w:rFonts w:ascii="Times New Roman" w:hAnsi="Times New Roman" w:cs="Times New Roman" w:eastAsia="Times New Roman" w:hint="default"/>
          <w:sz w:val="16"/>
          <w:szCs w:val="16"/>
        </w:rPr>
        <w:t>2024</w:t>
      </w:r>
      <w:r>
        <w:rPr>
          <w:rFonts w:ascii="宋体" w:hAnsi="宋体" w:cs="宋体" w:eastAsia="宋体" w:hint="default"/>
          <w:sz w:val="16"/>
          <w:szCs w:val="16"/>
        </w:rPr>
        <w:t>年预计营业收入增长率分别为</w:t>
      </w:r>
      <w:r>
        <w:rPr>
          <w:rFonts w:ascii="Times New Roman" w:hAnsi="Times New Roman" w:cs="Times New Roman" w:eastAsia="Times New Roman" w:hint="default"/>
          <w:sz w:val="16"/>
          <w:szCs w:val="16"/>
        </w:rPr>
        <w:t>48.39%</w:t>
      </w:r>
      <w:r>
        <w:rPr>
          <w:rFonts w:ascii="宋体" w:hAnsi="宋体" w:cs="宋体" w:eastAsia="宋体" w:hint="default"/>
          <w:sz w:val="16"/>
          <w:szCs w:val="16"/>
        </w:rPr>
        <w:t>、</w:t>
      </w:r>
      <w:r>
        <w:rPr>
          <w:rFonts w:ascii="Times New Roman" w:hAnsi="Times New Roman" w:cs="Times New Roman" w:eastAsia="Times New Roman" w:hint="default"/>
          <w:sz w:val="16"/>
          <w:szCs w:val="16"/>
        </w:rPr>
        <w:t>14.89%</w:t>
      </w:r>
      <w:r>
        <w:rPr>
          <w:rFonts w:ascii="宋体" w:hAnsi="宋体" w:cs="宋体" w:eastAsia="宋体" w:hint="default"/>
          <w:sz w:val="16"/>
          <w:szCs w:val="16"/>
        </w:rPr>
        <w:t>、</w:t>
      </w:r>
      <w:r>
        <w:rPr>
          <w:rFonts w:ascii="Times New Roman" w:hAnsi="Times New Roman" w:cs="Times New Roman" w:eastAsia="Times New Roman" w:hint="default"/>
          <w:sz w:val="16"/>
          <w:szCs w:val="16"/>
        </w:rPr>
        <w:t>10.30%</w:t>
      </w:r>
      <w:r>
        <w:rPr>
          <w:rFonts w:ascii="宋体" w:hAnsi="宋体" w:cs="宋体" w:eastAsia="宋体" w:hint="default"/>
          <w:sz w:val="16"/>
          <w:szCs w:val="16"/>
        </w:rPr>
        <w:t>、</w:t>
      </w:r>
      <w:r>
        <w:rPr>
          <w:rFonts w:ascii="Times New Roman" w:hAnsi="Times New Roman" w:cs="Times New Roman" w:eastAsia="Times New Roman" w:hint="default"/>
          <w:sz w:val="16"/>
          <w:szCs w:val="16"/>
        </w:rPr>
        <w:t>5.27%</w:t>
      </w:r>
      <w:r>
        <w:rPr>
          <w:rFonts w:ascii="宋体" w:hAnsi="宋体" w:cs="宋体" w:eastAsia="宋体" w:hint="default"/>
          <w:sz w:val="16"/>
          <w:szCs w:val="16"/>
        </w:rPr>
        <w:t>、</w:t>
      </w:r>
      <w:r>
        <w:rPr>
          <w:rFonts w:ascii="Times New Roman" w:hAnsi="Times New Roman" w:cs="Times New Roman" w:eastAsia="Times New Roman" w:hint="default"/>
          <w:sz w:val="16"/>
          <w:szCs w:val="16"/>
        </w:rPr>
        <w:t>1.98%</w:t>
      </w:r>
      <w:r>
        <w:rPr>
          <w:rFonts w:ascii="宋体" w:hAnsi="宋体" w:cs="宋体" w:eastAsia="宋体" w:hint="default"/>
          <w:sz w:val="16"/>
          <w:szCs w:val="16"/>
        </w:rPr>
        <w:t>，</w:t>
      </w:r>
      <w:r>
        <w:rPr>
          <w:rFonts w:ascii="Times New Roman" w:hAnsi="Times New Roman" w:cs="Times New Roman" w:eastAsia="Times New Roman" w:hint="default"/>
          <w:sz w:val="16"/>
          <w:szCs w:val="16"/>
        </w:rPr>
        <w:t>2025</w:t>
      </w:r>
      <w:r>
        <w:rPr>
          <w:rFonts w:ascii="宋体" w:hAnsi="宋体" w:cs="宋体" w:eastAsia="宋体" w:hint="default"/>
          <w:sz w:val="16"/>
          <w:szCs w:val="16"/>
        </w:rPr>
        <w:t>年度以后各年营业收入稳定在</w:t>
      </w:r>
      <w:r>
        <w:rPr>
          <w:rFonts w:ascii="Times New Roman" w:hAnsi="Times New Roman" w:cs="Times New Roman" w:eastAsia="Times New Roman" w:hint="default"/>
          <w:sz w:val="16"/>
          <w:szCs w:val="16"/>
        </w:rPr>
        <w:t>2024</w:t>
      </w:r>
      <w:r>
        <w:rPr>
          <w:rFonts w:ascii="宋体" w:hAnsi="宋体" w:cs="宋体" w:eastAsia="宋体" w:hint="default"/>
          <w:sz w:val="16"/>
          <w:szCs w:val="16"/>
        </w:rPr>
        <w:t>年的水平。</w:t>
      </w:r>
    </w:p>
    <w:p>
      <w:pPr>
        <w:spacing w:line="240" w:lineRule="auto" w:before="4"/>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16</w:t>
      </w:r>
      <w:r>
        <w:rPr/>
        <w:t>、长期待摊费用</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装修费用</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2,570,490.35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2" w:right="0"/>
              <w:jc w:val="left"/>
              <w:rPr>
                <w:rFonts w:ascii="Times New Roman" w:hAnsi="Times New Roman" w:cs="Times New Roman" w:eastAsia="Times New Roman" w:hint="default"/>
                <w:sz w:val="18"/>
                <w:szCs w:val="18"/>
              </w:rPr>
            </w:pPr>
            <w:r>
              <w:rPr>
                <w:rFonts w:ascii="Times New Roman"/>
                <w:sz w:val="18"/>
              </w:rPr>
              <w:t>50,934.95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1,208,061.55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1,413,363.75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发票防伪系统</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80,167.68</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35,138.52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45,029.16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701,618.42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15,283.02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610,154.19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106,747.25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3,352,276.45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66,217.97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1,853,354.26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1,565,140.16</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17</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34"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Arial" w:hAnsi="Arial" w:cs="Arial" w:eastAsia="Arial" w:hint="default"/>
                <w:sz w:val="18"/>
                <w:szCs w:val="18"/>
              </w:rPr>
            </w:pPr>
            <w:r>
              <w:rPr>
                <w:rFonts w:ascii="Arial"/>
                <w:spacing w:val="-1"/>
                <w:w w:val="80"/>
                <w:sz w:val="18"/>
              </w:rPr>
              <w:t>10,538,073.53</w:t>
            </w:r>
            <w:r>
              <w:rPr>
                <w:rFonts w:ascii="Arial"/>
                <w:spacing w:val="-1"/>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Arial" w:hAnsi="Arial" w:cs="Arial" w:eastAsia="Arial" w:hint="default"/>
                <w:sz w:val="18"/>
                <w:szCs w:val="18"/>
              </w:rPr>
            </w:pPr>
            <w:r>
              <w:rPr>
                <w:rFonts w:ascii="Arial"/>
                <w:spacing w:val="-1"/>
                <w:w w:val="80"/>
                <w:sz w:val="18"/>
              </w:rPr>
              <w:t>1,992,773.25</w:t>
            </w:r>
            <w:r>
              <w:rPr>
                <w:rFonts w:ascii="Arial"/>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Arial" w:hAnsi="Arial" w:cs="Arial" w:eastAsia="Arial" w:hint="default"/>
                <w:sz w:val="18"/>
                <w:szCs w:val="18"/>
              </w:rPr>
            </w:pPr>
            <w:r>
              <w:rPr>
                <w:rFonts w:ascii="Arial"/>
                <w:spacing w:val="-1"/>
                <w:w w:val="80"/>
                <w:sz w:val="18"/>
              </w:rPr>
              <w:t>9,158,229.52</w:t>
            </w:r>
            <w:r>
              <w:rPr>
                <w:rFonts w:ascii="Arial"/>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Arial" w:hAnsi="Arial" w:cs="Arial" w:eastAsia="Arial" w:hint="default"/>
                <w:sz w:val="18"/>
                <w:szCs w:val="18"/>
              </w:rPr>
            </w:pPr>
            <w:r>
              <w:rPr>
                <w:rFonts w:ascii="Arial"/>
                <w:spacing w:val="-1"/>
                <w:w w:val="80"/>
                <w:sz w:val="18"/>
              </w:rPr>
              <w:t>2,084,474.63</w:t>
            </w:r>
            <w:r>
              <w:rPr>
                <w:rFonts w:ascii="Arial"/>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Arial" w:hAnsi="Arial" w:cs="Arial" w:eastAsia="Arial" w:hint="default"/>
                <w:sz w:val="18"/>
                <w:szCs w:val="18"/>
              </w:rPr>
            </w:pPr>
            <w:r>
              <w:rPr>
                <w:rFonts w:ascii="Arial"/>
                <w:spacing w:val="-1"/>
                <w:w w:val="80"/>
                <w:sz w:val="18"/>
              </w:rPr>
              <w:t>386,504.73</w:t>
            </w:r>
            <w:r>
              <w:rPr>
                <w:rFonts w:ascii="Arial"/>
                <w:spacing w:val="-1"/>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Arial" w:hAnsi="Arial" w:cs="Arial" w:eastAsia="Arial" w:hint="default"/>
                <w:sz w:val="18"/>
                <w:szCs w:val="18"/>
              </w:rPr>
            </w:pPr>
            <w:r>
              <w:rPr>
                <w:rFonts w:ascii="Arial"/>
                <w:spacing w:val="-1"/>
                <w:w w:val="80"/>
                <w:sz w:val="18"/>
              </w:rPr>
              <w:t>96,626.18</w:t>
            </w:r>
            <w:r>
              <w:rPr>
                <w:rFonts w:ascii="Arial"/>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Arial" w:hAnsi="Arial" w:cs="Arial" w:eastAsia="Arial" w:hint="default"/>
                <w:sz w:val="18"/>
                <w:szCs w:val="18"/>
              </w:rPr>
            </w:pPr>
            <w:r>
              <w:rPr>
                <w:rFonts w:ascii="Arial"/>
                <w:spacing w:val="-1"/>
                <w:w w:val="80"/>
                <w:sz w:val="18"/>
              </w:rPr>
              <w:t>687,689.01</w:t>
            </w:r>
            <w:r>
              <w:rPr>
                <w:rFonts w:ascii="Arial"/>
                <w:spacing w:val="-1"/>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Arial" w:hAnsi="Arial" w:cs="Arial" w:eastAsia="Arial" w:hint="default"/>
                <w:sz w:val="18"/>
                <w:szCs w:val="18"/>
              </w:rPr>
            </w:pPr>
            <w:r>
              <w:rPr>
                <w:rFonts w:ascii="Arial"/>
                <w:spacing w:val="-1"/>
                <w:w w:val="80"/>
                <w:sz w:val="18"/>
              </w:rPr>
              <w:t>171,922.25</w:t>
            </w:r>
            <w:r>
              <w:rPr>
                <w:rFonts w:ascii="Arial"/>
                <w:spacing w:val="-1"/>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Arial" w:hAnsi="Arial" w:cs="Arial" w:eastAsia="Arial" w:hint="default"/>
                <w:sz w:val="18"/>
                <w:szCs w:val="18"/>
              </w:rPr>
            </w:pPr>
            <w:r>
              <w:rPr>
                <w:rFonts w:ascii="Arial"/>
                <w:spacing w:val="-1"/>
                <w:w w:val="80"/>
                <w:sz w:val="18"/>
              </w:rPr>
              <w:t>1,293,910.59</w:t>
            </w:r>
            <w:r>
              <w:rPr>
                <w:rFonts w:ascii="Arial"/>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Arial" w:hAnsi="Arial" w:cs="Arial" w:eastAsia="Arial" w:hint="default"/>
                <w:sz w:val="18"/>
                <w:szCs w:val="18"/>
              </w:rPr>
            </w:pPr>
            <w:r>
              <w:rPr>
                <w:rFonts w:ascii="Arial"/>
                <w:spacing w:val="-1"/>
                <w:w w:val="80"/>
                <w:sz w:val="18"/>
              </w:rPr>
              <w:t>323,477.65</w:t>
            </w:r>
            <w:r>
              <w:rPr>
                <w:rFonts w:ascii="Arial"/>
                <w:spacing w:val="-1"/>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Arial" w:hAnsi="Arial" w:cs="Arial" w:eastAsia="Arial" w:hint="default"/>
                <w:sz w:val="18"/>
                <w:szCs w:val="18"/>
              </w:rPr>
            </w:pPr>
            <w:r>
              <w:rPr>
                <w:rFonts w:ascii="Arial"/>
                <w:spacing w:val="-1"/>
                <w:w w:val="80"/>
                <w:sz w:val="18"/>
              </w:rPr>
              <w:t>10,924,578.26</w:t>
            </w:r>
            <w:r>
              <w:rPr>
                <w:rFonts w:ascii="Arial"/>
                <w:spacing w:val="-1"/>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Arial" w:hAnsi="Arial" w:cs="Arial" w:eastAsia="Arial" w:hint="default"/>
                <w:sz w:val="18"/>
                <w:szCs w:val="18"/>
              </w:rPr>
            </w:pPr>
            <w:r>
              <w:rPr>
                <w:rFonts w:ascii="Arial"/>
                <w:spacing w:val="-1"/>
                <w:w w:val="80"/>
                <w:sz w:val="18"/>
              </w:rPr>
              <w:t>2,089,399.43</w:t>
            </w:r>
            <w:r>
              <w:rPr>
                <w:rFonts w:ascii="Arial"/>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Arial" w:hAnsi="Arial" w:cs="Arial" w:eastAsia="Arial" w:hint="default"/>
                <w:sz w:val="18"/>
                <w:szCs w:val="18"/>
              </w:rPr>
            </w:pPr>
            <w:r>
              <w:rPr>
                <w:rFonts w:ascii="Arial"/>
                <w:spacing w:val="-3"/>
                <w:w w:val="80"/>
                <w:sz w:val="18"/>
              </w:rPr>
              <w:t>11,139,829.12</w:t>
            </w:r>
            <w:r>
              <w:rPr>
                <w:rFonts w:ascii="Arial"/>
                <w:spacing w:val="-3"/>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Arial" w:hAnsi="Arial" w:cs="Arial" w:eastAsia="Arial" w:hint="default"/>
                <w:sz w:val="18"/>
                <w:szCs w:val="18"/>
              </w:rPr>
            </w:pPr>
            <w:r>
              <w:rPr>
                <w:rFonts w:ascii="Arial"/>
                <w:spacing w:val="-1"/>
                <w:w w:val="80"/>
                <w:sz w:val="18"/>
              </w:rPr>
              <w:t>2,579,874.53</w:t>
            </w:r>
            <w:r>
              <w:rPr>
                <w:rFonts w:ascii="Arial"/>
                <w:sz w:val="18"/>
              </w:rPr>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34"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358" w:hRule="exact"/>
        </w:trPr>
        <w:tc>
          <w:tcPr>
            <w:tcW w:w="19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指定为以公允价值计量</w:t>
            </w:r>
          </w:p>
        </w:tc>
        <w:tc>
          <w:tcPr>
            <w:tcW w:w="1916"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
        </w:tc>
      </w:tr>
      <w:tr>
        <w:trPr>
          <w:trHeight w:val="625" w:hRule="exact"/>
        </w:trPr>
        <w:tc>
          <w:tcPr>
            <w:tcW w:w="19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77"/>
              <w:jc w:val="left"/>
              <w:rPr>
                <w:rFonts w:ascii="宋体" w:hAnsi="宋体" w:cs="宋体" w:eastAsia="宋体" w:hint="default"/>
                <w:sz w:val="18"/>
                <w:szCs w:val="18"/>
              </w:rPr>
            </w:pPr>
            <w:r>
              <w:rPr>
                <w:rFonts w:ascii="宋体" w:hAnsi="宋体" w:cs="宋体" w:eastAsia="宋体" w:hint="default"/>
                <w:sz w:val="18"/>
                <w:szCs w:val="18"/>
              </w:rPr>
              <w:t>且其变动计入当期损益 的金融资产公允价值变</w:t>
            </w:r>
          </w:p>
        </w:tc>
        <w:tc>
          <w:tcPr>
            <w:tcW w:w="19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919,305.55</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279,568.05</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704,055.56</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176,013.89</w:t>
            </w:r>
          </w:p>
        </w:tc>
      </w:tr>
      <w:tr>
        <w:trPr>
          <w:trHeight w:val="356" w:hRule="exact"/>
        </w:trPr>
        <w:tc>
          <w:tcPr>
            <w:tcW w:w="19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动</w:t>
            </w:r>
          </w:p>
        </w:tc>
        <w:tc>
          <w:tcPr>
            <w:tcW w:w="1916"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919,305.55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279,568.05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704,055.56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176,013.89</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414" w:right="50"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411" w:right="50"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2,089,399.43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Arial" w:hAnsi="Arial" w:cs="Arial" w:eastAsia="Arial" w:hint="default"/>
                <w:sz w:val="18"/>
                <w:szCs w:val="18"/>
              </w:rPr>
            </w:pPr>
            <w:r>
              <w:rPr>
                <w:rFonts w:ascii="Arial"/>
                <w:spacing w:val="-1"/>
                <w:w w:val="80"/>
                <w:sz w:val="18"/>
              </w:rPr>
              <w:t>2,579,874.53</w:t>
            </w:r>
            <w:r>
              <w:rPr>
                <w:rFonts w:ascii="Arial"/>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279,568.05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176,013.89</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674,141,839.97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468,631,476.46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293,537,186.67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201,462,329.05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967,679,026.64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670,093,805.51</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18</w:t>
      </w:r>
      <w:r>
        <w:rPr/>
        <w:t>、其他非流动资产</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82" w:top="1100" w:bottom="1180" w:left="980" w:right="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7"/>
        <w:ind w:left="153"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955" w:space="6874"/>
            <w:col w:w="210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预付设备款项</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161,587.33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黑石号沉船文物一批（</w:t>
            </w:r>
            <w:r>
              <w:rPr>
                <w:rFonts w:ascii="Times New Roman" w:hAnsi="Times New Roman" w:cs="Times New Roman" w:eastAsia="Times New Roman" w:hint="default"/>
                <w:sz w:val="18"/>
                <w:szCs w:val="18"/>
              </w:rPr>
              <w:t>189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件）</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4,514,185.00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4,514,185.00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4,514,185.00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4,675,772.33</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19</w:t>
      </w:r>
      <w:r>
        <w:rPr/>
        <w:t>、短期借款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）短期借款分类</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121,000,000.00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借款利息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161,137.71</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141,161,137.71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短期借款分类的说明：</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222"/>
        <w:gridCol w:w="1475"/>
        <w:gridCol w:w="1342"/>
        <w:gridCol w:w="1616"/>
        <w:gridCol w:w="1843"/>
      </w:tblGrid>
      <w:tr>
        <w:trPr>
          <w:trHeight w:val="341" w:hRule="exact"/>
        </w:trPr>
        <w:tc>
          <w:tcPr>
            <w:tcW w:w="32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贷款单位</w:t>
            </w:r>
          </w:p>
        </w:tc>
        <w:tc>
          <w:tcPr>
            <w:tcW w:w="1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372"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3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借款条件</w:t>
            </w:r>
          </w:p>
        </w:tc>
        <w:tc>
          <w:tcPr>
            <w:tcW w:w="16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借款开始日</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借款到期日</w:t>
            </w:r>
          </w:p>
        </w:tc>
      </w:tr>
      <w:tr>
        <w:trPr>
          <w:trHeight w:val="343"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招商银行股份有限公司厦门分行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2019/11/27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2020/11/26</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兴业银行股份有限公司厦门湖里支行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2019/9/20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2020/9/19</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兴业银行股份有限公司厦门湖里支行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2019/5/27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2020/5/26</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兴业银行股份有限公司厦门湖里支行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2019/8/13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2020/8/12</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兴业银行股份有限公司厦门湖里支行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2019/6/10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2020/6/9</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厦门银行股份有限公司海沧支行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2019/7/31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2020/6/1</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厦门银行股份有限公司海沧支行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2019/4/1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2020/4/1</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厦门银行股份有限公司海沧支行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信用借款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2019/9/12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2020/6/1</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厦门银行股份有限公司海沧支行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30,000,000.00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sz w:val="18"/>
              </w:rPr>
              <w:t>2019/4/2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2020/4/2</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厦门银行股份有限公司海沧支行</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2019/5/25</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2020/5/25</w:t>
            </w:r>
          </w:p>
        </w:tc>
      </w:tr>
      <w:tr>
        <w:trPr>
          <w:trHeight w:val="342" w:hRule="exact"/>
        </w:trPr>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141,000,000.00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1180" w:left="980" w:right="0"/>
        </w:sectPr>
      </w:pPr>
    </w:p>
    <w:p>
      <w:pPr>
        <w:spacing w:line="240" w:lineRule="auto" w:before="9"/>
        <w:rPr>
          <w:rFonts w:ascii="宋体" w:hAnsi="宋体" w:cs="宋体" w:eastAsia="宋体" w:hint="default"/>
          <w:sz w:val="20"/>
          <w:szCs w:val="20"/>
        </w:rPr>
      </w:pPr>
    </w:p>
    <w:p>
      <w:pPr>
        <w:pStyle w:val="BodyText"/>
        <w:spacing w:line="240" w:lineRule="auto" w:before="35"/>
        <w:ind w:left="577" w:right="0"/>
        <w:jc w:val="left"/>
      </w:pPr>
      <w:r>
        <w:rPr/>
        <w:t>续上表：</w:t>
      </w:r>
    </w:p>
    <w:p>
      <w:pPr>
        <w:spacing w:line="240" w:lineRule="auto" w:before="12"/>
        <w:rPr>
          <w:rFonts w:ascii="宋体" w:hAnsi="宋体" w:cs="宋体" w:eastAsia="宋体" w:hint="default"/>
          <w:sz w:val="13"/>
          <w:szCs w:val="13"/>
        </w:rPr>
      </w:pPr>
    </w:p>
    <w:tbl>
      <w:tblPr>
        <w:tblW w:w="0" w:type="auto"/>
        <w:jc w:val="left"/>
        <w:tblInd w:w="149" w:type="dxa"/>
        <w:tblLayout w:type="fixed"/>
        <w:tblCellMar>
          <w:top w:w="0" w:type="dxa"/>
          <w:left w:w="0" w:type="dxa"/>
          <w:bottom w:w="0" w:type="dxa"/>
          <w:right w:w="0" w:type="dxa"/>
        </w:tblCellMar>
        <w:tblLook w:val="01E0"/>
      </w:tblPr>
      <w:tblGrid>
        <w:gridCol w:w="3227"/>
        <w:gridCol w:w="3262"/>
        <w:gridCol w:w="2868"/>
      </w:tblGrid>
      <w:tr>
        <w:trPr>
          <w:trHeight w:val="332" w:hRule="exact"/>
        </w:trPr>
        <w:tc>
          <w:tcPr>
            <w:tcW w:w="32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797" w:right="0"/>
              <w:jc w:val="left"/>
              <w:rPr>
                <w:rFonts w:ascii="宋体" w:hAnsi="宋体" w:cs="宋体" w:eastAsia="宋体" w:hint="default"/>
                <w:sz w:val="18"/>
                <w:szCs w:val="18"/>
              </w:rPr>
            </w:pPr>
            <w:r>
              <w:rPr>
                <w:rFonts w:ascii="宋体" w:hAnsi="宋体" w:cs="宋体" w:eastAsia="宋体" w:hint="default"/>
                <w:sz w:val="18"/>
                <w:szCs w:val="18"/>
              </w:rPr>
              <w:t>担保或抵押合同编号</w:t>
            </w:r>
          </w:p>
        </w:tc>
        <w:tc>
          <w:tcPr>
            <w:tcW w:w="32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综合授信合同</w:t>
            </w:r>
          </w:p>
        </w:tc>
        <w:tc>
          <w:tcPr>
            <w:tcW w:w="28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887" w:right="0"/>
              <w:jc w:val="left"/>
              <w:rPr>
                <w:rFonts w:ascii="宋体" w:hAnsi="宋体" w:cs="宋体" w:eastAsia="宋体" w:hint="default"/>
                <w:sz w:val="18"/>
                <w:szCs w:val="18"/>
              </w:rPr>
            </w:pPr>
            <w:r>
              <w:rPr>
                <w:rFonts w:ascii="宋体" w:hAnsi="宋体" w:cs="宋体" w:eastAsia="宋体" w:hint="default"/>
                <w:sz w:val="18"/>
                <w:szCs w:val="18"/>
              </w:rPr>
              <w:t>担保或抵押人</w:t>
            </w:r>
          </w:p>
        </w:tc>
      </w:tr>
      <w:tr>
        <w:trPr>
          <w:trHeight w:val="654"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1"/>
              <w:ind w:left="4" w:right="60"/>
              <w:jc w:val="left"/>
              <w:rPr>
                <w:rFonts w:ascii="Times New Roman" w:hAnsi="Times New Roman" w:cs="Times New Roman" w:eastAsia="Times New Roman" w:hint="default"/>
                <w:sz w:val="18"/>
                <w:szCs w:val="18"/>
              </w:rPr>
            </w:pPr>
            <w:r>
              <w:rPr>
                <w:rFonts w:ascii="宋体" w:hAnsi="宋体" w:cs="宋体" w:eastAsia="宋体" w:hint="default"/>
                <w:sz w:val="18"/>
                <w:szCs w:val="18"/>
              </w:rPr>
              <w:t>授信协</w:t>
            </w:r>
            <w:r>
              <w:rPr>
                <w:rFonts w:ascii="Times New Roman" w:hAnsi="Times New Roman" w:cs="Times New Roman" w:eastAsia="Times New Roman" w:hint="default"/>
                <w:sz w:val="18"/>
                <w:szCs w:val="18"/>
              </w:rPr>
              <w:t>:592XY2019016204;</w:t>
            </w:r>
            <w:r>
              <w:rPr>
                <w:rFonts w:ascii="宋体" w:hAnsi="宋体" w:cs="宋体" w:eastAsia="宋体" w:hint="default"/>
                <w:sz w:val="18"/>
                <w:szCs w:val="18"/>
              </w:rPr>
              <w:t>最高额不可撤 销担保书：</w:t>
            </w:r>
            <w:r>
              <w:rPr>
                <w:rFonts w:ascii="Times New Roman" w:hAnsi="Times New Roman" w:cs="Times New Roman" w:eastAsia="Times New Roman" w:hint="default"/>
                <w:sz w:val="18"/>
                <w:szCs w:val="18"/>
              </w:rPr>
              <w:t>592XY201901620401</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1"/>
              <w:ind w:left="5" w:right="94"/>
              <w:jc w:val="left"/>
              <w:rPr>
                <w:rFonts w:ascii="Times New Roman" w:hAnsi="Times New Roman" w:cs="Times New Roman" w:eastAsia="Times New Roman" w:hint="default"/>
                <w:sz w:val="18"/>
                <w:szCs w:val="18"/>
              </w:rPr>
            </w:pPr>
            <w:r>
              <w:rPr>
                <w:rFonts w:ascii="宋体" w:hAnsi="宋体" w:cs="宋体" w:eastAsia="宋体" w:hint="default"/>
                <w:sz w:val="18"/>
                <w:szCs w:val="18"/>
              </w:rPr>
              <w:t>授信协</w:t>
            </w:r>
            <w:r>
              <w:rPr>
                <w:rFonts w:ascii="Times New Roman" w:hAnsi="Times New Roman" w:cs="Times New Roman" w:eastAsia="Times New Roman" w:hint="default"/>
                <w:sz w:val="18"/>
                <w:szCs w:val="18"/>
              </w:rPr>
              <w:t>:592XY2019016204;</w:t>
            </w:r>
            <w:r>
              <w:rPr>
                <w:rFonts w:ascii="宋体" w:hAnsi="宋体" w:cs="宋体" w:eastAsia="宋体" w:hint="default"/>
                <w:sz w:val="18"/>
                <w:szCs w:val="18"/>
              </w:rPr>
              <w:t>最高额不可撤 销担保书：</w:t>
            </w:r>
            <w:r>
              <w:rPr>
                <w:rFonts w:ascii="Times New Roman" w:hAnsi="Times New Roman" w:cs="Times New Roman" w:eastAsia="Times New Roman" w:hint="default"/>
                <w:sz w:val="18"/>
                <w:szCs w:val="18"/>
              </w:rPr>
              <w:t>592XY201901620401</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兴银厦湖业额保字</w:t>
            </w:r>
            <w:r>
              <w:rPr>
                <w:rFonts w:ascii="Times New Roman" w:hAnsi="Times New Roman" w:cs="Times New Roman" w:eastAsia="Times New Roman" w:hint="default"/>
                <w:sz w:val="18"/>
                <w:szCs w:val="18"/>
              </w:rPr>
              <w:t>2018310</w:t>
            </w:r>
            <w:r>
              <w:rPr>
                <w:rFonts w:ascii="宋体" w:hAnsi="宋体" w:cs="宋体" w:eastAsia="宋体" w:hint="default"/>
                <w:sz w:val="18"/>
                <w:szCs w:val="18"/>
              </w:rPr>
              <w:t>号</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兴银厦湖业额保字</w:t>
            </w:r>
            <w:r>
              <w:rPr>
                <w:rFonts w:ascii="Times New Roman" w:hAnsi="Times New Roman" w:cs="Times New Roman" w:eastAsia="Times New Roman" w:hint="default"/>
                <w:sz w:val="18"/>
                <w:szCs w:val="18"/>
              </w:rPr>
              <w:t>2018310</w:t>
            </w:r>
            <w:r>
              <w:rPr>
                <w:rFonts w:ascii="宋体" w:hAnsi="宋体" w:cs="宋体" w:eastAsia="宋体" w:hint="default"/>
                <w:sz w:val="18"/>
                <w:szCs w:val="18"/>
              </w:rPr>
              <w:t>号</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兴银厦湖业额保字</w:t>
            </w:r>
            <w:r>
              <w:rPr>
                <w:rFonts w:ascii="Times New Roman" w:hAnsi="Times New Roman" w:cs="Times New Roman" w:eastAsia="Times New Roman" w:hint="default"/>
                <w:sz w:val="18"/>
                <w:szCs w:val="18"/>
              </w:rPr>
              <w:t>2018310</w:t>
            </w:r>
            <w:r>
              <w:rPr>
                <w:rFonts w:ascii="宋体" w:hAnsi="宋体" w:cs="宋体" w:eastAsia="宋体" w:hint="default"/>
                <w:sz w:val="18"/>
                <w:szCs w:val="18"/>
              </w:rPr>
              <w:t>号</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兴银厦湖业额保字</w:t>
            </w:r>
            <w:r>
              <w:rPr>
                <w:rFonts w:ascii="Times New Roman" w:hAnsi="Times New Roman" w:cs="Times New Roman" w:eastAsia="Times New Roman" w:hint="default"/>
                <w:sz w:val="18"/>
                <w:szCs w:val="18"/>
              </w:rPr>
              <w:t>2018310</w:t>
            </w:r>
            <w:r>
              <w:rPr>
                <w:rFonts w:ascii="宋体" w:hAnsi="宋体" w:cs="宋体" w:eastAsia="宋体" w:hint="default"/>
                <w:sz w:val="18"/>
                <w:szCs w:val="18"/>
              </w:rPr>
              <w:t>号</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兴银厦湖业额保字</w:t>
            </w:r>
            <w:r>
              <w:rPr>
                <w:rFonts w:ascii="Times New Roman" w:hAnsi="Times New Roman" w:cs="Times New Roman" w:eastAsia="Times New Roman" w:hint="default"/>
                <w:sz w:val="18"/>
                <w:szCs w:val="18"/>
              </w:rPr>
              <w:t>2018310</w:t>
            </w:r>
            <w:r>
              <w:rPr>
                <w:rFonts w:ascii="宋体" w:hAnsi="宋体" w:cs="宋体" w:eastAsia="宋体" w:hint="default"/>
                <w:sz w:val="18"/>
                <w:szCs w:val="18"/>
              </w:rPr>
              <w:t>号</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兴银厦湖业额保字</w:t>
            </w:r>
            <w:r>
              <w:rPr>
                <w:rFonts w:ascii="Times New Roman" w:hAnsi="Times New Roman" w:cs="Times New Roman" w:eastAsia="Times New Roman" w:hint="default"/>
                <w:sz w:val="18"/>
                <w:szCs w:val="18"/>
              </w:rPr>
              <w:t>2018310</w:t>
            </w:r>
            <w:r>
              <w:rPr>
                <w:rFonts w:ascii="宋体" w:hAnsi="宋体" w:cs="宋体" w:eastAsia="宋体" w:hint="default"/>
                <w:sz w:val="18"/>
                <w:szCs w:val="18"/>
              </w:rPr>
              <w:t>号</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兴银厦湖业额保字</w:t>
            </w:r>
            <w:r>
              <w:rPr>
                <w:rFonts w:ascii="Times New Roman" w:hAnsi="Times New Roman" w:cs="Times New Roman" w:eastAsia="Times New Roman" w:hint="default"/>
                <w:sz w:val="18"/>
                <w:szCs w:val="18"/>
              </w:rPr>
              <w:t>2018310</w:t>
            </w:r>
            <w:r>
              <w:rPr>
                <w:rFonts w:ascii="宋体" w:hAnsi="宋体" w:cs="宋体" w:eastAsia="宋体" w:hint="default"/>
                <w:sz w:val="18"/>
                <w:szCs w:val="18"/>
              </w:rPr>
              <w:t>号</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兴银厦湖业额保字</w:t>
            </w:r>
            <w:r>
              <w:rPr>
                <w:rFonts w:ascii="Times New Roman" w:hAnsi="Times New Roman" w:cs="Times New Roman" w:eastAsia="Times New Roman" w:hint="default"/>
                <w:sz w:val="18"/>
                <w:szCs w:val="18"/>
              </w:rPr>
              <w:t>2018310</w:t>
            </w:r>
            <w:r>
              <w:rPr>
                <w:rFonts w:ascii="宋体" w:hAnsi="宋体" w:cs="宋体" w:eastAsia="宋体" w:hint="default"/>
                <w:sz w:val="18"/>
                <w:szCs w:val="18"/>
              </w:rPr>
              <w:t>号</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2</w:t>
            </w:r>
            <w:r>
              <w:rPr>
                <w:rFonts w:ascii="宋体" w:hAnsi="宋体" w:cs="宋体" w:eastAsia="宋体" w:hint="default"/>
                <w:sz w:val="18"/>
                <w:szCs w:val="18"/>
              </w:rPr>
              <w:t>保</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2</w:t>
            </w:r>
            <w:r>
              <w:rPr>
                <w:rFonts w:ascii="宋体" w:hAnsi="宋体" w:cs="宋体" w:eastAsia="宋体" w:hint="default"/>
                <w:sz w:val="18"/>
                <w:szCs w:val="18"/>
              </w:rPr>
              <w:t>保</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3</w:t>
            </w:r>
            <w:r>
              <w:rPr>
                <w:rFonts w:ascii="宋体" w:hAnsi="宋体" w:cs="宋体" w:eastAsia="宋体" w:hint="default"/>
                <w:sz w:val="18"/>
                <w:szCs w:val="18"/>
              </w:rPr>
              <w:t>保</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3</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1</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1</w:t>
            </w:r>
          </w:p>
        </w:tc>
        <w:tc>
          <w:tcPr>
            <w:tcW w:w="2868"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6</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6</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342" w:hRule="exact"/>
        </w:trPr>
        <w:tc>
          <w:tcPr>
            <w:tcW w:w="3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6</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GSHT2016110627</w:t>
            </w:r>
            <w:r>
              <w:rPr>
                <w:rFonts w:ascii="宋体" w:hAnsi="宋体" w:cs="宋体" w:eastAsia="宋体" w:hint="default"/>
                <w:sz w:val="18"/>
                <w:szCs w:val="18"/>
              </w:rPr>
              <w:t>授</w:t>
            </w:r>
            <w:r>
              <w:rPr>
                <w:rFonts w:ascii="Times New Roman" w:hAnsi="Times New Roman" w:cs="Times New Roman" w:eastAsia="Times New Roman" w:hint="default"/>
                <w:sz w:val="18"/>
                <w:szCs w:val="18"/>
              </w:rPr>
              <w:t>6</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4"/>
        <w:spacing w:line="240" w:lineRule="auto" w:before="35"/>
        <w:ind w:right="0"/>
        <w:jc w:val="left"/>
        <w:rPr>
          <w:b w:val="0"/>
          <w:bCs w:val="0"/>
        </w:rPr>
      </w:pPr>
      <w:r>
        <w:rPr>
          <w:rFonts w:ascii="Times New Roman" w:hAnsi="Times New Roman" w:cs="Times New Roman" w:eastAsia="Times New Roman" w:hint="default"/>
        </w:rPr>
        <w:t>20</w:t>
      </w:r>
      <w:r>
        <w:rPr/>
        <w:t>、应付票据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70,973,323.91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34,568,333.48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70,973,323.91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49,568,333.48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本期末已到期未支付的应付票据总额为元。</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21</w:t>
      </w:r>
      <w:r>
        <w:rPr/>
        <w:t>、应付账款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）应付账款列示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51,585,284.09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61,279,174.95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16,614,332.96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5,629,381.27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68,199,617.05</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66,908,556.22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22</w:t>
      </w:r>
      <w:r>
        <w:rPr/>
        <w:t>、预收款项</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6"/>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9"/>
        <w:rPr>
          <w:rFonts w:ascii="宋体" w:hAnsi="宋体" w:cs="宋体" w:eastAsia="宋体" w:hint="default"/>
          <w:sz w:val="20"/>
          <w:szCs w:val="20"/>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1</w:t>
      </w:r>
      <w:r>
        <w:rPr/>
        <w:t>）预收款项列示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19,528,864.07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18,979,822.46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4,093,320.25</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4,613,181.29</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23,622,184.32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23,593,003.75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23</w:t>
      </w:r>
      <w:r>
        <w:rPr/>
        <w:t>、应付职工薪酬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11,078,404.47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76,054,599.03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74,549,882.52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12,583,120.98</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431,036.56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6,352,198.23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6,054,313.49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728,921.30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456,850.00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820,266.16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1,277,116.16</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11,966,291.03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83,227,063.42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81,881,312.17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13,312,042.28</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）短期薪酬列示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2"/>
              <w:ind w:left="22" w:right="2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补贴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10,727,930.80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65,575,824.22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64,506,953.38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11,796,801.64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3,187,314.50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3,133,261.50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54,053.00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234,238.79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3,538,771.23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3,363,841.83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409,168.19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其中：医疗保险费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208,765.01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3,177,747.11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3,013,958.37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372,553.75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工伤保险费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10,953.26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99,973.71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100,918.52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10,008.45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生育保险费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14,520.52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261,050.41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248,964.94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26,605.99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930.00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2,897,854.80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2,898,262.80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522.00</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2"/>
              <w:ind w:left="22" w:right="2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、工会经费和职工教育</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经费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115,304.88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854,834.28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647,563.01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322,576.15</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11,078,404.47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76,054,599.03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74,549,882.52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12,583,120.98</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宋体" w:hAnsi="宋体" w:cs="宋体" w:eastAsia="宋体" w:hint="default"/>
          <w:sz w:val="20"/>
          <w:szCs w:val="20"/>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405,290.26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6,147,430.00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5,850,263.92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702,456.34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25,746.30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204,768.23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204,049.57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26,464.96</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431,036.56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6,352,198.23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6,054,313.49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728,921.30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24</w:t>
      </w:r>
      <w:r>
        <w:rPr/>
        <w:t>、应交税费</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8,178,265.64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11,696,957.63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1,727,359.27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152,937.29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407,449.34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449,418.20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82,517.84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170,724.86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31,359.57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103,507.97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1,644.48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101,936.34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59,608.29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119,530.45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其他税费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330,041.17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72,790.85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10,818,245.60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12,867,803.59</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25</w:t>
      </w:r>
      <w:r>
        <w:rPr/>
        <w:t>、其他应付款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70,808.34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53,104,234.84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49,484,702.66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53,104,234.84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49,555,511.00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1</w:t>
      </w:r>
      <w:r>
        <w:rPr/>
        <w:t>）应付利息</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70,808.34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宋体" w:hAnsi="宋体" w:cs="宋体" w:eastAsia="宋体" w:hint="default"/>
          <w:sz w:val="20"/>
          <w:szCs w:val="20"/>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）其他应付款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）按款项性质列示其他应付款</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630,145.75</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2,133,630.93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14,140,270.00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10,426,739.21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往来款等</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36,511,796.03</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34,830,016.11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其他款项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1,822,023.06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2,094,316.41</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53,104,234.84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49,484,702.66</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26</w:t>
      </w:r>
      <w:r>
        <w:rPr/>
        <w:t>、一年内到期的非流动负债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11,000,000.00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8,708.34</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11,008,708.34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27</w:t>
      </w:r>
      <w:r>
        <w:rPr/>
        <w:t>、其他流动负债</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82" w:top="1100" w:bottom="1180" w:left="980" w:right="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7"/>
        <w:ind w:left="153"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1955" w:space="6874"/>
            <w:col w:w="210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加工费、租金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389,689.21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运费、维修费及其他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4,542,435.79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3,777,680.90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暂估销项税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1,950,647.30</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6,882,772.30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3,789,680.90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28</w:t>
      </w:r>
      <w:r>
        <w:rPr/>
        <w:t>、长期借款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）长期借款分类</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type w:val="continuous"/>
          <w:pgSz w:w="11910" w:h="16840"/>
          <w:pgMar w:top="106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11,000,000.00</w:t>
            </w:r>
          </w:p>
        </w:tc>
      </w:tr>
    </w:tbl>
    <w:p>
      <w:pPr>
        <w:spacing w:line="360" w:lineRule="auto" w:before="51"/>
        <w:ind w:left="153" w:right="8442"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长期借款分类的说明： 其他说明：利率区间为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4.25%</w:t>
      </w:r>
    </w:p>
    <w:p>
      <w:pPr>
        <w:spacing w:line="240" w:lineRule="auto" w:before="7"/>
        <w:rPr>
          <w:rFonts w:ascii="Times New Roman" w:hAnsi="Times New Roman" w:cs="Times New Roman" w:eastAsia="Times New Roman"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29</w:t>
      </w:r>
      <w:r>
        <w:rPr/>
        <w:t>、股本</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5"/>
        <w:gridCol w:w="1196"/>
        <w:gridCol w:w="1196"/>
        <w:gridCol w:w="1196"/>
        <w:gridCol w:w="1195"/>
        <w:gridCol w:w="1196"/>
        <w:gridCol w:w="1196"/>
        <w:gridCol w:w="1195"/>
      </w:tblGrid>
      <w:tr>
        <w:trPr>
          <w:trHeight w:val="402" w:hRule="exact"/>
        </w:trPr>
        <w:tc>
          <w:tcPr>
            <w:tcW w:w="1195" w:type="dxa"/>
            <w:vMerge w:val="restart"/>
            <w:tcBorders>
              <w:top w:val="single" w:sz="4" w:space="0" w:color="000000"/>
              <w:left w:val="single" w:sz="4" w:space="0" w:color="000000"/>
              <w:right w:val="single" w:sz="4" w:space="0" w:color="000000"/>
            </w:tcBorders>
            <w:shd w:val="clear" w:color="auto" w:fill="D3D3D3"/>
          </w:tcPr>
          <w:p>
            <w:pPr/>
          </w:p>
        </w:tc>
        <w:tc>
          <w:tcPr>
            <w:tcW w:w="119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1"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195" w:type="dxa"/>
            <w:vMerge/>
            <w:tcBorders>
              <w:left w:val="single" w:sz="4" w:space="0" w:color="000000"/>
              <w:bottom w:val="single" w:sz="4" w:space="0" w:color="000000"/>
              <w:right w:val="single" w:sz="4" w:space="0" w:color="000000"/>
            </w:tcBorders>
            <w:shd w:val="clear" w:color="auto" w:fill="D3D3D3"/>
          </w:tcPr>
          <w:p>
            <w:pPr/>
          </w:p>
        </w:tc>
        <w:tc>
          <w:tcPr>
            <w:tcW w:w="1196" w:type="dxa"/>
            <w:vMerge/>
            <w:tcBorders>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195"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9" w:right="0"/>
              <w:jc w:val="left"/>
              <w:rPr>
                <w:rFonts w:ascii="Times New Roman" w:hAnsi="Times New Roman" w:cs="Times New Roman" w:eastAsia="Times New Roman" w:hint="default"/>
                <w:sz w:val="18"/>
                <w:szCs w:val="18"/>
              </w:rPr>
            </w:pPr>
            <w:r>
              <w:rPr>
                <w:rFonts w:ascii="Times New Roman"/>
                <w:sz w:val="18"/>
              </w:rPr>
              <w:t>623,964,810.00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8" w:right="0"/>
              <w:jc w:val="center"/>
              <w:rPr>
                <w:rFonts w:ascii="Times New Roman" w:hAnsi="Times New Roman" w:cs="Times New Roman" w:eastAsia="Times New Roman" w:hint="default"/>
                <w:sz w:val="18"/>
                <w:szCs w:val="18"/>
              </w:rPr>
            </w:pPr>
            <w:r>
              <w:rPr>
                <w:rFonts w:ascii="Times New Roman"/>
                <w:sz w:val="18"/>
              </w:rPr>
              <w:t>-42,220,526.00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center"/>
              <w:rPr>
                <w:rFonts w:ascii="Times New Roman" w:hAnsi="Times New Roman" w:cs="Times New Roman" w:eastAsia="Times New Roman" w:hint="default"/>
                <w:sz w:val="18"/>
                <w:szCs w:val="18"/>
              </w:rPr>
            </w:pPr>
            <w:r>
              <w:rPr>
                <w:rFonts w:ascii="Times New Roman"/>
                <w:sz w:val="18"/>
              </w:rPr>
              <w:t>-42,220,526.00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8" w:right="0"/>
              <w:jc w:val="left"/>
              <w:rPr>
                <w:rFonts w:ascii="Times New Roman" w:hAnsi="Times New Roman" w:cs="Times New Roman" w:eastAsia="Times New Roman" w:hint="default"/>
                <w:sz w:val="18"/>
                <w:szCs w:val="18"/>
              </w:rPr>
            </w:pPr>
            <w:r>
              <w:rPr>
                <w:rFonts w:ascii="Times New Roman"/>
                <w:sz w:val="18"/>
              </w:rPr>
              <w:t>581,744,284.00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338" w:lineRule="auto" w:before="130"/>
        <w:ind w:left="474" w:right="0" w:firstLine="0"/>
        <w:jc w:val="left"/>
        <w:rPr>
          <w:rFonts w:ascii="宋体" w:hAnsi="宋体" w:cs="宋体" w:eastAsia="宋体" w:hint="default"/>
          <w:sz w:val="16"/>
          <w:szCs w:val="16"/>
        </w:rPr>
      </w:pPr>
      <w:r>
        <w:rPr>
          <w:rFonts w:ascii="宋体" w:hAnsi="宋体" w:cs="宋体" w:eastAsia="宋体" w:hint="default"/>
          <w:sz w:val="16"/>
          <w:szCs w:val="16"/>
        </w:rPr>
        <w:t>注</w:t>
      </w:r>
      <w:r>
        <w:rPr>
          <w:rFonts w:ascii="Times New Roman" w:hAnsi="Times New Roman" w:cs="Times New Roman" w:eastAsia="Times New Roman" w:hint="default"/>
          <w:sz w:val="16"/>
          <w:szCs w:val="16"/>
        </w:rPr>
        <w:t>1</w:t>
      </w:r>
      <w:r>
        <w:rPr>
          <w:rFonts w:ascii="宋体" w:hAnsi="宋体" w:cs="宋体" w:eastAsia="宋体" w:hint="default"/>
          <w:sz w:val="16"/>
          <w:szCs w:val="16"/>
        </w:rPr>
        <w:t>：因</w:t>
      </w:r>
      <w:r>
        <w:rPr>
          <w:rFonts w:ascii="Times New Roman" w:hAnsi="Times New Roman" w:cs="Times New Roman" w:eastAsia="Times New Roman" w:hint="default"/>
          <w:sz w:val="16"/>
          <w:szCs w:val="16"/>
        </w:rPr>
        <w:t>2018</w:t>
      </w:r>
      <w:r>
        <w:rPr>
          <w:rFonts w:ascii="宋体" w:hAnsi="宋体" w:cs="宋体" w:eastAsia="宋体" w:hint="default"/>
          <w:sz w:val="16"/>
          <w:szCs w:val="16"/>
        </w:rPr>
        <w:t>年股权激励业绩未达到要求，注销与该股权激励相关的部分限制性股票导致股本减少</w:t>
      </w:r>
      <w:r>
        <w:rPr>
          <w:rFonts w:ascii="Times New Roman" w:hAnsi="Times New Roman" w:cs="Times New Roman" w:eastAsia="Times New Roman" w:hint="default"/>
          <w:sz w:val="16"/>
          <w:szCs w:val="16"/>
        </w:rPr>
        <w:t>1,188,000.00</w:t>
      </w:r>
      <w:r>
        <w:rPr>
          <w:rFonts w:ascii="宋体" w:hAnsi="宋体" w:cs="宋体" w:eastAsia="宋体" w:hint="default"/>
          <w:sz w:val="16"/>
          <w:szCs w:val="16"/>
        </w:rPr>
        <w:t>股。</w:t>
      </w:r>
      <w:r>
        <w:rPr>
          <w:rFonts w:ascii="宋体" w:hAnsi="宋体" w:cs="宋体" w:eastAsia="宋体" w:hint="default"/>
          <w:w w:val="99"/>
          <w:sz w:val="16"/>
          <w:szCs w:val="16"/>
        </w:rPr>
        <w:t> </w:t>
      </w:r>
      <w:r>
        <w:rPr>
          <w:rFonts w:ascii="宋体" w:hAnsi="宋体" w:cs="宋体" w:eastAsia="宋体" w:hint="default"/>
          <w:w w:val="95"/>
          <w:sz w:val="16"/>
          <w:szCs w:val="16"/>
        </w:rPr>
        <w:t>注</w:t>
      </w:r>
      <w:r>
        <w:rPr>
          <w:rFonts w:ascii="Times New Roman" w:hAnsi="Times New Roman" w:cs="Times New Roman" w:eastAsia="Times New Roman" w:hint="default"/>
          <w:w w:val="95"/>
          <w:sz w:val="16"/>
          <w:szCs w:val="16"/>
        </w:rPr>
        <w:t>:2</w:t>
      </w:r>
      <w:r>
        <w:rPr>
          <w:rFonts w:ascii="宋体" w:hAnsi="宋体" w:cs="宋体" w:eastAsia="宋体" w:hint="default"/>
          <w:w w:val="95"/>
          <w:sz w:val="16"/>
          <w:szCs w:val="16"/>
        </w:rPr>
        <w:t>本期注销北京畅元国讯科技有限公司原股东</w:t>
      </w:r>
      <w:r>
        <w:rPr>
          <w:rFonts w:ascii="Times New Roman" w:hAnsi="Times New Roman" w:cs="Times New Roman" w:eastAsia="Times New Roman" w:hint="default"/>
          <w:w w:val="95"/>
          <w:sz w:val="16"/>
          <w:szCs w:val="16"/>
        </w:rPr>
        <w:t>2017</w:t>
      </w:r>
      <w:r>
        <w:rPr>
          <w:rFonts w:ascii="宋体" w:hAnsi="宋体" w:cs="宋体" w:eastAsia="宋体" w:hint="default"/>
          <w:w w:val="95"/>
          <w:sz w:val="16"/>
          <w:szCs w:val="16"/>
        </w:rPr>
        <w:t>业绩对赌赔偿款、</w:t>
      </w:r>
      <w:r>
        <w:rPr>
          <w:rFonts w:ascii="Times New Roman" w:hAnsi="Times New Roman" w:cs="Times New Roman" w:eastAsia="Times New Roman" w:hint="default"/>
          <w:w w:val="95"/>
          <w:sz w:val="16"/>
          <w:szCs w:val="16"/>
        </w:rPr>
        <w:t>2018</w:t>
      </w:r>
      <w:r>
        <w:rPr>
          <w:rFonts w:ascii="宋体" w:hAnsi="宋体" w:cs="宋体" w:eastAsia="宋体" w:hint="default"/>
          <w:w w:val="95"/>
          <w:sz w:val="16"/>
          <w:szCs w:val="16"/>
        </w:rPr>
        <w:t>业绩对赌赔偿款合计减少</w:t>
      </w:r>
      <w:r>
        <w:rPr>
          <w:rFonts w:ascii="Times New Roman" w:hAnsi="Times New Roman" w:cs="Times New Roman" w:eastAsia="Times New Roman" w:hint="default"/>
          <w:w w:val="95"/>
          <w:sz w:val="16"/>
          <w:szCs w:val="16"/>
        </w:rPr>
        <w:t>41,032,526.00</w:t>
      </w:r>
      <w:r>
        <w:rPr>
          <w:rFonts w:ascii="宋体" w:hAnsi="宋体" w:cs="宋体" w:eastAsia="宋体" w:hint="default"/>
          <w:w w:val="95"/>
          <w:sz w:val="16"/>
          <w:szCs w:val="16"/>
        </w:rPr>
        <w:t>股。</w:t>
      </w:r>
      <w:r>
        <w:rPr>
          <w:rFonts w:ascii="宋体" w:hAnsi="宋体" w:cs="宋体" w:eastAsia="宋体" w:hint="default"/>
          <w:sz w:val="16"/>
          <w:szCs w:val="16"/>
        </w:rPr>
      </w:r>
    </w:p>
    <w:p>
      <w:pPr>
        <w:spacing w:line="240" w:lineRule="auto" w:before="4"/>
        <w:rPr>
          <w:rFonts w:ascii="宋体" w:hAnsi="宋体" w:cs="宋体" w:eastAsia="宋体" w:hint="default"/>
          <w:sz w:val="21"/>
          <w:szCs w:val="21"/>
        </w:rPr>
      </w:pPr>
    </w:p>
    <w:p>
      <w:pPr>
        <w:pStyle w:val="Heading4"/>
        <w:spacing w:line="240" w:lineRule="auto"/>
        <w:ind w:right="0"/>
        <w:jc w:val="left"/>
        <w:rPr>
          <w:b w:val="0"/>
          <w:bCs w:val="0"/>
        </w:rPr>
      </w:pPr>
      <w:r>
        <w:rPr>
          <w:rFonts w:ascii="Times New Roman" w:hAnsi="Times New Roman" w:cs="Times New Roman" w:eastAsia="Times New Roman" w:hint="default"/>
        </w:rPr>
        <w:t>30</w:t>
      </w:r>
      <w:r>
        <w:rPr/>
        <w:t>、资本公积</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1,749,003,638.25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341,769,524.62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1,407,234,113.63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18,035,674.13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4,908,590.00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13,127,084.13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1,767,039,312.38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346,678,114.62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1,420,361,197.76</w:t>
            </w:r>
          </w:p>
        </w:tc>
      </w:tr>
    </w:tbl>
    <w:p>
      <w:pPr>
        <w:spacing w:line="355" w:lineRule="auto" w:before="51"/>
        <w:ind w:left="474" w:right="1791" w:hanging="321"/>
        <w:jc w:val="left"/>
        <w:rPr>
          <w:rFonts w:ascii="宋体" w:hAnsi="宋体" w:cs="宋体" w:eastAsia="宋体" w:hint="default"/>
          <w:sz w:val="16"/>
          <w:szCs w:val="16"/>
        </w:rPr>
      </w:pPr>
      <w:r>
        <w:rPr>
          <w:rFonts w:ascii="宋体" w:hAnsi="宋体" w:cs="宋体" w:eastAsia="宋体" w:hint="default"/>
          <w:sz w:val="18"/>
          <w:szCs w:val="18"/>
        </w:rPr>
        <w:t>其他说明，包括本期增减变动情况、变动原因说明： </w:t>
      </w:r>
      <w:r>
        <w:rPr>
          <w:rFonts w:ascii="宋体" w:hAnsi="宋体" w:cs="宋体" w:eastAsia="宋体" w:hint="default"/>
          <w:sz w:val="16"/>
          <w:szCs w:val="16"/>
        </w:rPr>
        <w:t>注</w:t>
      </w:r>
      <w:r>
        <w:rPr>
          <w:rFonts w:ascii="Times New Roman" w:hAnsi="Times New Roman" w:cs="Times New Roman" w:eastAsia="Times New Roman" w:hint="default"/>
          <w:sz w:val="16"/>
          <w:szCs w:val="16"/>
        </w:rPr>
        <w:t>1</w:t>
      </w:r>
      <w:r>
        <w:rPr>
          <w:rFonts w:ascii="宋体" w:hAnsi="宋体" w:cs="宋体" w:eastAsia="宋体" w:hint="default"/>
          <w:sz w:val="16"/>
          <w:szCs w:val="16"/>
        </w:rPr>
        <w:t>：其他资本公积本期减少</w:t>
      </w:r>
      <w:r>
        <w:rPr>
          <w:rFonts w:ascii="Times New Roman" w:hAnsi="Times New Roman" w:cs="Times New Roman" w:eastAsia="Times New Roman" w:hint="default"/>
          <w:sz w:val="16"/>
          <w:szCs w:val="16"/>
        </w:rPr>
        <w:t>4,908,590.00</w:t>
      </w:r>
      <w:r>
        <w:rPr>
          <w:rFonts w:ascii="宋体" w:hAnsi="宋体" w:cs="宋体" w:eastAsia="宋体" w:hint="default"/>
          <w:sz w:val="16"/>
          <w:szCs w:val="16"/>
        </w:rPr>
        <w:t>元，系本期注销</w:t>
      </w:r>
      <w:r>
        <w:rPr>
          <w:rFonts w:ascii="Times New Roman" w:hAnsi="Times New Roman" w:cs="Times New Roman" w:eastAsia="Times New Roman" w:hint="default"/>
          <w:sz w:val="16"/>
          <w:szCs w:val="16"/>
        </w:rPr>
        <w:t>118.8</w:t>
      </w:r>
      <w:r>
        <w:rPr>
          <w:rFonts w:ascii="宋体" w:hAnsi="宋体" w:cs="宋体" w:eastAsia="宋体" w:hint="default"/>
          <w:sz w:val="16"/>
          <w:szCs w:val="16"/>
        </w:rPr>
        <w:t>万限制性股票冲减其他资本公积所致。</w:t>
      </w:r>
      <w:r>
        <w:rPr>
          <w:rFonts w:ascii="宋体" w:hAnsi="宋体" w:cs="宋体" w:eastAsia="宋体" w:hint="default"/>
          <w:w w:val="99"/>
          <w:sz w:val="16"/>
          <w:szCs w:val="16"/>
        </w:rPr>
        <w:t> </w:t>
      </w:r>
      <w:r>
        <w:rPr>
          <w:rFonts w:ascii="宋体" w:hAnsi="宋体" w:cs="宋体" w:eastAsia="宋体" w:hint="default"/>
          <w:w w:val="95"/>
          <w:sz w:val="16"/>
          <w:szCs w:val="16"/>
        </w:rPr>
        <w:t>注</w:t>
      </w:r>
      <w:r>
        <w:rPr>
          <w:rFonts w:ascii="Times New Roman" w:hAnsi="Times New Roman" w:cs="Times New Roman" w:eastAsia="Times New Roman" w:hint="default"/>
          <w:w w:val="95"/>
          <w:sz w:val="16"/>
          <w:szCs w:val="16"/>
        </w:rPr>
        <w:t>2</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资本公积溢价本期减少</w:t>
      </w:r>
      <w:r>
        <w:rPr>
          <w:rFonts w:ascii="Times New Roman" w:hAnsi="Times New Roman" w:cs="Times New Roman" w:eastAsia="Times New Roman" w:hint="default"/>
          <w:w w:val="95"/>
          <w:sz w:val="16"/>
          <w:szCs w:val="16"/>
        </w:rPr>
        <w:t>341,769,524.62</w:t>
      </w:r>
      <w:r>
        <w:rPr>
          <w:rFonts w:ascii="宋体" w:hAnsi="宋体" w:cs="宋体" w:eastAsia="宋体" w:hint="default"/>
          <w:w w:val="95"/>
          <w:sz w:val="16"/>
          <w:szCs w:val="16"/>
        </w:rPr>
        <w:t>元，系本期注销业绩对赌赔偿股份</w:t>
      </w:r>
      <w:r>
        <w:rPr>
          <w:rFonts w:ascii="Times New Roman" w:hAnsi="Times New Roman" w:cs="Times New Roman" w:eastAsia="Times New Roman" w:hint="default"/>
          <w:w w:val="95"/>
          <w:sz w:val="16"/>
          <w:szCs w:val="16"/>
        </w:rPr>
        <w:t>41,032,526.00</w:t>
      </w:r>
      <w:r>
        <w:rPr>
          <w:rFonts w:ascii="宋体" w:hAnsi="宋体" w:cs="宋体" w:eastAsia="宋体" w:hint="default"/>
          <w:w w:val="95"/>
          <w:sz w:val="16"/>
          <w:szCs w:val="16"/>
        </w:rPr>
        <w:t>股冲减资本公积</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资本溢价所致。</w:t>
      </w:r>
      <w:r>
        <w:rPr>
          <w:rFonts w:ascii="宋体" w:hAnsi="宋体" w:cs="宋体" w:eastAsia="宋体" w:hint="default"/>
          <w:sz w:val="16"/>
          <w:szCs w:val="16"/>
        </w:rPr>
      </w:r>
    </w:p>
    <w:p>
      <w:pPr>
        <w:spacing w:line="240" w:lineRule="auto" w:before="5"/>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31</w:t>
      </w:r>
      <w:r>
        <w:rPr/>
        <w:t>、库存股</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限制性股票</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17,248,000.00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6,096,590.00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11,151,410.00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业绩赔偿股份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28,367,168.20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28,367,168.20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45,615,168.20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34,463,758.20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11,151,410.00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before="130"/>
        <w:ind w:left="474" w:right="0" w:firstLine="0"/>
        <w:jc w:val="left"/>
        <w:rPr>
          <w:rFonts w:ascii="宋体" w:hAnsi="宋体" w:cs="宋体" w:eastAsia="宋体" w:hint="default"/>
          <w:sz w:val="16"/>
          <w:szCs w:val="16"/>
        </w:rPr>
      </w:pPr>
      <w:r>
        <w:rPr>
          <w:rFonts w:ascii="宋体" w:hAnsi="宋体" w:cs="宋体" w:eastAsia="宋体" w:hint="default"/>
          <w:sz w:val="16"/>
          <w:szCs w:val="16"/>
        </w:rPr>
        <w:t>注</w:t>
      </w:r>
      <w:r>
        <w:rPr>
          <w:rFonts w:ascii="Times New Roman" w:hAnsi="Times New Roman" w:cs="Times New Roman" w:eastAsia="Times New Roman" w:hint="default"/>
          <w:sz w:val="16"/>
          <w:szCs w:val="16"/>
        </w:rPr>
        <w:t>1</w:t>
      </w:r>
      <w:r>
        <w:rPr>
          <w:rFonts w:ascii="宋体" w:hAnsi="宋体" w:cs="宋体" w:eastAsia="宋体" w:hint="default"/>
          <w:sz w:val="16"/>
          <w:szCs w:val="16"/>
        </w:rPr>
        <w:t>：库存股</w:t>
      </w:r>
      <w:r>
        <w:rPr>
          <w:rFonts w:ascii="Times New Roman" w:hAnsi="Times New Roman" w:cs="Times New Roman" w:eastAsia="Times New Roman" w:hint="default"/>
          <w:sz w:val="16"/>
          <w:szCs w:val="16"/>
        </w:rPr>
        <w:t>-</w:t>
      </w:r>
      <w:r>
        <w:rPr>
          <w:rFonts w:ascii="宋体" w:hAnsi="宋体" w:cs="宋体" w:eastAsia="宋体" w:hint="default"/>
          <w:sz w:val="16"/>
          <w:szCs w:val="16"/>
        </w:rPr>
        <w:t>限制性股票减少</w:t>
      </w:r>
      <w:r>
        <w:rPr>
          <w:rFonts w:ascii="Times New Roman" w:hAnsi="Times New Roman" w:cs="Times New Roman" w:eastAsia="Times New Roman" w:hint="default"/>
          <w:sz w:val="16"/>
          <w:szCs w:val="16"/>
        </w:rPr>
        <w:t>6,096,590</w:t>
      </w:r>
      <w:r>
        <w:rPr>
          <w:rFonts w:ascii="宋体" w:hAnsi="宋体" w:cs="宋体" w:eastAsia="宋体" w:hint="default"/>
          <w:sz w:val="16"/>
          <w:szCs w:val="16"/>
        </w:rPr>
        <w:t>元，系本期注销</w:t>
      </w:r>
      <w:r>
        <w:rPr>
          <w:rFonts w:ascii="Times New Roman" w:hAnsi="Times New Roman" w:cs="Times New Roman" w:eastAsia="Times New Roman" w:hint="default"/>
          <w:sz w:val="16"/>
          <w:szCs w:val="16"/>
        </w:rPr>
        <w:t>118.8</w:t>
      </w:r>
      <w:r>
        <w:rPr>
          <w:rFonts w:ascii="宋体" w:hAnsi="宋体" w:cs="宋体" w:eastAsia="宋体" w:hint="default"/>
          <w:sz w:val="16"/>
          <w:szCs w:val="16"/>
        </w:rPr>
        <w:t>万限制性股票所致；</w:t>
      </w:r>
    </w:p>
    <w:p>
      <w:pPr>
        <w:spacing w:line="338" w:lineRule="auto" w:before="90"/>
        <w:ind w:left="154" w:right="0" w:firstLine="320"/>
        <w:jc w:val="left"/>
        <w:rPr>
          <w:rFonts w:ascii="宋体" w:hAnsi="宋体" w:cs="宋体" w:eastAsia="宋体" w:hint="default"/>
          <w:sz w:val="16"/>
          <w:szCs w:val="16"/>
        </w:rPr>
      </w:pPr>
      <w:r>
        <w:rPr>
          <w:rFonts w:ascii="宋体" w:hAnsi="宋体" w:cs="宋体" w:eastAsia="宋体" w:hint="default"/>
          <w:sz w:val="16"/>
          <w:szCs w:val="16"/>
        </w:rPr>
        <w:t>注</w:t>
      </w:r>
      <w:r>
        <w:rPr>
          <w:rFonts w:ascii="Times New Roman" w:hAnsi="Times New Roman" w:cs="Times New Roman" w:eastAsia="Times New Roman" w:hint="default"/>
          <w:sz w:val="16"/>
          <w:szCs w:val="16"/>
        </w:rPr>
        <w:t>2</w:t>
      </w:r>
      <w:r>
        <w:rPr>
          <w:rFonts w:ascii="宋体" w:hAnsi="宋体" w:cs="宋体" w:eastAsia="宋体" w:hint="default"/>
          <w:sz w:val="16"/>
          <w:szCs w:val="16"/>
        </w:rPr>
        <w:t>：库存股</w:t>
      </w:r>
      <w:r>
        <w:rPr>
          <w:rFonts w:ascii="Times New Roman" w:hAnsi="Times New Roman" w:cs="Times New Roman" w:eastAsia="Times New Roman" w:hint="default"/>
          <w:sz w:val="16"/>
          <w:szCs w:val="16"/>
        </w:rPr>
        <w:t>-</w:t>
      </w:r>
      <w:r>
        <w:rPr>
          <w:rFonts w:ascii="宋体" w:hAnsi="宋体" w:cs="宋体" w:eastAsia="宋体" w:hint="default"/>
          <w:sz w:val="16"/>
          <w:szCs w:val="16"/>
        </w:rPr>
        <w:t>业绩赔偿股份减少</w:t>
      </w:r>
      <w:r>
        <w:rPr>
          <w:rFonts w:ascii="Times New Roman" w:hAnsi="Times New Roman" w:cs="Times New Roman" w:eastAsia="Times New Roman" w:hint="default"/>
          <w:sz w:val="16"/>
          <w:szCs w:val="16"/>
        </w:rPr>
        <w:t>28,367,168.20</w:t>
      </w:r>
      <w:r>
        <w:rPr>
          <w:rFonts w:ascii="宋体" w:hAnsi="宋体" w:cs="宋体" w:eastAsia="宋体" w:hint="default"/>
          <w:sz w:val="16"/>
          <w:szCs w:val="16"/>
        </w:rPr>
        <w:t>元，系公司</w:t>
      </w:r>
      <w:r>
        <w:rPr>
          <w:rFonts w:ascii="Times New Roman" w:hAnsi="Times New Roman" w:cs="Times New Roman" w:eastAsia="Times New Roman" w:hint="default"/>
          <w:sz w:val="16"/>
          <w:szCs w:val="16"/>
        </w:rPr>
        <w:t>2018</w:t>
      </w:r>
      <w:r>
        <w:rPr>
          <w:rFonts w:ascii="宋体" w:hAnsi="宋体" w:cs="宋体" w:eastAsia="宋体" w:hint="default"/>
          <w:sz w:val="16"/>
          <w:szCs w:val="16"/>
        </w:rPr>
        <w:t>年确认业绩赔偿收入时确认的库存股</w:t>
      </w:r>
      <w:r>
        <w:rPr>
          <w:rFonts w:ascii="Times New Roman" w:hAnsi="Times New Roman" w:cs="Times New Roman" w:eastAsia="Times New Roman" w:hint="default"/>
          <w:sz w:val="16"/>
          <w:szCs w:val="16"/>
        </w:rPr>
        <w:t>28,367,168.20</w:t>
      </w:r>
      <w:r>
        <w:rPr>
          <w:rFonts w:ascii="宋体" w:hAnsi="宋体" w:cs="宋体" w:eastAsia="宋体" w:hint="default"/>
          <w:sz w:val="16"/>
          <w:szCs w:val="16"/>
        </w:rPr>
        <w:t>元，于</w:t>
      </w:r>
      <w:r>
        <w:rPr>
          <w:rFonts w:ascii="Times New Roman" w:hAnsi="Times New Roman" w:cs="Times New Roman" w:eastAsia="Times New Roman" w:hint="default"/>
          <w:sz w:val="16"/>
          <w:szCs w:val="16"/>
        </w:rPr>
        <w:t>2019</w:t>
      </w:r>
      <w:r>
        <w:rPr>
          <w:rFonts w:ascii="宋体" w:hAnsi="宋体" w:cs="宋体" w:eastAsia="宋体" w:hint="default"/>
          <w:sz w:val="16"/>
          <w:szCs w:val="16"/>
        </w:rPr>
        <w:t>年</w:t>
      </w:r>
      <w:r>
        <w:rPr>
          <w:rFonts w:ascii="Times New Roman" w:hAnsi="Times New Roman" w:cs="Times New Roman" w:eastAsia="Times New Roman" w:hint="default"/>
          <w:sz w:val="16"/>
          <w:szCs w:val="16"/>
        </w:rPr>
        <w:t>3</w:t>
      </w:r>
      <w:r>
        <w:rPr>
          <w:rFonts w:ascii="宋体" w:hAnsi="宋体" w:cs="宋体" w:eastAsia="宋体" w:hint="default"/>
          <w:sz w:val="16"/>
          <w:szCs w:val="16"/>
        </w:rPr>
        <w:t>月</w:t>
      </w:r>
      <w:r>
        <w:rPr>
          <w:rFonts w:ascii="Times New Roman" w:hAnsi="Times New Roman" w:cs="Times New Roman" w:eastAsia="Times New Roman" w:hint="default"/>
          <w:sz w:val="16"/>
          <w:szCs w:val="16"/>
        </w:rPr>
        <w:t>22</w:t>
      </w:r>
      <w:r>
        <w:rPr>
          <w:rFonts w:ascii="宋体" w:hAnsi="宋体" w:cs="宋体" w:eastAsia="宋体" w:hint="default"/>
          <w:sz w:val="16"/>
          <w:szCs w:val="16"/>
        </w:rPr>
        <w:t>日</w:t>
      </w:r>
      <w:r>
        <w:rPr>
          <w:rFonts w:ascii="宋体" w:hAnsi="宋体" w:cs="宋体" w:eastAsia="宋体" w:hint="default"/>
          <w:w w:val="99"/>
          <w:sz w:val="16"/>
          <w:szCs w:val="16"/>
        </w:rPr>
        <w:t> </w:t>
      </w:r>
      <w:r>
        <w:rPr>
          <w:rFonts w:ascii="宋体" w:hAnsi="宋体" w:cs="宋体" w:eastAsia="宋体" w:hint="default"/>
          <w:sz w:val="16"/>
          <w:szCs w:val="16"/>
        </w:rPr>
        <w:t>完成注销减少所致。</w:t>
      </w:r>
    </w:p>
    <w:p>
      <w:pPr>
        <w:spacing w:after="0" w:line="338" w:lineRule="auto"/>
        <w:jc w:val="left"/>
        <w:rPr>
          <w:rFonts w:ascii="宋体" w:hAnsi="宋体" w:cs="宋体" w:eastAsia="宋体" w:hint="default"/>
          <w:sz w:val="16"/>
          <w:szCs w:val="16"/>
        </w:rPr>
        <w:sectPr>
          <w:pgSz w:w="11910" w:h="16840"/>
          <w:pgMar w:header="877" w:footer="982" w:top="1100" w:bottom="1180" w:left="980" w:right="0"/>
        </w:sectPr>
      </w:pPr>
    </w:p>
    <w:p>
      <w:pPr>
        <w:spacing w:line="240" w:lineRule="auto" w:before="10"/>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32</w:t>
      </w:r>
      <w:r>
        <w:rPr/>
        <w:t>、其他综合收益</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557"/>
        <w:gridCol w:w="974"/>
        <w:gridCol w:w="852"/>
        <w:gridCol w:w="1050"/>
        <w:gridCol w:w="852"/>
        <w:gridCol w:w="852"/>
        <w:gridCol w:w="852"/>
        <w:gridCol w:w="852"/>
        <w:gridCol w:w="726"/>
      </w:tblGrid>
      <w:tr>
        <w:trPr>
          <w:trHeight w:val="403" w:hRule="exact"/>
        </w:trPr>
        <w:tc>
          <w:tcPr>
            <w:tcW w:w="2557" w:type="dxa"/>
            <w:vMerge w:val="restart"/>
            <w:tcBorders>
              <w:top w:val="single" w:sz="4" w:space="0" w:color="000000"/>
              <w:left w:val="single" w:sz="4" w:space="0" w:color="000000"/>
              <w:right w:val="single" w:sz="4" w:space="0" w:color="000000"/>
            </w:tcBorders>
            <w:shd w:val="clear" w:color="auto" w:fill="D3D3D3"/>
          </w:tcPr>
          <w:p>
            <w:pPr/>
          </w:p>
        </w:tc>
        <w:tc>
          <w:tcPr>
            <w:tcW w:w="97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310"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2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268" w:right="85"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r>
        <w:trPr>
          <w:trHeight w:val="428" w:hRule="exact"/>
        </w:trPr>
        <w:tc>
          <w:tcPr>
            <w:tcW w:w="2557" w:type="dxa"/>
            <w:vMerge/>
            <w:tcBorders>
              <w:left w:val="single" w:sz="4" w:space="0" w:color="000000"/>
              <w:bottom w:val="nil" w:sz="6" w:space="0" w:color="auto"/>
              <w:right w:val="single" w:sz="4" w:space="0" w:color="000000"/>
            </w:tcBorders>
            <w:shd w:val="clear" w:color="auto" w:fill="D3D3D3"/>
          </w:tcPr>
          <w:p>
            <w:pPr/>
          </w:p>
        </w:tc>
        <w:tc>
          <w:tcPr>
            <w:tcW w:w="974" w:type="dxa"/>
            <w:vMerge/>
            <w:tcBorders>
              <w:left w:val="single" w:sz="4" w:space="0" w:color="000000"/>
              <w:right w:val="single" w:sz="4" w:space="0" w:color="000000"/>
            </w:tcBorders>
            <w:shd w:val="clear" w:color="auto" w:fill="D3D3D3"/>
          </w:tcPr>
          <w:p>
            <w:pPr/>
          </w:p>
        </w:tc>
        <w:tc>
          <w:tcPr>
            <w:tcW w:w="85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59" w:right="60"/>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05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23"/>
              <w:jc w:val="center"/>
              <w:rPr>
                <w:rFonts w:ascii="宋体" w:hAnsi="宋体" w:cs="宋体" w:eastAsia="宋体" w:hint="default"/>
                <w:sz w:val="18"/>
                <w:szCs w:val="18"/>
              </w:rPr>
            </w:pPr>
            <w:r>
              <w:rPr>
                <w:rFonts w:ascii="宋体" w:hAnsi="宋体" w:cs="宋体" w:eastAsia="宋体" w:hint="default"/>
                <w:spacing w:val="-15"/>
                <w:sz w:val="18"/>
                <w:szCs w:val="18"/>
              </w:rPr>
              <w:t>减：前期计入</w:t>
            </w:r>
            <w:r>
              <w:rPr>
                <w:rFonts w:ascii="宋体" w:hAnsi="宋体" w:cs="宋体" w:eastAsia="宋体" w:hint="default"/>
                <w:sz w:val="18"/>
                <w:szCs w:val="18"/>
              </w:rPr>
              <w:t> 其他综合收 益当期转入 损益</w:t>
            </w:r>
          </w:p>
        </w:tc>
        <w:tc>
          <w:tcPr>
            <w:tcW w:w="852"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2"/>
              <w:ind w:left="60" w:right="60"/>
              <w:jc w:val="both"/>
              <w:rPr>
                <w:rFonts w:ascii="宋体" w:hAnsi="宋体" w:cs="宋体" w:eastAsia="宋体" w:hint="default"/>
                <w:sz w:val="18"/>
                <w:szCs w:val="18"/>
              </w:rPr>
            </w:pPr>
            <w:r>
              <w:rPr>
                <w:rFonts w:ascii="宋体" w:hAnsi="宋体" w:cs="宋体" w:eastAsia="宋体" w:hint="default"/>
                <w:sz w:val="18"/>
                <w:szCs w:val="18"/>
              </w:rPr>
              <w:t>减：前期 计入其他 综合收益 当期转入 留存收益</w:t>
            </w:r>
          </w:p>
        </w:tc>
        <w:tc>
          <w:tcPr>
            <w:tcW w:w="85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50" w:right="60" w:hanging="90"/>
              <w:jc w:val="left"/>
              <w:rPr>
                <w:rFonts w:ascii="宋体" w:hAnsi="宋体" w:cs="宋体" w:eastAsia="宋体" w:hint="default"/>
                <w:sz w:val="18"/>
                <w:szCs w:val="18"/>
              </w:rPr>
            </w:pPr>
            <w:r>
              <w:rPr>
                <w:rFonts w:ascii="宋体" w:hAnsi="宋体" w:cs="宋体" w:eastAsia="宋体" w:hint="default"/>
                <w:sz w:val="18"/>
                <w:szCs w:val="18"/>
              </w:rPr>
              <w:t>减：所得 税费用</w:t>
            </w:r>
          </w:p>
        </w:tc>
        <w:tc>
          <w:tcPr>
            <w:tcW w:w="85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61" w:right="59"/>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85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1" w:right="59"/>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26" w:type="dxa"/>
            <w:vMerge/>
            <w:tcBorders>
              <w:left w:val="single" w:sz="4" w:space="0" w:color="000000"/>
              <w:right w:val="single" w:sz="4" w:space="0" w:color="000000"/>
            </w:tcBorders>
            <w:shd w:val="clear" w:color="auto" w:fill="D3D3D3"/>
          </w:tcPr>
          <w:p>
            <w:pPr/>
          </w:p>
        </w:tc>
      </w:tr>
      <w:tr>
        <w:trPr>
          <w:trHeight w:val="392" w:hRule="exact"/>
        </w:trPr>
        <w:tc>
          <w:tcPr>
            <w:tcW w:w="255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1"/>
              <w:ind w:right="1092"/>
              <w:jc w:val="right"/>
              <w:rPr>
                <w:rFonts w:ascii="宋体" w:hAnsi="宋体" w:cs="宋体" w:eastAsia="宋体" w:hint="default"/>
                <w:sz w:val="18"/>
                <w:szCs w:val="18"/>
              </w:rPr>
            </w:pPr>
            <w:r>
              <w:rPr>
                <w:rFonts w:ascii="宋体" w:hAnsi="宋体" w:cs="宋体" w:eastAsia="宋体" w:hint="default"/>
                <w:sz w:val="18"/>
                <w:szCs w:val="18"/>
              </w:rPr>
              <w:t>项目</w:t>
            </w:r>
          </w:p>
        </w:tc>
        <w:tc>
          <w:tcPr>
            <w:tcW w:w="974" w:type="dxa"/>
            <w:vMerge/>
            <w:tcBorders>
              <w:left w:val="single" w:sz="4" w:space="0" w:color="000000"/>
              <w:right w:val="single" w:sz="4" w:space="0" w:color="000000"/>
            </w:tcBorders>
            <w:shd w:val="clear" w:color="auto" w:fill="D3D3D3"/>
          </w:tcPr>
          <w:p>
            <w:pPr/>
          </w:p>
        </w:tc>
        <w:tc>
          <w:tcPr>
            <w:tcW w:w="852" w:type="dxa"/>
            <w:vMerge/>
            <w:tcBorders>
              <w:left w:val="single" w:sz="4" w:space="0" w:color="000000"/>
              <w:right w:val="single" w:sz="4" w:space="0" w:color="000000"/>
            </w:tcBorders>
            <w:shd w:val="clear" w:color="auto" w:fill="D3D3D3"/>
          </w:tcPr>
          <w:p>
            <w:pPr/>
          </w:p>
        </w:tc>
        <w:tc>
          <w:tcPr>
            <w:tcW w:w="1050" w:type="dxa"/>
            <w:vMerge/>
            <w:tcBorders>
              <w:left w:val="single" w:sz="4" w:space="0" w:color="000000"/>
              <w:right w:val="single" w:sz="4" w:space="0" w:color="000000"/>
            </w:tcBorders>
            <w:shd w:val="clear" w:color="auto" w:fill="D3D3D3"/>
          </w:tcPr>
          <w:p>
            <w:pPr/>
          </w:p>
        </w:tc>
        <w:tc>
          <w:tcPr>
            <w:tcW w:w="852" w:type="dxa"/>
            <w:vMerge/>
            <w:tcBorders>
              <w:left w:val="single" w:sz="4" w:space="0" w:color="000000"/>
              <w:right w:val="single" w:sz="4" w:space="0" w:color="000000"/>
            </w:tcBorders>
            <w:shd w:val="clear" w:color="auto" w:fill="D3D3D3"/>
          </w:tcPr>
          <w:p>
            <w:pPr/>
          </w:p>
        </w:tc>
        <w:tc>
          <w:tcPr>
            <w:tcW w:w="852" w:type="dxa"/>
            <w:vMerge/>
            <w:tcBorders>
              <w:left w:val="single" w:sz="4" w:space="0" w:color="000000"/>
              <w:right w:val="single" w:sz="4" w:space="0" w:color="000000"/>
            </w:tcBorders>
            <w:shd w:val="clear" w:color="auto" w:fill="D3D3D3"/>
          </w:tcPr>
          <w:p>
            <w:pPr/>
          </w:p>
        </w:tc>
        <w:tc>
          <w:tcPr>
            <w:tcW w:w="852" w:type="dxa"/>
            <w:vMerge/>
            <w:tcBorders>
              <w:left w:val="single" w:sz="4" w:space="0" w:color="000000"/>
              <w:right w:val="single" w:sz="4" w:space="0" w:color="000000"/>
            </w:tcBorders>
            <w:shd w:val="clear" w:color="auto" w:fill="D3D3D3"/>
          </w:tcPr>
          <w:p>
            <w:pPr/>
          </w:p>
        </w:tc>
        <w:tc>
          <w:tcPr>
            <w:tcW w:w="852" w:type="dxa"/>
            <w:vMerge/>
            <w:tcBorders>
              <w:left w:val="single" w:sz="4" w:space="0" w:color="000000"/>
              <w:right w:val="single" w:sz="4" w:space="0" w:color="000000"/>
            </w:tcBorders>
            <w:shd w:val="clear" w:color="auto" w:fill="D3D3D3"/>
          </w:tcPr>
          <w:p>
            <w:pPr/>
          </w:p>
        </w:tc>
        <w:tc>
          <w:tcPr>
            <w:tcW w:w="726" w:type="dxa"/>
            <w:vMerge/>
            <w:tcBorders>
              <w:left w:val="single" w:sz="4" w:space="0" w:color="000000"/>
              <w:right w:val="single" w:sz="4" w:space="0" w:color="000000"/>
            </w:tcBorders>
            <w:shd w:val="clear" w:color="auto" w:fill="D3D3D3"/>
          </w:tcPr>
          <w:p>
            <w:pPr/>
          </w:p>
        </w:tc>
      </w:tr>
      <w:tr>
        <w:trPr>
          <w:trHeight w:val="829" w:hRule="exact"/>
        </w:trPr>
        <w:tc>
          <w:tcPr>
            <w:tcW w:w="2557" w:type="dxa"/>
            <w:tcBorders>
              <w:top w:val="nil" w:sz="6" w:space="0" w:color="auto"/>
              <w:left w:val="single" w:sz="4" w:space="0" w:color="000000"/>
              <w:bottom w:val="single" w:sz="4" w:space="0" w:color="000000"/>
              <w:right w:val="single" w:sz="4" w:space="0" w:color="000000"/>
            </w:tcBorders>
            <w:shd w:val="clear" w:color="auto" w:fill="D3D3D3"/>
          </w:tcPr>
          <w:p>
            <w:pPr/>
          </w:p>
        </w:tc>
        <w:tc>
          <w:tcPr>
            <w:tcW w:w="974" w:type="dxa"/>
            <w:vMerge/>
            <w:tcBorders>
              <w:left w:val="single" w:sz="4" w:space="0" w:color="000000"/>
              <w:bottom w:val="single" w:sz="4" w:space="0" w:color="000000"/>
              <w:right w:val="single" w:sz="4" w:space="0" w:color="000000"/>
            </w:tcBorders>
            <w:shd w:val="clear" w:color="auto" w:fill="D3D3D3"/>
          </w:tcPr>
          <w:p>
            <w:pPr/>
          </w:p>
        </w:tc>
        <w:tc>
          <w:tcPr>
            <w:tcW w:w="852" w:type="dxa"/>
            <w:vMerge/>
            <w:tcBorders>
              <w:left w:val="single" w:sz="4" w:space="0" w:color="000000"/>
              <w:bottom w:val="single" w:sz="4" w:space="0" w:color="000000"/>
              <w:right w:val="single" w:sz="4" w:space="0" w:color="000000"/>
            </w:tcBorders>
            <w:shd w:val="clear" w:color="auto" w:fill="D3D3D3"/>
          </w:tcPr>
          <w:p>
            <w:pPr/>
          </w:p>
        </w:tc>
        <w:tc>
          <w:tcPr>
            <w:tcW w:w="1050" w:type="dxa"/>
            <w:vMerge/>
            <w:tcBorders>
              <w:left w:val="single" w:sz="4" w:space="0" w:color="000000"/>
              <w:bottom w:val="single" w:sz="4" w:space="0" w:color="000000"/>
              <w:right w:val="single" w:sz="4" w:space="0" w:color="000000"/>
            </w:tcBorders>
            <w:shd w:val="clear" w:color="auto" w:fill="D3D3D3"/>
          </w:tcPr>
          <w:p>
            <w:pPr/>
          </w:p>
        </w:tc>
        <w:tc>
          <w:tcPr>
            <w:tcW w:w="852" w:type="dxa"/>
            <w:vMerge/>
            <w:tcBorders>
              <w:left w:val="single" w:sz="4" w:space="0" w:color="000000"/>
              <w:bottom w:val="single" w:sz="4" w:space="0" w:color="000000"/>
              <w:right w:val="single" w:sz="4" w:space="0" w:color="000000"/>
            </w:tcBorders>
            <w:shd w:val="clear" w:color="auto" w:fill="D3D3D3"/>
          </w:tcPr>
          <w:p>
            <w:pPr/>
          </w:p>
        </w:tc>
        <w:tc>
          <w:tcPr>
            <w:tcW w:w="852" w:type="dxa"/>
            <w:vMerge/>
            <w:tcBorders>
              <w:left w:val="single" w:sz="4" w:space="0" w:color="000000"/>
              <w:bottom w:val="single" w:sz="4" w:space="0" w:color="000000"/>
              <w:right w:val="single" w:sz="4" w:space="0" w:color="000000"/>
            </w:tcBorders>
            <w:shd w:val="clear" w:color="auto" w:fill="D3D3D3"/>
          </w:tcPr>
          <w:p>
            <w:pPr/>
          </w:p>
        </w:tc>
        <w:tc>
          <w:tcPr>
            <w:tcW w:w="852" w:type="dxa"/>
            <w:vMerge/>
            <w:tcBorders>
              <w:left w:val="single" w:sz="4" w:space="0" w:color="000000"/>
              <w:bottom w:val="single" w:sz="4" w:space="0" w:color="000000"/>
              <w:right w:val="single" w:sz="4" w:space="0" w:color="000000"/>
            </w:tcBorders>
            <w:shd w:val="clear" w:color="auto" w:fill="D3D3D3"/>
          </w:tcPr>
          <w:p>
            <w:pPr/>
          </w:p>
        </w:tc>
        <w:tc>
          <w:tcPr>
            <w:tcW w:w="852" w:type="dxa"/>
            <w:vMerge/>
            <w:tcBorders>
              <w:left w:val="single" w:sz="4" w:space="0" w:color="000000"/>
              <w:bottom w:val="single" w:sz="4" w:space="0" w:color="000000"/>
              <w:right w:val="single" w:sz="4" w:space="0" w:color="000000"/>
            </w:tcBorders>
            <w:shd w:val="clear" w:color="auto" w:fill="D3D3D3"/>
          </w:tcPr>
          <w:p>
            <w:pPr/>
          </w:p>
        </w:tc>
        <w:tc>
          <w:tcPr>
            <w:tcW w:w="726"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25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pacing w:val="-2"/>
                <w:sz w:val="18"/>
                <w:szCs w:val="18"/>
              </w:rPr>
              <w:t>二、将重分类进损益的其他综合</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收益</w:t>
            </w:r>
          </w:p>
        </w:tc>
        <w:tc>
          <w:tcPr>
            <w:tcW w:w="974"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55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82"/>
              <w:jc w:val="left"/>
              <w:rPr>
                <w:rFonts w:ascii="宋体" w:hAnsi="宋体" w:cs="宋体" w:eastAsia="宋体" w:hint="default"/>
                <w:sz w:val="18"/>
                <w:szCs w:val="18"/>
              </w:rPr>
            </w:pPr>
            <w:r>
              <w:rPr>
                <w:rFonts w:ascii="宋体" w:hAnsi="宋体" w:cs="宋体" w:eastAsia="宋体" w:hint="default"/>
                <w:sz w:val="18"/>
                <w:szCs w:val="18"/>
              </w:rPr>
              <w:t>可供出售金融资产公允价值变 动损益</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25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082"/>
              <w:jc w:val="righ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其他说明，包括对现金流量套期损益的有效部分转为被套期项目初始确认金额调整：</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33</w:t>
      </w:r>
      <w:r>
        <w:rPr/>
        <w:t>、盈余公积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19,602,961.52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19,602,961.52</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19,602,961.52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19,602,961.52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盈余公积说明，包括本期增减变动情况、变动原因说明：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34</w:t>
      </w:r>
      <w:r>
        <w:rPr/>
        <w:t>、未分配利润</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725"/>
        <w:gridCol w:w="2924"/>
        <w:gridCol w:w="2918"/>
      </w:tblGrid>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w:t>
            </w:r>
          </w:p>
        </w:tc>
        <w:tc>
          <w:tcPr>
            <w:tcW w:w="29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-298,489,381.22</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120,141,337.25</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-178,348,043.97</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24,057,565.30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-154,290,478.67</w:t>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调整期初未分配利润明细：</w:t>
      </w:r>
    </w:p>
    <w:p>
      <w:pPr>
        <w:spacing w:before="117"/>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、由于《企业会计准则》及其相关新规定进行追溯调整，影响期初未分配利润元。</w:t>
      </w:r>
    </w:p>
    <w:p>
      <w:pPr>
        <w:spacing w:before="102"/>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、由于会计政策变更，影响期初未分配利润元。</w:t>
      </w:r>
    </w:p>
    <w:p>
      <w:pPr>
        <w:spacing w:before="102"/>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、由于重大会计差错更正，影响期初未分配利润元。</w:t>
      </w:r>
    </w:p>
    <w:p>
      <w:pPr>
        <w:spacing w:before="103"/>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、由于同一控制导致的合并范围变更，影响期初未分配利润元。</w:t>
      </w:r>
    </w:p>
    <w:p>
      <w:pPr>
        <w:spacing w:before="102"/>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、其他调整合计影响期初未分配利润元。</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9"/>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35</w:t>
      </w:r>
      <w:r>
        <w:rPr/>
        <w:t>、营业收入和营业成本</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420,706,008.63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289,519,522.75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708,571,278.99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526,124,042.27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12,046,740.20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4,616,393.10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6,301,207.12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4,090,730.71</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432,752,748.83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294,135,915.85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714,872,486.11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530,214,772.98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line="340" w:lineRule="auto" w:before="116"/>
        <w:ind w:left="154" w:right="93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其他说明</w:t>
      </w:r>
    </w:p>
    <w:p>
      <w:pPr>
        <w:spacing w:line="240" w:lineRule="auto" w:before="13"/>
        <w:rPr>
          <w:rFonts w:ascii="宋体" w:hAnsi="宋体" w:cs="宋体" w:eastAsia="宋体" w:hint="default"/>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36</w:t>
      </w:r>
      <w:r>
        <w:rPr/>
        <w:t>、税金及附加</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587,228.89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1,138,655.05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410,017.06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815,201.21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1,883,956.90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1,468,767.54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405,151.28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550,428.56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27,272.00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32,528.77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696,719.68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359,041.01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堤防费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8,938.21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70,967.89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其他税费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17,529.46</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4,036,813.48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4,435,590.03</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37</w:t>
      </w:r>
      <w:r>
        <w:rPr/>
        <w:t>、销售费用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工资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23,831,796.95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23,726,292.66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7,873,704.08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7,463,067.92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汽车费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933,811.91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1,183,919.28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1,038,612.75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600,740.91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3,381,642.40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7,168,479.13</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3,610,276.93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3,371,532.05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1,188,617.47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1,184,052.39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1,297,874.98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1,146,625.29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294,480.94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8,885,224.01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246,603.83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1,413,361.15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2,008,289.78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4,876,195.01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45,705,712.02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61,019,489.80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38</w:t>
      </w:r>
      <w:r>
        <w:rPr/>
        <w:t>、管理费用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工资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19,012,849.06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18,419,290.48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5,998,731.98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4,464,072.59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291,613.20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7,678,735.63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8,454,343.83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3,281,353.64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7,122,313.84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2,181,911.85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2,308,327.39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2,969,688.81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6,127,845.57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职工福利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1,311,657.64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3,842,717.84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481,958.62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739,739.55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汽车费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727,839.12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1,125,401.52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1,184,442.01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1,865,723.81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财产保险费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699,455.29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290,214.72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409,281.39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1,404,618.10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2,990,944.01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1,232,296.24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4,000,723.18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12,046,298.97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2,977,677.50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59,216,500.25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66,425,567.13</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39</w:t>
      </w:r>
      <w:r>
        <w:rPr/>
        <w:t>、研发费用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职工薪酬及福利等</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18,038,708.23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19,438,691.74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3,342,880.02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委外研发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190,912.12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2,692,358.27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172,502.90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363,717.51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6,338.50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228,495.57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44,872.39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52,472.76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45,487.98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3,673,680.21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873,788.16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22,134,614.72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27,030,291.64</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40</w:t>
      </w:r>
      <w:r>
        <w:rPr/>
        <w:t>、财务费用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8,472,829.45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3,595,945.86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2,734,953.72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2,681,398.03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汇兑损失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16,813.98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4,899.90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减：汇兑收益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72,731.27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363,581.02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手续费支出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433,803.01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513,170.73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7,762.35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359,409.22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6,123,523.80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1,428,446.66</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41</w:t>
      </w:r>
      <w:r>
        <w:rPr/>
        <w:t>、其他收益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78"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厦门市工业和信息化局能源管理体系认 证补助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厦门市工业和信息化局绿色制造补助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社保补贴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61,249.32</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40,032.90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个税手续费补贴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9,310.88</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补助收入（文创项目）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上海市残疾人就业服务中心</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1,468.70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税务奖励返还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2,379.68</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2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企业知识产权管理体系贯标补贴费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增值税加计抵减</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262,232.54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国税三代手续费返还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13,266.46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增值税即征即退</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2,345,298.85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440.26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1,389,940.48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2,345,739.11</w:t>
            </w:r>
          </w:p>
        </w:tc>
      </w:tr>
    </w:tbl>
    <w:p>
      <w:pPr>
        <w:spacing w:line="240" w:lineRule="auto" w:before="2"/>
        <w:rPr>
          <w:rFonts w:ascii="宋体" w:hAnsi="宋体" w:cs="宋体" w:eastAsia="宋体" w:hint="default"/>
          <w:sz w:val="19"/>
          <w:szCs w:val="19"/>
        </w:rPr>
      </w:pPr>
    </w:p>
    <w:p>
      <w:pPr>
        <w:pStyle w:val="Heading4"/>
        <w:spacing w:line="240" w:lineRule="auto" w:before="35"/>
        <w:ind w:left="214" w:right="1113"/>
        <w:jc w:val="left"/>
        <w:rPr>
          <w:b w:val="0"/>
          <w:bCs w:val="0"/>
        </w:rPr>
      </w:pPr>
      <w:r>
        <w:rPr>
          <w:rFonts w:ascii="Times New Roman" w:hAnsi="Times New Roman" w:cs="Times New Roman" w:eastAsia="Times New Roman" w:hint="default"/>
        </w:rPr>
        <w:t>42</w:t>
      </w:r>
      <w:r>
        <w:rPr/>
        <w:t>、投资收益</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3460"/>
        <w:gridCol w:w="3191"/>
        <w:gridCol w:w="2917"/>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-1,581,214.33</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21,496.43</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4,911,765.00</w:t>
            </w:r>
          </w:p>
        </w:tc>
        <w:tc>
          <w:tcPr>
            <w:tcW w:w="291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交易性金融资产在持有期间的投资收益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24,392,637.55</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17,647,653.04</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536,163.52</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银行理财收益</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15,797,843.83</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27,723,188.22</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34,003,156.82</w:t>
            </w:r>
          </w:p>
        </w:tc>
      </w:tr>
    </w:tbl>
    <w:p>
      <w:pPr>
        <w:spacing w:before="51"/>
        <w:ind w:left="214" w:right="11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left="214" w:right="1113"/>
        <w:jc w:val="left"/>
        <w:rPr>
          <w:b w:val="0"/>
          <w:bCs w:val="0"/>
        </w:rPr>
      </w:pPr>
      <w:r>
        <w:rPr>
          <w:rFonts w:ascii="Times New Roman" w:hAnsi="Times New Roman" w:cs="Times New Roman" w:eastAsia="Times New Roman" w:hint="default"/>
        </w:rPr>
        <w:t>43</w:t>
      </w:r>
      <w:r>
        <w:rPr/>
        <w:t>、公允价值变动收益</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17"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1,118,272.22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172,680.47</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92"/>
              <w:jc w:val="left"/>
              <w:rPr>
                <w:rFonts w:ascii="宋体" w:hAnsi="宋体" w:cs="宋体" w:eastAsia="宋体" w:hint="default"/>
                <w:sz w:val="18"/>
                <w:szCs w:val="18"/>
              </w:rPr>
            </w:pPr>
            <w:r>
              <w:rPr>
                <w:rFonts w:ascii="宋体" w:hAnsi="宋体" w:cs="宋体" w:eastAsia="宋体" w:hint="default"/>
                <w:sz w:val="18"/>
                <w:szCs w:val="18"/>
              </w:rPr>
              <w:t>    其中：衍生金融工具产生的公允价 值变动收益</w:t>
            </w:r>
          </w:p>
        </w:tc>
        <w:tc>
          <w:tcPr>
            <w:tcW w:w="3193"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1,118,272.22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172,680.47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1,118,272.22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172,680.47</w:t>
            </w:r>
          </w:p>
        </w:tc>
      </w:tr>
    </w:tbl>
    <w:p>
      <w:pPr>
        <w:spacing w:before="51"/>
        <w:ind w:left="214" w:right="11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left="214" w:right="1113"/>
        <w:jc w:val="left"/>
        <w:rPr>
          <w:b w:val="0"/>
          <w:bCs w:val="0"/>
        </w:rPr>
      </w:pPr>
      <w:r>
        <w:rPr>
          <w:rFonts w:ascii="Times New Roman" w:hAnsi="Times New Roman" w:cs="Times New Roman" w:eastAsia="Times New Roman" w:hint="default"/>
        </w:rPr>
        <w:t>44</w:t>
      </w:r>
      <w:r>
        <w:rPr/>
        <w:t>、信用减值损失</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3486"/>
        <w:gridCol w:w="3205"/>
        <w:gridCol w:w="3163"/>
      </w:tblGrid>
      <w:tr>
        <w:trPr>
          <w:trHeight w:val="361" w:hRule="exact"/>
        </w:trPr>
        <w:tc>
          <w:tcPr>
            <w:tcW w:w="34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88" w:right="0"/>
              <w:jc w:val="center"/>
              <w:rPr>
                <w:rFonts w:ascii="宋体" w:hAnsi="宋体" w:cs="宋体" w:eastAsia="宋体" w:hint="default"/>
                <w:sz w:val="18"/>
                <w:szCs w:val="18"/>
              </w:rPr>
            </w:pPr>
            <w:r>
              <w:rPr>
                <w:rFonts w:ascii="宋体" w:hAnsi="宋体" w:cs="宋体" w:eastAsia="宋体" w:hint="default"/>
                <w:sz w:val="18"/>
                <w:szCs w:val="18"/>
              </w:rPr>
              <w:t>项目 </w:t>
            </w:r>
          </w:p>
        </w:tc>
        <w:tc>
          <w:tcPr>
            <w:tcW w:w="32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8"/>
              <w:ind w:left="1147" w:right="0"/>
              <w:jc w:val="left"/>
              <w:rPr>
                <w:rFonts w:ascii="宋体" w:hAnsi="宋体" w:cs="宋体" w:eastAsia="宋体" w:hint="default"/>
                <w:sz w:val="18"/>
                <w:szCs w:val="18"/>
              </w:rPr>
            </w:pPr>
            <w:r>
              <w:rPr>
                <w:rFonts w:ascii="宋体" w:hAnsi="宋体" w:cs="宋体" w:eastAsia="宋体" w:hint="default"/>
                <w:sz w:val="18"/>
                <w:szCs w:val="18"/>
              </w:rPr>
              <w:t>本期发生额 </w:t>
            </w:r>
          </w:p>
        </w:tc>
        <w:tc>
          <w:tcPr>
            <w:tcW w:w="31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8"/>
              <w:ind w:left="1126" w:right="0"/>
              <w:jc w:val="left"/>
              <w:rPr>
                <w:rFonts w:ascii="宋体" w:hAnsi="宋体" w:cs="宋体" w:eastAsia="宋体" w:hint="default"/>
                <w:sz w:val="18"/>
                <w:szCs w:val="18"/>
              </w:rPr>
            </w:pPr>
            <w:r>
              <w:rPr>
                <w:rFonts w:ascii="宋体" w:hAnsi="宋体" w:cs="宋体" w:eastAsia="宋体" w:hint="default"/>
                <w:sz w:val="18"/>
                <w:szCs w:val="18"/>
              </w:rPr>
              <w:t>上期发生额 </w:t>
            </w:r>
          </w:p>
        </w:tc>
      </w:tr>
      <w:tr>
        <w:trPr>
          <w:trHeight w:val="402" w:hRule="exact"/>
        </w:trPr>
        <w:tc>
          <w:tcPr>
            <w:tcW w:w="34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应收账款信用减值损失 </w:t>
            </w:r>
          </w:p>
        </w:tc>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-14,730,461.03</w:t>
            </w:r>
            <w:r>
              <w:rPr>
                <w:rFonts w:ascii="Arial"/>
                <w:spacing w:val="-1"/>
                <w:sz w:val="18"/>
              </w:rPr>
            </w:r>
          </w:p>
        </w:tc>
        <w:tc>
          <w:tcPr>
            <w:tcW w:w="31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其他应收款信用减值损失 </w:t>
            </w:r>
          </w:p>
        </w:tc>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-1,514,656.63</w:t>
            </w:r>
            <w:r>
              <w:rPr>
                <w:rFonts w:ascii="Arial"/>
                <w:sz w:val="18"/>
              </w:rPr>
            </w:r>
          </w:p>
        </w:tc>
        <w:tc>
          <w:tcPr>
            <w:tcW w:w="31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8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3"/>
                <w:w w:val="80"/>
                <w:sz w:val="18"/>
              </w:rPr>
              <w:t>-16,245,117.66</w:t>
            </w:r>
            <w:r>
              <w:rPr>
                <w:rFonts w:ascii="Arial"/>
                <w:spacing w:val="-3"/>
                <w:sz w:val="18"/>
              </w:rPr>
            </w:r>
          </w:p>
        </w:tc>
        <w:tc>
          <w:tcPr>
            <w:tcW w:w="3163" w:type="dxa"/>
            <w:tcBorders>
              <w:top w:val="single" w:sz="4" w:space="0" w:color="000000"/>
              <w:left w:val="single" w:sz="4" w:space="0" w:color="000000"/>
              <w:bottom w:val="single" w:sz="4" w:space="0" w:color="000000"/>
              <w:right w:val="single" w:sz="4" w:space="0" w:color="000000"/>
            </w:tcBorders>
          </w:tcPr>
          <w:p>
            <w:pPr/>
          </w:p>
        </w:tc>
      </w:tr>
    </w:tbl>
    <w:p>
      <w:pPr>
        <w:spacing w:before="51"/>
        <w:ind w:left="214" w:right="11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82" w:top="1100" w:bottom="1180" w:left="920" w:right="0"/>
        </w:sectPr>
      </w:pPr>
    </w:p>
    <w:p>
      <w:pPr>
        <w:spacing w:line="240" w:lineRule="auto" w:before="9"/>
        <w:rPr>
          <w:rFonts w:ascii="宋体" w:hAnsi="宋体" w:cs="宋体" w:eastAsia="宋体" w:hint="default"/>
          <w:sz w:val="20"/>
          <w:szCs w:val="20"/>
        </w:rPr>
      </w:pPr>
    </w:p>
    <w:p>
      <w:pPr>
        <w:pStyle w:val="Heading4"/>
        <w:spacing w:line="240" w:lineRule="auto" w:before="35"/>
        <w:ind w:left="214" w:right="1113"/>
        <w:jc w:val="left"/>
        <w:rPr>
          <w:b w:val="0"/>
          <w:bCs w:val="0"/>
        </w:rPr>
      </w:pPr>
      <w:r>
        <w:rPr>
          <w:rFonts w:ascii="Times New Roman" w:hAnsi="Times New Roman" w:cs="Times New Roman" w:eastAsia="Times New Roman" w:hint="default"/>
        </w:rPr>
        <w:t>45</w:t>
      </w:r>
      <w:r>
        <w:rPr/>
        <w:t>、资产减值损失</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82" w:top="1100" w:bottom="1180" w:left="920" w:right="0"/>
        </w:sectPr>
      </w:pPr>
    </w:p>
    <w:p>
      <w:pPr>
        <w:spacing w:before="44"/>
        <w:ind w:left="214" w:right="-20"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before="116"/>
        <w:ind w:left="213"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2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80" w:left="920" w:right="0"/>
          <w:cols w:num="2" w:equalWidth="0">
            <w:col w:w="2015" w:space="6814"/>
            <w:col w:w="2161"/>
          </w:cols>
        </w:sectPr>
      </w:pPr>
    </w:p>
    <w:p>
      <w:pPr>
        <w:spacing w:line="240" w:lineRule="auto" w:before="13"/>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3485"/>
        <w:gridCol w:w="3206"/>
        <w:gridCol w:w="3163"/>
      </w:tblGrid>
      <w:tr>
        <w:trPr>
          <w:trHeight w:val="350"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90" w:right="0"/>
              <w:jc w:val="center"/>
              <w:rPr>
                <w:rFonts w:ascii="宋体" w:hAnsi="宋体" w:cs="宋体" w:eastAsia="宋体" w:hint="default"/>
                <w:sz w:val="18"/>
                <w:szCs w:val="18"/>
              </w:rPr>
            </w:pPr>
            <w:r>
              <w:rPr>
                <w:rFonts w:ascii="宋体" w:hAnsi="宋体" w:cs="宋体" w:eastAsia="宋体" w:hint="default"/>
                <w:sz w:val="18"/>
                <w:szCs w:val="18"/>
              </w:rPr>
              <w:t>项目 </w:t>
            </w:r>
          </w:p>
        </w:tc>
        <w:tc>
          <w:tcPr>
            <w:tcW w:w="32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1148" w:right="0"/>
              <w:jc w:val="left"/>
              <w:rPr>
                <w:rFonts w:ascii="宋体" w:hAnsi="宋体" w:cs="宋体" w:eastAsia="宋体" w:hint="default"/>
                <w:sz w:val="18"/>
                <w:szCs w:val="18"/>
              </w:rPr>
            </w:pPr>
            <w:r>
              <w:rPr>
                <w:rFonts w:ascii="宋体" w:hAnsi="宋体" w:cs="宋体" w:eastAsia="宋体" w:hint="default"/>
                <w:sz w:val="18"/>
                <w:szCs w:val="18"/>
              </w:rPr>
              <w:t>本期发生额 </w:t>
            </w:r>
          </w:p>
        </w:tc>
        <w:tc>
          <w:tcPr>
            <w:tcW w:w="31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1126" w:right="0"/>
              <w:jc w:val="left"/>
              <w:rPr>
                <w:rFonts w:ascii="宋体" w:hAnsi="宋体" w:cs="宋体" w:eastAsia="宋体" w:hint="default"/>
                <w:sz w:val="18"/>
                <w:szCs w:val="18"/>
              </w:rPr>
            </w:pPr>
            <w:r>
              <w:rPr>
                <w:rFonts w:ascii="宋体" w:hAnsi="宋体" w:cs="宋体" w:eastAsia="宋体" w:hint="default"/>
                <w:sz w:val="18"/>
                <w:szCs w:val="18"/>
              </w:rPr>
              <w:t>上期发生额 </w:t>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应收账款坏账损失 </w:t>
            </w:r>
          </w:p>
        </w:tc>
        <w:tc>
          <w:tcPr>
            <w:tcW w:w="3206" w:type="dxa"/>
            <w:tcBorders>
              <w:top w:val="single" w:sz="4" w:space="0" w:color="000000"/>
              <w:left w:val="single" w:sz="4" w:space="0" w:color="000000"/>
              <w:bottom w:val="single" w:sz="4" w:space="0" w:color="000000"/>
              <w:right w:val="single" w:sz="4" w:space="0" w:color="000000"/>
            </w:tcBorders>
          </w:tcPr>
          <w:p>
            <w:pP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-5,616,342.57</w:t>
            </w:r>
            <w:r>
              <w:rPr>
                <w:rFonts w:ascii="Arial"/>
                <w:sz w:val="18"/>
              </w:rPr>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其他应收款坏账损失 </w:t>
            </w:r>
          </w:p>
        </w:tc>
        <w:tc>
          <w:tcPr>
            <w:tcW w:w="3206" w:type="dxa"/>
            <w:tcBorders>
              <w:top w:val="single" w:sz="4" w:space="0" w:color="000000"/>
              <w:left w:val="single" w:sz="4" w:space="0" w:color="000000"/>
              <w:bottom w:val="single" w:sz="4" w:space="0" w:color="000000"/>
              <w:right w:val="single" w:sz="4" w:space="0" w:color="000000"/>
            </w:tcBorders>
          </w:tcPr>
          <w:p>
            <w:pP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-1,507,301.80</w:t>
            </w:r>
            <w:r>
              <w:rPr>
                <w:rFonts w:ascii="Arial"/>
                <w:sz w:val="18"/>
              </w:rPr>
            </w: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存货跌价损失 </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-3,715,602.06</w:t>
            </w:r>
            <w:r>
              <w:rPr>
                <w:rFonts w:ascii="Arial"/>
                <w:sz w:val="18"/>
              </w:rPr>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-1,569,960.03</w:t>
            </w:r>
            <w:r>
              <w:rPr>
                <w:rFonts w:ascii="Arial"/>
                <w:sz w:val="18"/>
              </w:rPr>
            </w:r>
          </w:p>
        </w:tc>
      </w:tr>
      <w:tr>
        <w:trPr>
          <w:trHeight w:val="349"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可供出售金融资产减值损失 </w:t>
            </w:r>
          </w:p>
        </w:tc>
        <w:tc>
          <w:tcPr>
            <w:tcW w:w="3206" w:type="dxa"/>
            <w:tcBorders>
              <w:top w:val="single" w:sz="4" w:space="0" w:color="000000"/>
              <w:left w:val="single" w:sz="4" w:space="0" w:color="000000"/>
              <w:bottom w:val="single" w:sz="4" w:space="0" w:color="000000"/>
              <w:right w:val="single" w:sz="4" w:space="0" w:color="000000"/>
            </w:tcBorders>
          </w:tcPr>
          <w:p>
            <w:pP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Arial" w:hAnsi="Arial" w:cs="Arial" w:eastAsia="Arial" w:hint="default"/>
                <w:sz w:val="18"/>
                <w:szCs w:val="18"/>
              </w:rPr>
            </w:pPr>
            <w:r>
              <w:rPr>
                <w:rFonts w:ascii="Arial"/>
                <w:spacing w:val="-1"/>
                <w:w w:val="80"/>
                <w:sz w:val="18"/>
              </w:rPr>
              <w:t>-2,200,000.00</w:t>
            </w:r>
            <w:r>
              <w:rPr>
                <w:rFonts w:ascii="Arial"/>
                <w:sz w:val="18"/>
              </w:rPr>
            </w:r>
          </w:p>
        </w:tc>
      </w:tr>
      <w:tr>
        <w:trPr>
          <w:trHeight w:val="350"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无形资产减值损失 </w:t>
            </w:r>
          </w:p>
        </w:tc>
        <w:tc>
          <w:tcPr>
            <w:tcW w:w="3206" w:type="dxa"/>
            <w:tcBorders>
              <w:top w:val="single" w:sz="4" w:space="0" w:color="000000"/>
              <w:left w:val="single" w:sz="4" w:space="0" w:color="000000"/>
              <w:bottom w:val="single" w:sz="4" w:space="0" w:color="000000"/>
              <w:right w:val="single" w:sz="4" w:space="0" w:color="000000"/>
            </w:tcBorders>
          </w:tcPr>
          <w:p>
            <w:pP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Arial" w:hAnsi="Arial" w:cs="Arial" w:eastAsia="Arial" w:hint="default"/>
                <w:sz w:val="18"/>
                <w:szCs w:val="18"/>
              </w:rPr>
            </w:pPr>
            <w:r>
              <w:rPr>
                <w:rFonts w:ascii="Arial"/>
                <w:spacing w:val="-1"/>
                <w:w w:val="80"/>
                <w:sz w:val="18"/>
              </w:rPr>
              <w:t>-2,628,752.93</w:t>
            </w:r>
            <w:r>
              <w:rPr>
                <w:rFonts w:ascii="Arial"/>
                <w:sz w:val="18"/>
              </w:rPr>
            </w:r>
          </w:p>
        </w:tc>
      </w:tr>
      <w:tr>
        <w:trPr>
          <w:trHeight w:val="350"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商誉减值损失 </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Arial" w:hAnsi="Arial" w:cs="Arial" w:eastAsia="Arial" w:hint="default"/>
                <w:sz w:val="18"/>
                <w:szCs w:val="18"/>
              </w:rPr>
            </w:pPr>
            <w:r>
              <w:rPr>
                <w:rFonts w:ascii="Arial"/>
                <w:spacing w:val="-1"/>
                <w:w w:val="80"/>
                <w:sz w:val="18"/>
              </w:rPr>
              <w:t>-220,614,798.62</w:t>
            </w:r>
            <w:r>
              <w:rPr>
                <w:rFonts w:ascii="Arial"/>
                <w:sz w:val="18"/>
              </w:rPr>
            </w:r>
          </w:p>
        </w:tc>
        <w:tc>
          <w:tcPr>
            <w:tcW w:w="31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90"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-224,330,400.68</w:t>
            </w:r>
            <w:r>
              <w:rPr>
                <w:rFonts w:ascii="Arial"/>
                <w:sz w:val="18"/>
              </w:rPr>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2"/>
              <w:jc w:val="right"/>
              <w:rPr>
                <w:rFonts w:ascii="Arial" w:hAnsi="Arial" w:cs="Arial" w:eastAsia="Arial" w:hint="default"/>
                <w:sz w:val="18"/>
                <w:szCs w:val="18"/>
              </w:rPr>
            </w:pPr>
            <w:r>
              <w:rPr>
                <w:rFonts w:ascii="Arial"/>
                <w:spacing w:val="-1"/>
                <w:w w:val="80"/>
                <w:sz w:val="18"/>
              </w:rPr>
              <w:t>-13,522,357.33</w:t>
            </w:r>
            <w:r>
              <w:rPr>
                <w:rFonts w:ascii="Arial"/>
                <w:spacing w:val="-1"/>
                <w:sz w:val="18"/>
              </w:rPr>
            </w:r>
          </w:p>
        </w:tc>
      </w:tr>
    </w:tbl>
    <w:p>
      <w:pPr>
        <w:spacing w:before="51"/>
        <w:ind w:left="214" w:right="11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left="214" w:right="1113"/>
        <w:jc w:val="left"/>
        <w:rPr>
          <w:b w:val="0"/>
          <w:bCs w:val="0"/>
        </w:rPr>
      </w:pPr>
      <w:r>
        <w:rPr>
          <w:rFonts w:ascii="Times New Roman" w:hAnsi="Times New Roman" w:cs="Times New Roman" w:eastAsia="Times New Roman" w:hint="default"/>
        </w:rPr>
        <w:t>46</w:t>
      </w:r>
      <w:r>
        <w:rPr/>
        <w:t>、资产处置收益</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78"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固定资产处置利得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6,838,274.51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58,335.34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6,838,274.51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58,335.34</w:t>
            </w:r>
          </w:p>
        </w:tc>
      </w:tr>
    </w:tbl>
    <w:p>
      <w:pPr>
        <w:spacing w:line="240" w:lineRule="auto" w:before="2"/>
        <w:rPr>
          <w:rFonts w:ascii="宋体" w:hAnsi="宋体" w:cs="宋体" w:eastAsia="宋体" w:hint="default"/>
          <w:sz w:val="19"/>
          <w:szCs w:val="19"/>
        </w:rPr>
      </w:pPr>
    </w:p>
    <w:p>
      <w:pPr>
        <w:pStyle w:val="Heading4"/>
        <w:spacing w:line="240" w:lineRule="auto" w:before="35"/>
        <w:ind w:left="214" w:right="1113"/>
        <w:jc w:val="left"/>
        <w:rPr>
          <w:b w:val="0"/>
          <w:bCs w:val="0"/>
        </w:rPr>
      </w:pPr>
      <w:r>
        <w:rPr>
          <w:rFonts w:ascii="Times New Roman" w:hAnsi="Times New Roman" w:cs="Times New Roman" w:eastAsia="Times New Roman" w:hint="default"/>
        </w:rPr>
        <w:t>47</w:t>
      </w:r>
      <w:r>
        <w:rPr/>
        <w:t>、营业外收入</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2389"/>
        <w:gridCol w:w="2395"/>
        <w:gridCol w:w="2392"/>
        <w:gridCol w:w="2392"/>
      </w:tblGrid>
      <w:tr>
        <w:trPr>
          <w:trHeight w:val="714"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30,300.00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34,488.69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30,300.00</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600,147.00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213,792.08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600,147.00</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盘盈利得</w:t>
            </w:r>
          </w:p>
        </w:tc>
        <w:tc>
          <w:tcPr>
            <w:tcW w:w="2395"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0.03</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业绩赔偿收入</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234,293,545.20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28,367,168.20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234,293,545.20</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878,075.54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314,789.72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878,075.54</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235,802,067.74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28,930,238.72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235,802,067.74</w:t>
            </w:r>
          </w:p>
        </w:tc>
      </w:tr>
    </w:tbl>
    <w:p>
      <w:pPr>
        <w:spacing w:before="51"/>
        <w:ind w:left="214" w:right="1113"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p>
      <w:pPr>
        <w:spacing w:before="11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209" w:type="dxa"/>
        <w:tblLayout w:type="fixed"/>
        <w:tblCellMar>
          <w:top w:w="0" w:type="dxa"/>
          <w:left w:w="0" w:type="dxa"/>
          <w:bottom w:w="0" w:type="dxa"/>
          <w:right w:w="0" w:type="dxa"/>
        </w:tblCellMar>
        <w:tblLook w:val="01E0"/>
      </w:tblPr>
      <w:tblGrid>
        <w:gridCol w:w="1066"/>
        <w:gridCol w:w="1062"/>
        <w:gridCol w:w="1063"/>
        <w:gridCol w:w="1063"/>
        <w:gridCol w:w="1063"/>
        <w:gridCol w:w="1063"/>
        <w:gridCol w:w="1063"/>
        <w:gridCol w:w="1062"/>
        <w:gridCol w:w="1063"/>
      </w:tblGrid>
      <w:tr>
        <w:trPr>
          <w:trHeight w:val="714" w:hRule="exact"/>
        </w:trPr>
        <w:tc>
          <w:tcPr>
            <w:tcW w:w="10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7"/>
              <w:jc w:val="righ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4"/>
              <w:jc w:val="righ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7"/>
              <w:jc w:val="righ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75" w:right="77"/>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435" w:right="74"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76" w:right="49"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与收益相关</w:t>
            </w:r>
          </w:p>
        </w:tc>
      </w:tr>
      <w:tr>
        <w:trPr>
          <w:trHeight w:val="40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31"/>
              <w:jc w:val="right"/>
              <w:rPr>
                <w:rFonts w:ascii="宋体" w:hAnsi="宋体" w:cs="宋体" w:eastAsia="宋体" w:hint="default"/>
                <w:sz w:val="18"/>
                <w:szCs w:val="18"/>
              </w:rPr>
            </w:pPr>
            <w:r>
              <w:rPr>
                <w:rFonts w:ascii="宋体" w:hAnsi="宋体" w:cs="宋体" w:eastAsia="宋体" w:hint="default"/>
                <w:sz w:val="18"/>
                <w:szCs w:val="18"/>
              </w:rPr>
              <w:t>北京市朝阳</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27"/>
              <w:jc w:val="right"/>
              <w:rPr>
                <w:rFonts w:ascii="宋体" w:hAnsi="宋体" w:cs="宋体" w:eastAsia="宋体" w:hint="default"/>
                <w:sz w:val="18"/>
                <w:szCs w:val="18"/>
              </w:rPr>
            </w:pPr>
            <w:r>
              <w:rPr>
                <w:rFonts w:ascii="宋体" w:hAnsi="宋体" w:cs="宋体" w:eastAsia="宋体" w:hint="default"/>
                <w:sz w:val="18"/>
                <w:szCs w:val="18"/>
              </w:rPr>
              <w:t>北京市朝阳</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single" w:sz="4" w:space="0" w:color="000000"/>
              <w:left w:val="single" w:sz="4" w:space="0" w:color="000000"/>
              <w:bottom w:val="single" w:sz="4" w:space="0" w:color="000000"/>
              <w:right w:val="single" w:sz="9" w:space="0" w:color="FFFFFF"/>
            </w:tcBorders>
          </w:tcPr>
          <w:p>
            <w:pPr>
              <w:pStyle w:val="TableParagraph"/>
              <w:spacing w:line="240" w:lineRule="auto" w:before="71"/>
              <w:ind w:right="122"/>
              <w:jc w:val="right"/>
              <w:rPr>
                <w:rFonts w:ascii="宋体" w:hAnsi="宋体" w:cs="宋体" w:eastAsia="宋体" w:hint="default"/>
                <w:sz w:val="18"/>
                <w:szCs w:val="18"/>
              </w:rPr>
            </w:pPr>
            <w:r>
              <w:rPr>
                <w:rFonts w:ascii="宋体" w:hAnsi="宋体" w:cs="宋体" w:eastAsia="宋体" w:hint="default"/>
                <w:sz w:val="18"/>
                <w:szCs w:val="18"/>
              </w:rPr>
              <w:t>因研究开发</w:t>
            </w:r>
          </w:p>
        </w:tc>
        <w:tc>
          <w:tcPr>
            <w:tcW w:w="1063" w:type="dxa"/>
            <w:tcBorders>
              <w:top w:val="single" w:sz="4" w:space="0" w:color="000000"/>
              <w:left w:val="single" w:sz="9" w:space="0" w:color="FFFFFF"/>
              <w:bottom w:val="single" w:sz="4" w:space="0" w:color="000000"/>
              <w:right w:val="single" w:sz="13" w:space="0" w:color="FFFFFF"/>
            </w:tcBorders>
          </w:tcPr>
          <w:p>
            <w:pPr>
              <w:pStyle w:val="TableParagraph"/>
              <w:spacing w:line="240" w:lineRule="auto" w:before="51"/>
              <w:ind w:left="-148" w:right="0"/>
              <w:jc w:val="left"/>
              <w:rPr>
                <w:rFonts w:ascii="宋体" w:hAnsi="宋体" w:cs="宋体" w:eastAsia="宋体" w:hint="default"/>
                <w:sz w:val="18"/>
                <w:szCs w:val="18"/>
              </w:rPr>
            </w:pPr>
            <w:r>
              <w:rPr>
                <w:rFonts w:ascii="宋体" w:hAnsi="宋体" w:cs="宋体" w:eastAsia="宋体" w:hint="default"/>
                <w:spacing w:val="-9"/>
                <w:position w:val="-1"/>
                <w:sz w:val="18"/>
                <w:szCs w:val="18"/>
              </w:rPr>
              <w:t>、</w:t>
            </w:r>
            <w:r>
              <w:rPr>
                <w:rFonts w:ascii="宋体" w:hAnsi="宋体" w:cs="宋体" w:eastAsia="宋体" w:hint="default"/>
                <w:spacing w:val="-9"/>
                <w:sz w:val="18"/>
                <w:szCs w:val="18"/>
              </w:rPr>
              <w:t>否</w:t>
            </w:r>
          </w:p>
        </w:tc>
        <w:tc>
          <w:tcPr>
            <w:tcW w:w="1063"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239,700.00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type w:val="continuous"/>
          <w:pgSz w:w="11910" w:h="16840"/>
          <w:pgMar w:top="1060" w:bottom="1180" w:left="920" w:right="0"/>
        </w:sectPr>
      </w:pPr>
    </w:p>
    <w:p>
      <w:pPr>
        <w:spacing w:line="240" w:lineRule="auto" w:before="6"/>
        <w:rPr>
          <w:rFonts w:ascii="宋体" w:hAnsi="宋体" w:cs="宋体" w:eastAsia="宋体" w:hint="default"/>
          <w:sz w:val="24"/>
          <w:szCs w:val="24"/>
        </w:rPr>
      </w:pPr>
      <w:r>
        <w:rPr/>
        <w:pict>
          <v:group style="position:absolute;margin-left:269.640015pt;margin-top:121.800003pt;width:52.7pt;height:66.45pt;mso-position-horizontal-relative:page;mso-position-vertical-relative:page;z-index:-962680" coordorigin="5393,2436" coordsize="1054,1329">
            <v:group style="position:absolute;left:5393;top:2436;width:1054;height:1329" coordorigin="5393,2436" coordsize="1054,1329">
              <v:shape style="position:absolute;left:5393;top:2436;width:1054;height:1329" coordorigin="5393,2436" coordsize="1054,1329" path="m5393,3764l6446,3764,6446,2436,5393,2436,5393,3764xe" filled="true" fillcolor="#ffffff" stroked="false">
                <v:path arrowok="t"/>
                <v:fill type="solid"/>
              </v:shape>
            </v:group>
            <v:group style="position:absolute;left:5416;top:2904;width:1007;height:393" coordorigin="5416,2904" coordsize="1007,393">
              <v:shape style="position:absolute;left:5416;top:2904;width:1007;height:393" coordorigin="5416,2904" coordsize="1007,393" path="m5416,3296l6422,3296,6422,2904,5416,2904,5416,3296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3"/>
        <w:gridCol w:w="1063"/>
        <w:gridCol w:w="1063"/>
        <w:gridCol w:w="1063"/>
        <w:gridCol w:w="1062"/>
        <w:gridCol w:w="1063"/>
      </w:tblGrid>
      <w:tr>
        <w:trPr>
          <w:trHeight w:val="98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31"/>
              <w:jc w:val="both"/>
              <w:rPr>
                <w:rFonts w:ascii="宋体" w:hAnsi="宋体" w:cs="宋体" w:eastAsia="宋体" w:hint="default"/>
                <w:sz w:val="18"/>
                <w:szCs w:val="18"/>
              </w:rPr>
            </w:pPr>
            <w:r>
              <w:rPr>
                <w:rFonts w:ascii="宋体" w:hAnsi="宋体" w:cs="宋体" w:eastAsia="宋体" w:hint="default"/>
                <w:sz w:val="18"/>
                <w:szCs w:val="18"/>
              </w:rPr>
              <w:t>区科学技术 委员会补助 款</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区科技局</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8"/>
              <w:jc w:val="both"/>
              <w:rPr>
                <w:rFonts w:ascii="宋体" w:hAnsi="宋体" w:cs="宋体" w:eastAsia="宋体" w:hint="default"/>
                <w:sz w:val="18"/>
                <w:szCs w:val="18"/>
              </w:rPr>
            </w:pPr>
            <w:r>
              <w:rPr>
                <w:rFonts w:ascii="宋体" w:hAnsi="宋体" w:cs="宋体" w:eastAsia="宋体" w:hint="default"/>
                <w:sz w:val="18"/>
                <w:szCs w:val="18"/>
              </w:rPr>
              <w:t>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31"/>
              <w:jc w:val="both"/>
              <w:rPr>
                <w:rFonts w:ascii="宋体" w:hAnsi="宋体" w:cs="宋体" w:eastAsia="宋体" w:hint="default"/>
                <w:sz w:val="18"/>
                <w:szCs w:val="18"/>
              </w:rPr>
            </w:pPr>
            <w:r>
              <w:rPr>
                <w:rFonts w:ascii="宋体" w:hAnsi="宋体" w:cs="宋体" w:eastAsia="宋体" w:hint="default"/>
                <w:sz w:val="18"/>
                <w:szCs w:val="18"/>
              </w:rPr>
              <w:t>中关村科技 园区高新补 贴拨款</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8"/>
              <w:jc w:val="both"/>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1" w:right="0"/>
              <w:jc w:val="left"/>
              <w:rPr>
                <w:rFonts w:ascii="宋体" w:hAnsi="宋体" w:cs="宋体" w:eastAsia="宋体" w:hint="default"/>
                <w:sz w:val="18"/>
                <w:szCs w:val="18"/>
              </w:rPr>
            </w:pP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179,300.00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中关村示范</w:t>
            </w:r>
          </w:p>
        </w:tc>
        <w:tc>
          <w:tcPr>
            <w:tcW w:w="1062"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2"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区科技型小</w:t>
            </w:r>
          </w:p>
        </w:tc>
        <w:tc>
          <w:tcPr>
            <w:tcW w:w="1062"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56,098.00</w:t>
            </w:r>
          </w:p>
        </w:tc>
        <w:tc>
          <w:tcPr>
            <w:tcW w:w="1062"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3"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微企业补贴</w:t>
            </w:r>
          </w:p>
        </w:tc>
        <w:tc>
          <w:tcPr>
            <w:tcW w:w="1062"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2"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中关村示范</w:t>
            </w:r>
          </w:p>
        </w:tc>
        <w:tc>
          <w:tcPr>
            <w:tcW w:w="1062"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2"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区政府补贴</w:t>
            </w:r>
          </w:p>
        </w:tc>
        <w:tc>
          <w:tcPr>
            <w:tcW w:w="1062"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28,049.00</w:t>
            </w:r>
          </w:p>
        </w:tc>
        <w:tc>
          <w:tcPr>
            <w:tcW w:w="1062"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3"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款</w:t>
            </w:r>
          </w:p>
        </w:tc>
        <w:tc>
          <w:tcPr>
            <w:tcW w:w="1062"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2"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中关村科技</w:t>
            </w:r>
          </w:p>
        </w:tc>
        <w:tc>
          <w:tcPr>
            <w:tcW w:w="1062"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2"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131"/>
              <w:jc w:val="left"/>
              <w:rPr>
                <w:rFonts w:ascii="宋体" w:hAnsi="宋体" w:cs="宋体" w:eastAsia="宋体" w:hint="default"/>
                <w:sz w:val="18"/>
                <w:szCs w:val="18"/>
              </w:rPr>
            </w:pPr>
            <w:r>
              <w:rPr>
                <w:rFonts w:ascii="宋体" w:hAnsi="宋体" w:cs="宋体" w:eastAsia="宋体" w:hint="default"/>
                <w:sz w:val="18"/>
                <w:szCs w:val="18"/>
              </w:rPr>
              <w:t>园区海淀园 管理委员会</w:t>
            </w:r>
          </w:p>
        </w:tc>
        <w:tc>
          <w:tcPr>
            <w:tcW w:w="1062"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97,000.00</w:t>
            </w:r>
          </w:p>
        </w:tc>
        <w:tc>
          <w:tcPr>
            <w:tcW w:w="1062"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7"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补贴</w:t>
            </w:r>
          </w:p>
        </w:tc>
        <w:tc>
          <w:tcPr>
            <w:tcW w:w="1062"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2"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48</w:t>
      </w:r>
      <w:r>
        <w:rPr/>
        <w:t>、营业外支出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89"/>
        <w:gridCol w:w="2395"/>
        <w:gridCol w:w="2392"/>
        <w:gridCol w:w="2392"/>
      </w:tblGrid>
      <w:tr>
        <w:trPr>
          <w:trHeight w:val="714"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7,019,173.92</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7,019,173.92</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非流动资产损坏报废损失</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1,348.15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108,055.78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1,348.15</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1,022,620.21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533,527.08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1,022,620.21</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8,043,142.28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641,582.86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8,043,142.28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49</w:t>
      </w:r>
      <w:r>
        <w:rPr/>
        <w:t>、所得税费用</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t>（</w:t>
      </w:r>
      <w:r>
        <w:rPr>
          <w:rFonts w:ascii="Times New Roman" w:hAnsi="Times New Roman" w:cs="Times New Roman" w:eastAsia="Times New Roman" w:hint="default"/>
        </w:rPr>
        <w:t>1</w:t>
      </w:r>
      <w:r>
        <w:rPr/>
        <w:t>）所得税费用表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1,718,653.92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648,397.70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672,951.34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-866,680.98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-696,167.96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292,426.45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1,695,437.30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74,143.17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宋体" w:hAnsi="宋体" w:cs="宋体" w:eastAsia="宋体" w:hint="default"/>
          <w:sz w:val="20"/>
          <w:szCs w:val="20"/>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1" w:hRule="exact"/>
        </w:trPr>
        <w:tc>
          <w:tcPr>
            <w:tcW w:w="4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25,652,751.26</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6,413,187.82</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-12,915,221.13</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-696,167.96</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134,769.89</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-7,224,421.38</w:t>
            </w:r>
          </w:p>
        </w:tc>
      </w:tr>
      <w:tr>
        <w:trPr>
          <w:trHeight w:val="714" w:hRule="exact"/>
        </w:trPr>
        <w:tc>
          <w:tcPr>
            <w:tcW w:w="4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15,109,084.43</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874,205.64</w:t>
            </w:r>
          </w:p>
        </w:tc>
      </w:tr>
      <w:tr>
        <w:trPr>
          <w:trHeight w:val="403" w:hRule="exact"/>
        </w:trPr>
        <w:tc>
          <w:tcPr>
            <w:tcW w:w="47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1,695,437.30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50</w:t>
      </w:r>
      <w:r>
        <w:rPr/>
        <w:t>、其他综合收益</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详见附注。</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51</w:t>
      </w:r>
      <w:r>
        <w:rPr/>
        <w:t>、现金流量表项目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补贴收入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1,947,912.12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2,559,531.19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1,577,737.85</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2,681,398.03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北京太和华融投资管理有限公司</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收到的往来款项及其他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34,097,754.52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12,960,097.52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37,623,404.49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48,201,026.74</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影视剧联合拍摄及宣发款</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1" w:right="0"/>
              <w:jc w:val="left"/>
              <w:rPr>
                <w:rFonts w:ascii="Times New Roman" w:hAnsi="Times New Roman" w:cs="Times New Roman" w:eastAsia="Times New Roman" w:hint="default"/>
                <w:sz w:val="18"/>
                <w:szCs w:val="18"/>
              </w:rPr>
            </w:pPr>
            <w:r>
              <w:rPr>
                <w:rFonts w:ascii="Times New Roman"/>
                <w:sz w:val="18"/>
              </w:rPr>
              <w:t>124,000,000.00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支付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年销售本期退货款</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15,040,000.00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付现管理费用和销售费用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42,823,212.07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45,027,209.55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支付的往来款项及其他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41,115,724.96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9,136,593.35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83,938,937.03</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193,203,802.90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结构性存款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1,205,704,055.56</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1,205,704,055.56</w:t>
            </w:r>
          </w:p>
        </w:tc>
        <w:tc>
          <w:tcPr>
            <w:tcW w:w="3188"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结构性存款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1,195,000,000.00</w:t>
            </w:r>
          </w:p>
        </w:tc>
        <w:tc>
          <w:tcPr>
            <w:tcW w:w="318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1,195,000,000.00</w:t>
            </w:r>
          </w:p>
        </w:tc>
        <w:tc>
          <w:tcPr>
            <w:tcW w:w="3188"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支付的其他与投资活动有关的现金说明：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3"/>
        <w:gridCol w:w="3188"/>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限制性股票回购支付的现金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5,201,820.00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6,835,910.00</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2"/>
              <w:jc w:val="left"/>
              <w:rPr>
                <w:rFonts w:ascii="宋体" w:hAnsi="宋体" w:cs="宋体" w:eastAsia="宋体" w:hint="default"/>
                <w:sz w:val="18"/>
                <w:szCs w:val="18"/>
              </w:rPr>
            </w:pPr>
            <w:r>
              <w:rPr>
                <w:rFonts w:ascii="宋体" w:hAnsi="宋体" w:cs="宋体" w:eastAsia="宋体" w:hint="default"/>
                <w:sz w:val="18"/>
                <w:szCs w:val="18"/>
              </w:rPr>
              <w:t>支付收购微梦想及北京至美少数股东股 权款</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8,064,100.00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5,201,820.00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14,900,010.00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支付的其他与筹资活动有关的现金说明：</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9"/>
        <w:rPr>
          <w:rFonts w:ascii="宋体" w:hAnsi="宋体" w:cs="宋体" w:eastAsia="宋体" w:hint="default"/>
          <w:sz w:val="20"/>
          <w:szCs w:val="20"/>
        </w:rPr>
      </w:pPr>
      <w:r>
        <w:rPr/>
        <w:pict>
          <v:shape style="position:absolute;margin-left:190.140594pt;margin-top:526.440002pt;width:185.55pt;height:19.6pt;mso-position-horizontal-relative:page;mso-position-vertical-relative:page;z-index:-962656"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号填列）</w:t>
                  </w:r>
                </w:p>
              </w:txbxContent>
            </v:textbox>
            <w10:wrap type="none"/>
          </v:shape>
        </w:pict>
      </w:r>
    </w:p>
    <w:p>
      <w:pPr>
        <w:pStyle w:val="Heading4"/>
        <w:spacing w:line="240" w:lineRule="auto" w:before="35"/>
        <w:ind w:right="0"/>
        <w:jc w:val="left"/>
        <w:rPr>
          <w:b w:val="0"/>
          <w:bCs w:val="0"/>
        </w:rPr>
      </w:pPr>
      <w:r>
        <w:rPr>
          <w:rFonts w:ascii="Times New Roman" w:hAnsi="Times New Roman" w:cs="Times New Roman" w:eastAsia="Times New Roman" w:hint="default"/>
        </w:rPr>
        <w:t>52</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8"/>
        <w:gridCol w:w="3056"/>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净利润</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23,957,313.96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75,590,394.97</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加：资产减值准备</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240,575,518.34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13,522,357.32</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固定资产折旧、油气资产折耗、 生产性生物资产折旧</w:t>
            </w:r>
          </w:p>
        </w:tc>
        <w:tc>
          <w:tcPr>
            <w:tcW w:w="3056"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13,373,732.33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15,483,251.62</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无形资产摊销</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5,785,657.65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12,886,630.18</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长期待摊费用摊销</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1,853,354.26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4,278,259.20</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53"/>
              <w:jc w:val="left"/>
              <w:rPr>
                <w:rFonts w:ascii="宋体" w:hAnsi="宋体" w:cs="宋体" w:eastAsia="宋体" w:hint="default"/>
                <w:sz w:val="18"/>
                <w:szCs w:val="18"/>
              </w:rPr>
            </w:pPr>
            <w:r>
              <w:rPr>
                <w:rFonts w:ascii="宋体" w:hAnsi="宋体" w:cs="宋体" w:eastAsia="宋体" w:hint="default"/>
                <w:sz w:val="18"/>
                <w:szCs w:val="18"/>
              </w:rPr>
              <w:t>        处置固定资产、无形资产和其他 长期资产的损失（收益以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6"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-6,838,274.51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-58,335.34</w:t>
            </w:r>
            <w:r>
              <w:rPr>
                <w:rFonts w:ascii="Times New Roman"/>
                <w:sz w:val="18"/>
              </w:rPr>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2"/>
              <w:ind w:left="22" w:right="74"/>
              <w:jc w:val="left"/>
              <w:rPr>
                <w:rFonts w:ascii="宋体" w:hAnsi="宋体" w:cs="宋体" w:eastAsia="宋体" w:hint="default"/>
                <w:sz w:val="18"/>
                <w:szCs w:val="18"/>
              </w:rPr>
            </w:pPr>
            <w:r>
              <w:rPr>
                <w:rFonts w:ascii="宋体" w:hAnsi="宋体" w:cs="宋体" w:eastAsia="宋体" w:hint="default"/>
                <w:sz w:val="18"/>
                <w:szCs w:val="18"/>
              </w:rPr>
              <w:t>        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056" w:type="dxa"/>
            <w:tcBorders>
              <w:top w:val="single" w:sz="4" w:space="0" w:color="000000"/>
              <w:left w:val="single" w:sz="13" w:space="0" w:color="D3D3D3"/>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108,055.78</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2"/>
              <w:ind w:left="22" w:right="74"/>
              <w:jc w:val="left"/>
              <w:rPr>
                <w:rFonts w:ascii="宋体" w:hAnsi="宋体" w:cs="宋体" w:eastAsia="宋体" w:hint="default"/>
                <w:sz w:val="18"/>
                <w:szCs w:val="18"/>
              </w:rPr>
            </w:pPr>
            <w:r>
              <w:rPr>
                <w:rFonts w:ascii="宋体" w:hAnsi="宋体" w:cs="宋体" w:eastAsia="宋体" w:hint="default"/>
                <w:sz w:val="18"/>
                <w:szCs w:val="18"/>
              </w:rPr>
              <w:t>        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056"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-1,118,272.22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-172,680.47</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Arial" w:hAnsi="Arial" w:cs="Arial" w:eastAsia="Arial" w:hint="default"/>
                <w:sz w:val="18"/>
                <w:szCs w:val="18"/>
              </w:rPr>
            </w:pPr>
            <w:r>
              <w:rPr>
                <w:rFonts w:ascii="Arial"/>
                <w:spacing w:val="-1"/>
                <w:w w:val="80"/>
                <w:sz w:val="18"/>
              </w:rPr>
              <w:t>8,472,829.45</w:t>
            </w:r>
            <w:r>
              <w:rPr>
                <w:rFonts w:ascii="Arial"/>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3,595,945.86</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-27,723,188.22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-34,003,156.82</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递延所得税资产减少（增加以</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6"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490,475.10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-897,522.32</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递延所得税负债增加（减少以</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6"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103,554.16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30,841.34</w:t>
            </w:r>
          </w:p>
        </w:tc>
      </w:tr>
      <w:tr>
        <w:trPr>
          <w:trHeight w:val="402" w:hRule="exact"/>
        </w:trPr>
        <w:tc>
          <w:tcPr>
            <w:tcW w:w="3328" w:type="dxa"/>
            <w:tcBorders>
              <w:top w:val="single" w:sz="4" w:space="0" w:color="000000"/>
              <w:left w:val="single" w:sz="4" w:space="0" w:color="000000"/>
              <w:bottom w:val="single" w:sz="4" w:space="0" w:color="000000"/>
              <w:right w:val="single" w:sz="13" w:space="0" w:color="FFFFFF"/>
            </w:tcBorders>
            <w:shd w:val="clear" w:color="auto" w:fill="D3D3D3"/>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        </w:t>
            </w:r>
            <w:r>
              <w:rPr>
                <w:rFonts w:ascii="宋体" w:hAnsi="宋体" w:cs="宋体" w:eastAsia="宋体" w:hint="default"/>
                <w:spacing w:val="-4"/>
                <w:sz w:val="18"/>
                <w:szCs w:val="18"/>
              </w:rPr>
              <w:t>存货的减少（增加以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p>
        </w:tc>
        <w:tc>
          <w:tcPr>
            <w:tcW w:w="3056" w:type="dxa"/>
            <w:tcBorders>
              <w:top w:val="single" w:sz="4" w:space="0" w:color="000000"/>
              <w:left w:val="single" w:sz="13" w:space="0" w:color="FFFFFF"/>
              <w:bottom w:val="single" w:sz="4" w:space="0" w:color="000000"/>
              <w:right w:val="single" w:sz="13" w:space="0" w:color="FFFFFF"/>
            </w:tcBorders>
          </w:tcPr>
          <w:p>
            <w:pPr>
              <w:pStyle w:val="TableParagraph"/>
              <w:spacing w:line="240" w:lineRule="auto" w:before="92"/>
              <w:ind w:right="8"/>
              <w:jc w:val="right"/>
              <w:rPr>
                <w:rFonts w:ascii="Times New Roman" w:hAnsi="Times New Roman" w:cs="Times New Roman" w:eastAsia="Times New Roman" w:hint="default"/>
                <w:sz w:val="18"/>
                <w:szCs w:val="18"/>
              </w:rPr>
            </w:pPr>
            <w:r>
              <w:rPr>
                <w:rFonts w:ascii="Times New Roman"/>
                <w:spacing w:val="-1"/>
                <w:sz w:val="18"/>
              </w:rPr>
              <w:t>-2,166,770.46</w:t>
            </w:r>
          </w:p>
        </w:tc>
        <w:tc>
          <w:tcPr>
            <w:tcW w:w="3184"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-8,587,817.68</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经营性应收项目的减少（增加以</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6"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2"/>
              <w:jc w:val="right"/>
              <w:rPr>
                <w:rFonts w:ascii="Arial" w:hAnsi="Arial" w:cs="Arial" w:eastAsia="Arial" w:hint="default"/>
                <w:sz w:val="18"/>
                <w:szCs w:val="18"/>
              </w:rPr>
            </w:pPr>
            <w:r>
              <w:rPr>
                <w:rFonts w:ascii="Arial"/>
                <w:spacing w:val="-1"/>
                <w:w w:val="80"/>
                <w:sz w:val="18"/>
              </w:rPr>
              <w:t>8,679,689.20</w:t>
            </w:r>
            <w:r>
              <w:rPr>
                <w:rFonts w:ascii="Arial"/>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-209,176,087.44</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经营性应付项目的增加（减少以</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6"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38,802,960.34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1,790,367.93</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其他</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-234,293,545.20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-12,131,289.62</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经营活动产生的现金流量净额</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69,955,034.18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-137,740,785.49</w:t>
            </w:r>
          </w:p>
        </w:tc>
      </w:tr>
      <w:tr>
        <w:trPr>
          <w:trHeight w:val="161" w:hRule="exact"/>
        </w:trPr>
        <w:tc>
          <w:tcPr>
            <w:tcW w:w="3328" w:type="dxa"/>
            <w:vMerge w:val="restart"/>
            <w:tcBorders>
              <w:top w:val="single" w:sz="4" w:space="0" w:color="000000"/>
              <w:left w:val="single" w:sz="4" w:space="0" w:color="000000"/>
              <w:right w:val="single" w:sz="4" w:space="0" w:color="000000"/>
            </w:tcBorders>
            <w:shd w:val="clear" w:color="auto" w:fill="D3D3D3"/>
          </w:tcPr>
          <w:p>
            <w:pPr>
              <w:pStyle w:val="TableParagraph"/>
              <w:spacing w:line="300" w:lineRule="auto" w:before="52"/>
              <w:ind w:left="22" w:right="14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56" w:type="dxa"/>
            <w:tcBorders>
              <w:top w:val="single" w:sz="4" w:space="0" w:color="000000"/>
              <w:left w:val="single" w:sz="4" w:space="0" w:color="000000"/>
              <w:bottom w:val="nil" w:sz="6" w:space="0" w:color="auto"/>
              <w:right w:val="single" w:sz="4" w:space="0" w:color="000000"/>
            </w:tcBorders>
            <w:shd w:val="clear" w:color="auto" w:fill="D3D3D3"/>
          </w:tcPr>
          <w:p>
            <w:pPr/>
          </w:p>
        </w:tc>
        <w:tc>
          <w:tcPr>
            <w:tcW w:w="3184"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391" w:hRule="exact"/>
        </w:trPr>
        <w:tc>
          <w:tcPr>
            <w:tcW w:w="3328" w:type="dxa"/>
            <w:vMerge/>
            <w:tcBorders>
              <w:left w:val="single" w:sz="4" w:space="0" w:color="000000"/>
              <w:right w:val="single" w:sz="4" w:space="0" w:color="000000"/>
            </w:tcBorders>
            <w:shd w:val="clear" w:color="auto" w:fill="D3D3D3"/>
          </w:tcPr>
          <w:p>
            <w:pPr/>
          </w:p>
        </w:tc>
        <w:tc>
          <w:tcPr>
            <w:tcW w:w="305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28" w:type="dxa"/>
            <w:vMerge/>
            <w:tcBorders>
              <w:left w:val="single" w:sz="4" w:space="0" w:color="000000"/>
              <w:bottom w:val="single" w:sz="4" w:space="0" w:color="000000"/>
              <w:right w:val="single" w:sz="4" w:space="0" w:color="000000"/>
            </w:tcBorders>
            <w:shd w:val="clear" w:color="auto" w:fill="D3D3D3"/>
          </w:tcPr>
          <w:p>
            <w:pPr/>
          </w:p>
        </w:tc>
        <w:tc>
          <w:tcPr>
            <w:tcW w:w="3056" w:type="dxa"/>
            <w:tcBorders>
              <w:top w:val="nil" w:sz="6" w:space="0" w:color="auto"/>
              <w:left w:val="single" w:sz="4" w:space="0" w:color="000000"/>
              <w:bottom w:val="single" w:sz="4" w:space="0" w:color="000000"/>
              <w:right w:val="single" w:sz="4" w:space="0" w:color="000000"/>
            </w:tcBorders>
            <w:shd w:val="clear" w:color="auto" w:fill="D3D3D3"/>
          </w:tcPr>
          <w:p>
            <w:pPr/>
          </w:p>
        </w:tc>
        <w:tc>
          <w:tcPr>
            <w:tcW w:w="3184" w:type="dxa"/>
            <w:tcBorders>
              <w:top w:val="nil" w:sz="6" w:space="0" w:color="auto"/>
              <w:left w:val="single" w:sz="4" w:space="0" w:color="000000"/>
              <w:bottom w:val="single" w:sz="4" w:space="0" w:color="000000"/>
              <w:right w:val="single" w:sz="4" w:space="0" w:color="000000"/>
            </w:tcBorders>
            <w:shd w:val="clear" w:color="auto" w:fill="D3D3D3"/>
          </w:tcPr>
          <w:p>
            <w:pPr/>
          </w:p>
        </w:tc>
      </w:tr>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现金的期末余额</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219,858,095.13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169,814,227.69</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减：现金的期初余额</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169,814,227.69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300,250,908.75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现金及现金等价物净增加额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90" w:right="0"/>
              <w:jc w:val="left"/>
              <w:rPr>
                <w:rFonts w:ascii="Times New Roman" w:hAnsi="Times New Roman" w:cs="Times New Roman" w:eastAsia="Times New Roman" w:hint="default"/>
                <w:sz w:val="18"/>
                <w:szCs w:val="18"/>
              </w:rPr>
            </w:pPr>
            <w:r>
              <w:rPr>
                <w:rFonts w:ascii="Times New Roman"/>
                <w:sz w:val="18"/>
              </w:rPr>
              <w:t>50,043,867.44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66" w:right="0"/>
              <w:jc w:val="left"/>
              <w:rPr>
                <w:rFonts w:ascii="Times New Roman" w:hAnsi="Times New Roman" w:cs="Times New Roman" w:eastAsia="Times New Roman" w:hint="default"/>
                <w:sz w:val="18"/>
                <w:szCs w:val="18"/>
              </w:rPr>
            </w:pPr>
            <w:r>
              <w:rPr>
                <w:rFonts w:ascii="Times New Roman"/>
                <w:sz w:val="18"/>
              </w:rPr>
              <w:t>-130,436,681.06</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）现金和现金等价物的构成</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8"/>
        <w:gridCol w:w="3056"/>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219,858,095.13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169,814,227.69</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157,888.37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134,302.50</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可随时用于支付的银行存款</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219,463,828.20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165,026,033.68</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可随时用于支付的其他货币资金</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236,378.56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4,653,891.51</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219,858,095.13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169,814,227.69</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line="547" w:lineRule="auto" w:before="0"/>
        <w:ind w:left="154" w:right="537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53</w:t>
      </w:r>
      <w:r>
        <w:rPr>
          <w:rFonts w:ascii="宋体" w:hAnsi="宋体" w:cs="宋体" w:eastAsia="宋体" w:hint="default"/>
          <w:b/>
          <w:bCs/>
          <w:sz w:val="21"/>
          <w:szCs w:val="21"/>
        </w:rPr>
        <w:t>、所有者权益变动表项目注释</w:t>
      </w:r>
      <w:r>
        <w:rPr>
          <w:rFonts w:ascii="宋体" w:hAnsi="宋体" w:cs="宋体" w:eastAsia="宋体" w:hint="default"/>
          <w:b/>
          <w:bCs/>
          <w:spacing w:val="1"/>
          <w:w w:val="99"/>
          <w:sz w:val="21"/>
          <w:szCs w:val="21"/>
        </w:rPr>
        <w:t> </w:t>
      </w:r>
      <w:r>
        <w:rPr>
          <w:rFonts w:ascii="宋体" w:hAnsi="宋体" w:cs="宋体" w:eastAsia="宋体" w:hint="default"/>
          <w:sz w:val="18"/>
          <w:szCs w:val="18"/>
        </w:rPr>
        <w:t>说明对上年期末余额进行调整的</w:t>
      </w: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r>
        <w:rPr>
          <w:rFonts w:ascii="Times New Roman" w:hAnsi="Times New Roman" w:cs="Times New Roman" w:eastAsia="Times New Roman" w:hint="default"/>
          <w:sz w:val="18"/>
          <w:szCs w:val="18"/>
        </w:rPr>
        <w:t>”</w:t>
      </w:r>
      <w:r>
        <w:rPr>
          <w:rFonts w:ascii="宋体" w:hAnsi="宋体" w:cs="宋体" w:eastAsia="宋体" w:hint="default"/>
          <w:sz w:val="18"/>
          <w:szCs w:val="18"/>
        </w:rPr>
        <w:t>项目名称及调整金额等事项： </w:t>
      </w:r>
      <w:r>
        <w:rPr>
          <w:rFonts w:ascii="Times New Roman" w:hAnsi="Times New Roman" w:cs="Times New Roman" w:eastAsia="Times New Roman" w:hint="default"/>
          <w:b/>
          <w:bCs/>
          <w:sz w:val="21"/>
          <w:szCs w:val="21"/>
        </w:rPr>
        <w:t>54</w:t>
      </w:r>
      <w:r>
        <w:rPr>
          <w:rFonts w:ascii="宋体" w:hAnsi="宋体" w:cs="宋体" w:eastAsia="宋体" w:hint="default"/>
          <w:b/>
          <w:bCs/>
          <w:sz w:val="21"/>
          <w:szCs w:val="21"/>
        </w:rPr>
        <w:t>、所有权或使用权受到限制的资产</w:t>
      </w:r>
      <w:r>
        <w:rPr>
          <w:rFonts w:ascii="宋体" w:hAnsi="宋体" w:cs="宋体" w:eastAsia="宋体" w:hint="default"/>
          <w:sz w:val="21"/>
          <w:szCs w:val="21"/>
        </w:rPr>
      </w:r>
    </w:p>
    <w:p>
      <w:pPr>
        <w:spacing w:before="5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28"/>
        <w:gridCol w:w="3056"/>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982"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25,213,013.60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1,206,725.37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信用证保证金</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26,419,738.97</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55</w:t>
      </w:r>
      <w:r>
        <w:rPr/>
        <w:t>、外币货币性项目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）外币货币性项目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495"/>
        <w:gridCol w:w="2293"/>
        <w:gridCol w:w="2390"/>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01"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516,967.75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6.9762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3,606,470.42</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0.42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7.7417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港币</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719.00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0.8958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644.08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50,929,529.76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0.0641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3,264,582.86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2"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5.1739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0.41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2495"/>
        <w:gridCol w:w="2293"/>
        <w:gridCol w:w="2390"/>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81" w:right="0"/>
              <w:jc w:val="left"/>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129"/>
              <w:jc w:val="right"/>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27,114.23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6.9762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189,154.29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欧元</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港币</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36,543,898.32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0.0641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2,342,463.88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81" w:right="0"/>
              <w:jc w:val="left"/>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129"/>
              <w:jc w:val="right"/>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欧元</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港币</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59" w:lineRule="auto"/>
        <w:ind w:right="0"/>
        <w:jc w:val="left"/>
        <w:rPr>
          <w:b w:val="0"/>
          <w:bCs w:val="0"/>
        </w:rPr>
      </w:pP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74"/>
        </w:rPr>
        <w:t> </w:t>
      </w:r>
      <w:r>
        <w:rPr>
          <w:spacing w:val="-74"/>
        </w:rPr>
      </w:r>
      <w:r>
        <w:rPr/>
        <w:t>依据，记账本位币发生变化的还应披露原因。</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spacing w:line="487" w:lineRule="auto" w:before="0"/>
        <w:ind w:left="154" w:right="832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56</w:t>
      </w:r>
      <w:r>
        <w:rPr>
          <w:rFonts w:ascii="宋体" w:hAnsi="宋体" w:cs="宋体" w:eastAsia="宋体" w:hint="default"/>
          <w:b/>
          <w:bCs/>
          <w:sz w:val="21"/>
          <w:szCs w:val="21"/>
        </w:rPr>
        <w:t>、其他</w:t>
      </w:r>
      <w:r>
        <w:rPr>
          <w:rFonts w:ascii="宋体" w:hAnsi="宋体" w:cs="宋体" w:eastAsia="宋体" w:hint="default"/>
          <w:b/>
          <w:bCs/>
          <w:w w:val="99"/>
          <w:sz w:val="21"/>
          <w:szCs w:val="21"/>
        </w:rPr>
        <w:t> </w:t>
      </w:r>
      <w:r>
        <w:rPr>
          <w:rFonts w:ascii="宋体" w:hAnsi="宋体" w:cs="宋体" w:eastAsia="宋体" w:hint="default"/>
          <w:b/>
          <w:bCs/>
          <w:sz w:val="24"/>
          <w:szCs w:val="24"/>
        </w:rPr>
        <w:t>八、合并范围的变更</w:t>
      </w:r>
      <w:r>
        <w:rPr>
          <w:rFonts w:ascii="宋体" w:hAnsi="宋体" w:cs="宋体" w:eastAsia="宋体" w:hint="default"/>
          <w:b/>
          <w:bCs/>
          <w:spacing w:val="1"/>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spacing w:before="108"/>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w:t>
      </w:r>
      <w:r>
        <w:rPr/>
        <w:t>、同一控制下企业合并</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w:t>
      </w:r>
      <w:r>
        <w:rPr/>
        <w:t>、反向购买</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4</w:t>
      </w:r>
      <w:r>
        <w:rPr/>
        <w:t>、处置子公司</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是否存在单次处置对子公司投资即丧失控制权的情形</w:t>
      </w:r>
    </w:p>
    <w:p>
      <w:pPr>
        <w:spacing w:line="338" w:lineRule="auto" w:before="117"/>
        <w:ind w:left="154" w:right="499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是否存在通过多次交易分步处置对子公司投资且在本期丧失控制权的情形</w:t>
      </w:r>
    </w:p>
    <w:p>
      <w:pPr>
        <w:spacing w:before="4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9"/>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5</w:t>
      </w:r>
      <w:r>
        <w:rPr/>
        <w:t>、其他原因的合并范围变动</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说明其他原因导致的合并范围变动（如，新设子公司、清算子公司等）及其相关情况：</w:t>
      </w:r>
    </w:p>
    <w:p>
      <w:pPr>
        <w:spacing w:line="240" w:lineRule="auto" w:before="10"/>
        <w:rPr>
          <w:rFonts w:ascii="宋体" w:hAnsi="宋体" w:cs="宋体" w:eastAsia="宋体" w:hint="default"/>
          <w:sz w:val="12"/>
          <w:szCs w:val="12"/>
        </w:rPr>
      </w:pPr>
    </w:p>
    <w:p>
      <w:pPr>
        <w:pStyle w:val="BodyText"/>
        <w:spacing w:line="408" w:lineRule="auto" w:before="0"/>
        <w:ind w:left="153" w:right="0" w:firstLine="424"/>
        <w:jc w:val="left"/>
      </w:pPr>
      <w:r>
        <w:rPr>
          <w:spacing w:val="-1"/>
        </w:rPr>
        <w:t>1、2019年2月28日，本公司设立全资子公司厦门安妮文化产业开发有限公司，注册资本人民币2500万</w:t>
      </w:r>
      <w:r>
        <w:rPr/>
        <w:t> 元,本公司持股100%，本期纳入合并范围。 </w:t>
      </w:r>
    </w:p>
    <w:p>
      <w:pPr>
        <w:pStyle w:val="BodyText"/>
        <w:spacing w:line="408" w:lineRule="auto"/>
        <w:ind w:left="153" w:right="0" w:firstLine="424"/>
        <w:jc w:val="left"/>
      </w:pPr>
      <w:r>
        <w:rPr>
          <w:spacing w:val="-1"/>
        </w:rPr>
        <w:t>2、2019年3月13日，本公司与自然人葛伯莹、金夜明成立合资子公司厦门安普农食品有限公司，注册</w:t>
      </w:r>
      <w:r>
        <w:rPr/>
        <w:t> 资本100万元，其中本公司持股51%，葛伯莹持股20%、金夜明持股19%，本期纳入合并范围。 </w:t>
      </w:r>
    </w:p>
    <w:p>
      <w:pPr>
        <w:pStyle w:val="BodyText"/>
        <w:spacing w:line="408" w:lineRule="auto"/>
        <w:ind w:left="153" w:right="0" w:firstLine="424"/>
        <w:jc w:val="left"/>
      </w:pPr>
      <w:r>
        <w:rPr>
          <w:spacing w:val="-3"/>
        </w:rPr>
        <w:t>3、2019年6月26日，本公司子公司淘智惠设立子公司北京稿稿文化传播有限公司，注册资本人民币100</w:t>
      </w:r>
      <w:r>
        <w:rPr/>
        <w:t> 万元，淘智惠持股100%，本期纳入合并范围。 </w:t>
      </w:r>
    </w:p>
    <w:p>
      <w:pPr>
        <w:pStyle w:val="BodyText"/>
        <w:spacing w:line="408" w:lineRule="auto"/>
        <w:ind w:left="153" w:right="0" w:firstLine="424"/>
        <w:jc w:val="left"/>
      </w:pPr>
      <w:r>
        <w:rPr>
          <w:spacing w:val="-1"/>
        </w:rPr>
        <w:t>4、2019年3月15日，本公司孙公司新疆安迅设立子公司霍尔果斯林沛文化服务有限公司，注册资本人</w:t>
      </w:r>
      <w:r>
        <w:rPr/>
        <w:t> 民币400万元，新疆安迅持股100%，本期纳入合并范围。 </w:t>
      </w:r>
    </w:p>
    <w:p>
      <w:pPr>
        <w:spacing w:line="240" w:lineRule="auto" w:before="8"/>
        <w:rPr>
          <w:rFonts w:ascii="宋体" w:hAnsi="宋体" w:cs="宋体" w:eastAsia="宋体" w:hint="default"/>
          <w:sz w:val="20"/>
          <w:szCs w:val="20"/>
        </w:rPr>
      </w:pPr>
    </w:p>
    <w:p>
      <w:pPr>
        <w:spacing w:line="487" w:lineRule="auto" w:before="0"/>
        <w:ind w:left="154" w:right="810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r>
        <w:rPr>
          <w:rFonts w:ascii="宋体" w:hAnsi="宋体" w:cs="宋体" w:eastAsia="宋体" w:hint="default"/>
          <w:b/>
          <w:bCs/>
          <w:sz w:val="24"/>
          <w:szCs w:val="24"/>
        </w:rPr>
        <w:t>九、在其他主体中的权益</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pStyle w:val="Heading4"/>
        <w:spacing w:line="240" w:lineRule="auto" w:before="83"/>
        <w:ind w:right="0"/>
        <w:jc w:val="left"/>
        <w:rPr>
          <w:b w:val="0"/>
          <w:bCs w:val="0"/>
        </w:rPr>
      </w:pP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2"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安妮企业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造纸和纸制品业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济南安妮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济南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济南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造纸和纸制品业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商务信息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造纸和纸制品业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福州安妮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批发业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造纸和纸制品业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批发业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批发业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上海超级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生产、销售印刷 品</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上海鸿晟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房地产业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泉州安妮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泉州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泉州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印刷和记录媒介 复制业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北京联移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互联网和相关服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微梦想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微推客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微广盟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新疆安云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畅元国讯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华云在线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70.00%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华迪希艾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90.00%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新疆安讯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天津畅元</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北京畅华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成都博艾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世纪文化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林沛文化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恒千物业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房地产业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厦门千实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房地产业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全版权</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版权家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科技推广和应用 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知识产权</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厦门版全家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安妮大数据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软件和信息技术</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51.00%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362" w:hRule="exact"/>
        </w:trPr>
        <w:tc>
          <w:tcPr>
            <w:tcW w:w="1372"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淘智惠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零售业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稿稿文化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8" w:right="0"/>
              <w:jc w:val="lef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安妮文化产业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其他文化艺术业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安普农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食品制造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51.00%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设立或投资</w:t>
            </w:r>
          </w:p>
        </w:tc>
      </w:tr>
    </w:tbl>
    <w:p>
      <w:pPr>
        <w:spacing w:line="360" w:lineRule="auto" w:before="51"/>
        <w:ind w:left="153" w:right="2831" w:firstLine="0"/>
        <w:jc w:val="left"/>
        <w:rPr>
          <w:rFonts w:ascii="宋体" w:hAnsi="宋体" w:cs="宋体" w:eastAsia="宋体" w:hint="default"/>
          <w:sz w:val="18"/>
          <w:szCs w:val="18"/>
        </w:rPr>
      </w:pPr>
      <w:r>
        <w:rPr>
          <w:rFonts w:ascii="宋体" w:hAnsi="宋体" w:cs="宋体" w:eastAsia="宋体" w:hint="default"/>
          <w:sz w:val="18"/>
          <w:szCs w:val="18"/>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spacing w:line="360" w:lineRule="auto" w:before="26"/>
        <w:ind w:left="153" w:right="7691" w:firstLine="0"/>
        <w:jc w:val="left"/>
        <w:rPr>
          <w:rFonts w:ascii="宋体" w:hAnsi="宋体" w:cs="宋体" w:eastAsia="宋体" w:hint="default"/>
          <w:sz w:val="18"/>
          <w:szCs w:val="18"/>
        </w:rPr>
      </w:pPr>
      <w:r>
        <w:rPr>
          <w:rFonts w:ascii="宋体" w:hAnsi="宋体" w:cs="宋体" w:eastAsia="宋体" w:hint="default"/>
          <w:sz w:val="18"/>
          <w:szCs w:val="18"/>
        </w:rPr>
        <w:t>确定公司是代理人还是委托人的依据： 其他说明：</w:t>
      </w:r>
    </w:p>
    <w:p>
      <w:pPr>
        <w:spacing w:line="240" w:lineRule="auto" w:before="11"/>
        <w:rPr>
          <w:rFonts w:ascii="宋体" w:hAnsi="宋体" w:cs="宋体" w:eastAsia="宋体" w:hint="default"/>
          <w:sz w:val="19"/>
          <w:szCs w:val="19"/>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）重要的非全资子公司</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w:t>
      </w:r>
      <w:r>
        <w:rPr/>
        <w:t>、在合营安排或联营企业中的权益</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20" w:right="49" w:hanging="270"/>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3D3D3"/>
          </w:tcPr>
          <w:p>
            <w:pPr>
              <w:pStyle w:val="TableParagraph"/>
              <w:spacing w:line="319" w:lineRule="auto" w:before="51"/>
              <w:ind w:left="48"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2"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计易数据科技</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上海浦东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科技推广与应用 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33.76%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在合营企业或联营企业的持股比例不同于表决权比例的说明：</w:t>
      </w:r>
    </w:p>
    <w:p>
      <w:pPr>
        <w:spacing w:before="117"/>
        <w:ind w:left="153" w:right="0" w:firstLine="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以下表决权但具有重大影响，或者持有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或以上表决权但不具有重大影响的依据：</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75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51" w:right="0"/>
              <w:jc w:val="left"/>
              <w:rPr>
                <w:rFonts w:ascii="宋体" w:hAnsi="宋体" w:cs="宋体" w:eastAsia="宋体" w:hint="default"/>
                <w:sz w:val="18"/>
                <w:szCs w:val="18"/>
              </w:rPr>
            </w:pPr>
            <w:r>
              <w:rPr>
                <w:rFonts w:ascii="宋体" w:hAnsi="宋体" w:cs="宋体" w:eastAsia="宋体" w:hint="default"/>
                <w:sz w:val="18"/>
                <w:szCs w:val="18"/>
              </w:rPr>
              <w:t>计易数据科技</w:t>
            </w: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20,940,648.43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其中：现金和现金等价物</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18,972,020.17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5,297,450.77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26,238,099.20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2,930,834.02</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1,100,000.00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4,030,834.02</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22,207,265.18</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15,178,090.14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-4,393,934.99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-4,393,934.99</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both"/>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
        <w:rPr>
          <w:rFonts w:ascii="宋体" w:hAnsi="宋体" w:cs="宋体" w:eastAsia="宋体" w:hint="default"/>
          <w:sz w:val="25"/>
          <w:szCs w:val="25"/>
        </w:rPr>
      </w:pPr>
    </w:p>
    <w:p>
      <w:pPr>
        <w:pStyle w:val="Heading2"/>
        <w:spacing w:line="240" w:lineRule="auto"/>
        <w:ind w:right="0"/>
        <w:jc w:val="both"/>
        <w:rPr>
          <w:b w:val="0"/>
          <w:bCs w:val="0"/>
        </w:rPr>
      </w:pPr>
      <w:r>
        <w:rPr/>
        <w:t>十、与金融工具相关的风险</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31" w:firstLine="420"/>
        <w:jc w:val="both"/>
      </w:pPr>
      <w:r>
        <w:rPr>
          <w:spacing w:val="-1"/>
        </w:rPr>
        <w:t>本公司在经营过程中面临各种金融风险：信用风险、市场风险和流动性风险。公司董事会全面负责风</w:t>
      </w:r>
      <w:r>
        <w:rPr/>
        <w:t> </w:t>
      </w:r>
      <w:r>
        <w:rPr>
          <w:spacing w:val="-1"/>
        </w:rPr>
        <w:t>险管理目标和政策的确定，并对风险管理目标和政策承担最终责任。本公司的内部审计师也会审计风险管</w:t>
      </w:r>
      <w:r>
        <w:rPr>
          <w:spacing w:val="-81"/>
        </w:rPr>
        <w:t> </w:t>
      </w:r>
      <w:r>
        <w:rPr>
          <w:spacing w:val="-81"/>
        </w:rPr>
      </w:r>
      <w:r>
        <w:rPr/>
        <w:t>理的政策和程序，并且将有关发现汇报给审计委员会。</w:t>
      </w:r>
    </w:p>
    <w:p>
      <w:pPr>
        <w:pStyle w:val="BodyText"/>
        <w:spacing w:line="408" w:lineRule="auto"/>
        <w:ind w:left="153" w:right="1131" w:firstLine="420"/>
        <w:jc w:val="both"/>
      </w:pPr>
      <w:r>
        <w:rPr>
          <w:spacing w:val="-1"/>
        </w:rPr>
        <w:t>本公司的主要金融工具包括应收账款、应付账款等，各项金融工具的详细情况说明见本附注五相关项</w:t>
      </w:r>
      <w:r>
        <w:rPr/>
        <w:t> </w:t>
      </w:r>
      <w:r>
        <w:rPr>
          <w:spacing w:val="-1"/>
        </w:rPr>
        <w:t>目。与这些金融工具有关的风险，以及本公司为降低这些风险所采取的风险管理政策如下所述。本公司管</w:t>
      </w:r>
      <w:r>
        <w:rPr>
          <w:spacing w:val="-83"/>
        </w:rPr>
        <w:t> </w:t>
      </w:r>
      <w:r>
        <w:rPr>
          <w:spacing w:val="-83"/>
        </w:rPr>
      </w:r>
      <w:r>
        <w:rPr/>
        <w:t>理层对这些风险敞口进行管理和监控以确保将上述风险控制在限定的范围之内。</w:t>
      </w:r>
    </w:p>
    <w:p>
      <w:pPr>
        <w:pStyle w:val="BodyText"/>
        <w:spacing w:line="408" w:lineRule="auto"/>
        <w:ind w:left="153" w:right="1130" w:firstLine="420"/>
        <w:jc w:val="both"/>
      </w:pPr>
      <w:r>
        <w:rPr>
          <w:spacing w:val="-1"/>
        </w:rPr>
        <w:t>本公司风险管理的总体目标是在不过度影响公司竞争力和应变力的情况下，制定尽可能降低风险的风</w:t>
      </w:r>
      <w:r>
        <w:rPr/>
        <w:t> 险管理政策。</w:t>
      </w:r>
    </w:p>
    <w:p>
      <w:pPr>
        <w:pStyle w:val="BodyText"/>
        <w:spacing w:line="386" w:lineRule="auto"/>
        <w:ind w:left="573" w:right="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30"/>
        </w:rPr>
        <w:t> </w:t>
      </w:r>
      <w:r>
        <w:rPr/>
        <w:t>信用风险</w:t>
      </w:r>
      <w:r>
        <w:rPr>
          <w:w w:val="99"/>
        </w:rPr>
        <w:t> </w:t>
      </w:r>
      <w:r>
        <w:rPr>
          <w:spacing w:val="-1"/>
        </w:rPr>
        <w:t>信用风险是指金融工具的一方不履行义务，造成另一方发生财务损失的风险。本公司主要面临赊销导</w:t>
      </w:r>
    </w:p>
    <w:p>
      <w:pPr>
        <w:pStyle w:val="BodyText"/>
        <w:spacing w:line="408" w:lineRule="auto" w:before="65"/>
        <w:ind w:left="153" w:right="1130"/>
        <w:jc w:val="both"/>
      </w:pPr>
      <w:r>
        <w:rPr>
          <w:spacing w:val="-1"/>
        </w:rPr>
        <w:t>致的客户信用风险。在签订新合同之前，本公司会对新客户的信用风险进行评估，包括外部信用评级和在</w:t>
      </w:r>
      <w:r>
        <w:rPr>
          <w:spacing w:val="-83"/>
        </w:rPr>
        <w:t> </w:t>
      </w:r>
      <w:r>
        <w:rPr>
          <w:spacing w:val="-83"/>
        </w:rPr>
      </w:r>
      <w:r>
        <w:rPr>
          <w:spacing w:val="-1"/>
        </w:rPr>
        <w:t>某些情况下的银行资信证明（当此信息可获取时）。公司对每一客户均设置了赊销限额，该限额为无需获</w:t>
      </w:r>
      <w:r>
        <w:rPr>
          <w:spacing w:val="-82"/>
        </w:rPr>
        <w:t> </w:t>
      </w:r>
      <w:r>
        <w:rPr>
          <w:spacing w:val="-82"/>
        </w:rPr>
      </w:r>
      <w:r>
        <w:rPr/>
        <w:t>得额外批准的最大额度。</w:t>
      </w:r>
    </w:p>
    <w:p>
      <w:pPr>
        <w:pStyle w:val="BodyText"/>
        <w:spacing w:line="400" w:lineRule="auto"/>
        <w:ind w:left="153" w:right="1127" w:firstLine="420"/>
        <w:jc w:val="both"/>
      </w:pPr>
      <w:r>
        <w:rPr>
          <w:spacing w:val="3"/>
        </w:rPr>
        <w:t>公司通过对已有客户信用评级的季度监控以及应收账款账龄分析的月度审核来确保公司的整体信用</w:t>
      </w:r>
      <w:r>
        <w:rPr/>
        <w:t> 风险在可控的范围内。在监控客户的信用风险时，按照客户的信用特征对其分组。被评为</w:t>
      </w:r>
      <w:r>
        <w:rPr>
          <w:rFonts w:ascii="Times New Roman" w:hAnsi="Times New Roman" w:cs="Times New Roman" w:eastAsia="Times New Roman" w:hint="default"/>
        </w:rPr>
        <w:t>“</w:t>
      </w:r>
      <w:r>
        <w:rPr/>
        <w:t>高风险</w:t>
      </w:r>
      <w:r>
        <w:rPr>
          <w:rFonts w:ascii="Times New Roman" w:hAnsi="Times New Roman" w:cs="Times New Roman" w:eastAsia="Times New Roman" w:hint="default"/>
        </w:rPr>
        <w:t>”</w:t>
      </w:r>
      <w:r>
        <w:rPr/>
        <w:t>级别的 </w:t>
      </w:r>
      <w:r>
        <w:rPr>
          <w:spacing w:val="-1"/>
        </w:rPr>
        <w:t>客户会放在受限制客户名单里，并且只有在额外批准的前提下，公司才可在未来期间内对其赊销，否则必</w:t>
      </w:r>
      <w:r>
        <w:rPr>
          <w:spacing w:val="-83"/>
        </w:rPr>
        <w:t> </w:t>
      </w:r>
      <w:r>
        <w:rPr>
          <w:spacing w:val="-83"/>
        </w:rPr>
      </w:r>
      <w:r>
        <w:rPr/>
        <w:t>须要求其提前支付相应款项。</w:t>
      </w:r>
    </w:p>
    <w:p>
      <w:pPr>
        <w:pStyle w:val="BodyText"/>
        <w:spacing w:line="386" w:lineRule="auto" w:before="52"/>
        <w:ind w:left="573" w:right="1091"/>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30"/>
        </w:rPr>
        <w:t> </w:t>
      </w:r>
      <w:r>
        <w:rPr/>
        <w:t>市场风险</w:t>
      </w:r>
      <w:r>
        <w:rPr>
          <w:w w:val="99"/>
        </w:rPr>
        <w:t> </w:t>
      </w:r>
      <w:r>
        <w:rPr/>
        <w:t>金融工具的市场风险，是指金融工具的公允价值或未来现金流量因市场价格变动而发生波动的风险，</w:t>
      </w:r>
    </w:p>
    <w:p>
      <w:pPr>
        <w:pStyle w:val="BodyText"/>
        <w:spacing w:line="240" w:lineRule="auto" w:before="65"/>
        <w:ind w:left="153" w:right="0"/>
        <w:jc w:val="both"/>
      </w:pPr>
      <w:r>
        <w:rPr/>
        <w:t>包括汇率风险、利率风险和其他价格风险。</w:t>
      </w:r>
    </w:p>
    <w:p>
      <w:pPr>
        <w:spacing w:line="240" w:lineRule="auto" w:before="10"/>
        <w:rPr>
          <w:rFonts w:ascii="宋体" w:hAnsi="宋体" w:cs="宋体" w:eastAsia="宋体" w:hint="default"/>
          <w:sz w:val="14"/>
          <w:szCs w:val="14"/>
        </w:rPr>
      </w:pPr>
    </w:p>
    <w:p>
      <w:pPr>
        <w:pStyle w:val="BodyText"/>
        <w:spacing w:line="386" w:lineRule="auto" w:before="0"/>
        <w:ind w:left="573" w:right="0" w:hanging="1"/>
        <w:jc w:val="left"/>
      </w:pPr>
      <w:r>
        <w:rPr/>
        <w:t>（</w:t>
      </w:r>
      <w:r>
        <w:rPr>
          <w:rFonts w:ascii="Times New Roman" w:hAnsi="Times New Roman" w:cs="Times New Roman" w:eastAsia="Times New Roman" w:hint="default"/>
        </w:rPr>
        <w:t>1</w:t>
      </w:r>
      <w:r>
        <w:rPr/>
        <w:t>）利率风险 </w:t>
      </w:r>
      <w:r>
        <w:rPr>
          <w:spacing w:val="-1"/>
        </w:rPr>
        <w:t>利率风险，是指金融工具的公允价值或未来现金流量因市场利率变动而发生波动的风险。本公司面临</w:t>
      </w:r>
    </w:p>
    <w:p>
      <w:pPr>
        <w:pStyle w:val="BodyText"/>
        <w:spacing w:line="240" w:lineRule="auto" w:before="65"/>
        <w:ind w:left="153" w:right="0"/>
        <w:jc w:val="both"/>
      </w:pPr>
      <w:r>
        <w:rPr/>
        <w:t>的利率风险主要来源于银行短期借款。截至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日止，本公司以同期同档次国家基准利率上浮一</w:t>
      </w:r>
    </w:p>
    <w:p>
      <w:pPr>
        <w:spacing w:after="0" w:line="240" w:lineRule="auto"/>
        <w:jc w:val="both"/>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386" w:lineRule="auto" w:before="35"/>
        <w:ind w:left="153" w:right="0"/>
        <w:jc w:val="left"/>
      </w:pPr>
      <w:r>
        <w:rPr>
          <w:spacing w:val="-2"/>
        </w:rPr>
        <w:t>定百分比的利率计息的银行借款人民币</w:t>
      </w:r>
      <w:r>
        <w:rPr>
          <w:rFonts w:ascii="Times New Roman" w:hAnsi="Times New Roman" w:cs="Times New Roman" w:eastAsia="Times New Roman" w:hint="default"/>
          <w:spacing w:val="-2"/>
        </w:rPr>
        <w:t>141,000,000.00</w:t>
      </w:r>
      <w:r>
        <w:rPr>
          <w:spacing w:val="-2"/>
        </w:rPr>
        <w:t>元。在其他变量不变的假设下，利率发生合理、可能</w:t>
      </w:r>
      <w:r>
        <w:rPr>
          <w:spacing w:val="-81"/>
        </w:rPr>
        <w:t> </w:t>
      </w:r>
      <w:r>
        <w:rPr>
          <w:spacing w:val="-81"/>
        </w:rPr>
      </w:r>
      <w:r>
        <w:rPr/>
        <w:t>的</w:t>
      </w:r>
      <w:r>
        <w:rPr>
          <w:rFonts w:ascii="Times New Roman" w:hAnsi="Times New Roman" w:cs="Times New Roman" w:eastAsia="Times New Roman" w:hint="default"/>
        </w:rPr>
        <w:t>50%</w:t>
      </w:r>
      <w:r>
        <w:rPr/>
        <w:t>基准点的变动时，将不会对本公司的利润总额和股东权益产生重大的影响。</w:t>
      </w:r>
    </w:p>
    <w:p>
      <w:pPr>
        <w:pStyle w:val="BodyText"/>
        <w:spacing w:line="386" w:lineRule="auto" w:before="35"/>
        <w:ind w:left="574" w:right="0" w:hanging="1"/>
        <w:jc w:val="left"/>
      </w:pPr>
      <w:r>
        <w:rPr/>
        <w:t>（</w:t>
      </w:r>
      <w:r>
        <w:rPr>
          <w:rFonts w:ascii="Times New Roman" w:hAnsi="Times New Roman" w:cs="Times New Roman" w:eastAsia="Times New Roman" w:hint="default"/>
        </w:rPr>
        <w:t>2</w:t>
      </w:r>
      <w:r>
        <w:rPr/>
        <w:t>）汇率风险 </w:t>
      </w:r>
      <w:r>
        <w:rPr>
          <w:spacing w:val="-1"/>
        </w:rPr>
        <w:t>汇率风险，是指金融工具的公允价值或未来现金流量因外汇汇率变动而发生波动的风险。本公司尽可</w:t>
      </w:r>
    </w:p>
    <w:p>
      <w:pPr>
        <w:pStyle w:val="BodyText"/>
        <w:spacing w:line="408" w:lineRule="auto" w:before="65"/>
        <w:ind w:left="153" w:right="1022"/>
        <w:jc w:val="left"/>
      </w:pPr>
      <w:r>
        <w:rPr>
          <w:spacing w:val="-3"/>
        </w:rPr>
        <w:t>能将外币收入与外币支出相匹配以降低汇率风险。公司的主要经营位于中国境内，主要业务以人民币结算，</w:t>
      </w:r>
      <w:r>
        <w:rPr>
          <w:spacing w:val="-92"/>
        </w:rPr>
        <w:t> </w:t>
      </w:r>
      <w:r>
        <w:rPr>
          <w:spacing w:val="-92"/>
        </w:rPr>
      </w:r>
      <w:r>
        <w:rPr/>
        <w:t>本公司存在的汇率风险较小。</w:t>
      </w:r>
    </w:p>
    <w:p>
      <w:pPr>
        <w:pStyle w:val="BodyText"/>
        <w:spacing w:line="386" w:lineRule="auto"/>
        <w:ind w:left="573" w:right="1091"/>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30"/>
        </w:rPr>
        <w:t> </w:t>
      </w:r>
      <w:r>
        <w:rPr/>
        <w:t>流动性风险</w:t>
      </w:r>
      <w:r>
        <w:rPr>
          <w:w w:val="99"/>
        </w:rPr>
        <w:t> </w:t>
      </w:r>
      <w:r>
        <w:rPr/>
        <w:t>流动性风险，是指企业在履行以交付现金或其他金融资产的方式结算的义务时发生资金短缺的风险。</w:t>
      </w:r>
    </w:p>
    <w:p>
      <w:pPr>
        <w:pStyle w:val="BodyText"/>
        <w:spacing w:line="398" w:lineRule="auto" w:before="65"/>
        <w:ind w:left="153" w:right="1130"/>
        <w:jc w:val="both"/>
      </w:pPr>
      <w:r>
        <w:rPr>
          <w:spacing w:val="-1"/>
        </w:rPr>
        <w:t>本公司的政策是确保拥有充足的现金以偿还到期债务。流动性风险由本公司的财务部门集中控制。财务部</w:t>
      </w:r>
      <w:r>
        <w:rPr>
          <w:spacing w:val="-81"/>
        </w:rPr>
        <w:t> </w:t>
      </w:r>
      <w:r>
        <w:rPr>
          <w:spacing w:val="-81"/>
        </w:rPr>
      </w:r>
      <w:r>
        <w:rPr>
          <w:spacing w:val="-1"/>
        </w:rPr>
        <w:t>门通过监控现金余额、可随时变现的有价证券以及对未来</w:t>
      </w:r>
      <w:r>
        <w:rPr>
          <w:rFonts w:ascii="Times New Roman" w:hAnsi="Times New Roman" w:cs="Times New Roman" w:eastAsia="Times New Roman" w:hint="default"/>
          <w:spacing w:val="-1"/>
        </w:rPr>
        <w:t>12</w:t>
      </w:r>
      <w:r>
        <w:rPr>
          <w:spacing w:val="-1"/>
        </w:rPr>
        <w:t>个月现金流量的滚动预测，确保公司在所有合</w:t>
      </w:r>
      <w:r>
        <w:rPr>
          <w:spacing w:val="-83"/>
        </w:rPr>
        <w:t> </w:t>
      </w:r>
      <w:r>
        <w:rPr>
          <w:spacing w:val="-83"/>
        </w:rPr>
      </w:r>
      <w:r>
        <w:rPr/>
        <w:t>理预测的情况下拥有充足的资金偿还债务。</w:t>
      </w:r>
    </w:p>
    <w:p>
      <w:pPr>
        <w:spacing w:line="240" w:lineRule="auto" w:before="6"/>
        <w:rPr>
          <w:rFonts w:ascii="宋体" w:hAnsi="宋体" w:cs="宋体" w:eastAsia="宋体" w:hint="default"/>
          <w:sz w:val="19"/>
          <w:szCs w:val="19"/>
        </w:rPr>
      </w:pPr>
    </w:p>
    <w:p>
      <w:pPr>
        <w:pStyle w:val="Heading2"/>
        <w:spacing w:line="240" w:lineRule="auto"/>
        <w:ind w:right="0"/>
        <w:jc w:val="both"/>
        <w:rPr>
          <w:b w:val="0"/>
          <w:bCs w:val="0"/>
        </w:rPr>
      </w:pPr>
      <w:r>
        <w:rPr/>
        <w:t>十一、公允价值的披露</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both"/>
        <w:rPr>
          <w:b w:val="0"/>
          <w:bCs w:val="0"/>
        </w:rPr>
      </w:pP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4"/>
        <w:gridCol w:w="1837"/>
        <w:gridCol w:w="1913"/>
        <w:gridCol w:w="1913"/>
        <w:gridCol w:w="1913"/>
      </w:tblGrid>
      <w:tr>
        <w:trPr>
          <w:trHeight w:val="402" w:hRule="exact"/>
        </w:trPr>
        <w:tc>
          <w:tcPr>
            <w:tcW w:w="199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4" w:hRule="exact"/>
        </w:trPr>
        <w:tc>
          <w:tcPr>
            <w:tcW w:w="1994" w:type="dxa"/>
            <w:vMerge/>
            <w:tcBorders>
              <w:left w:val="single" w:sz="4" w:space="0" w:color="000000"/>
              <w:bottom w:val="single" w:sz="4" w:space="0" w:color="000000"/>
              <w:right w:val="single" w:sz="4" w:space="0" w:color="000000"/>
            </w:tcBorders>
            <w:shd w:val="clear" w:color="auto" w:fill="D3D3D3"/>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823"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第二层次公允价值计量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第三层次公允价值计量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71"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pacing w:val="-4"/>
                <w:sz w:val="18"/>
                <w:szCs w:val="18"/>
              </w:rPr>
              <w:t>一、持续的公允价值计量</w:t>
            </w:r>
          </w:p>
        </w:tc>
        <w:tc>
          <w:tcPr>
            <w:tcW w:w="18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（一）交易性金融资产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2"/>
              <w:ind w:left="22" w:right="2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以公允价值计量且其变 动计入当期损益的金融 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）债务工具投资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631,118,272.22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61" w:right="0"/>
              <w:jc w:val="left"/>
              <w:rPr>
                <w:rFonts w:ascii="Times New Roman" w:hAnsi="Times New Roman" w:cs="Times New Roman" w:eastAsia="Times New Roman" w:hint="default"/>
                <w:sz w:val="18"/>
                <w:szCs w:val="18"/>
              </w:rPr>
            </w:pPr>
            <w:r>
              <w:rPr>
                <w:rFonts w:ascii="Times New Roman"/>
                <w:sz w:val="18"/>
              </w:rPr>
              <w:t>631,118,272.22</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）权益工具投资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）衍生金融资产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2"/>
              <w:ind w:left="22" w:right="2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指定以公允价值计量且 其变动计入当期损益的 金融资产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）债务工具投资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）权益工具投资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（二）其他债权投资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pacing w:val="-4"/>
                <w:sz w:val="18"/>
                <w:szCs w:val="18"/>
              </w:rPr>
              <w:t>（三）其他权益工具投资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173,249,000.00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55" w:right="0"/>
              <w:jc w:val="left"/>
              <w:rPr>
                <w:rFonts w:ascii="Times New Roman" w:hAnsi="Times New Roman" w:cs="Times New Roman" w:eastAsia="Times New Roman" w:hint="default"/>
                <w:sz w:val="18"/>
                <w:szCs w:val="18"/>
              </w:rPr>
            </w:pPr>
            <w:r>
              <w:rPr>
                <w:rFonts w:ascii="Times New Roman"/>
                <w:sz w:val="18"/>
              </w:rPr>
              <w:t>173,249,000.00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994"/>
        <w:gridCol w:w="1837"/>
        <w:gridCol w:w="1913"/>
        <w:gridCol w:w="1913"/>
        <w:gridCol w:w="1913"/>
      </w:tblGrid>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（四）投资性房地产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出租用的土地使用权</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出租的建筑物</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2" w:lineRule="auto" w:before="51"/>
              <w:ind w:left="22" w:right="25"/>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持有并准备增值后转让 的土地使用权</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（五）生物资产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消耗性生物资产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生产性生物资产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tcPr>
          <w:p>
            <w:pP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持续以公允价值计量的 资产总额</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6" w:right="0"/>
              <w:jc w:val="left"/>
              <w:rPr>
                <w:rFonts w:ascii="Times New Roman" w:hAnsi="Times New Roman" w:cs="Times New Roman" w:eastAsia="Times New Roman" w:hint="default"/>
                <w:sz w:val="18"/>
                <w:szCs w:val="18"/>
              </w:rPr>
            </w:pPr>
            <w:r>
              <w:rPr>
                <w:rFonts w:ascii="Times New Roman"/>
                <w:sz w:val="18"/>
              </w:rPr>
              <w:t>804,367,272.22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5" w:right="0"/>
              <w:jc w:val="left"/>
              <w:rPr>
                <w:rFonts w:ascii="Times New Roman" w:hAnsi="Times New Roman" w:cs="Times New Roman" w:eastAsia="Times New Roman" w:hint="default"/>
                <w:sz w:val="18"/>
                <w:szCs w:val="18"/>
              </w:rPr>
            </w:pPr>
            <w:r>
              <w:rPr>
                <w:rFonts w:ascii="Times New Roman"/>
                <w:sz w:val="18"/>
              </w:rPr>
              <w:t>804,367,272.22</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（六）交易性金融负债</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4"/>
                <w:sz w:val="18"/>
                <w:szCs w:val="18"/>
              </w:rPr>
              <w:t>其中：发行的交易性债券</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衍生金融负债</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其他</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pacing w:val="-4"/>
                <w:sz w:val="18"/>
                <w:szCs w:val="18"/>
              </w:rPr>
              <w:t>（七）指定为以公允价值</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计量且变动计入当期损 益的金融负债</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tcPr>
          <w:p>
            <w:pP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持续以公允价值计量的 负债总额</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pacing w:val="-4"/>
                <w:sz w:val="18"/>
                <w:szCs w:val="18"/>
              </w:rPr>
              <w:t>二、非持续的公允价值计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w:t>
            </w:r>
          </w:p>
        </w:tc>
        <w:tc>
          <w:tcPr>
            <w:tcW w:w="18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（一）持有待售资产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tcPr>
          <w:p>
            <w:pP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非持续以公允价值计量 的资产总额</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tcPr>
          <w:p>
            <w:pP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非持续以公允价值计量 的负债总额</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8"/>
        <w:rPr>
          <w:rFonts w:ascii="宋体" w:hAnsi="宋体" w:cs="宋体" w:eastAsia="宋体" w:hint="default"/>
          <w:b/>
          <w:bCs/>
          <w:sz w:val="26"/>
          <w:szCs w:val="26"/>
        </w:rPr>
      </w:pPr>
    </w:p>
    <w:p>
      <w:pPr>
        <w:spacing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按理财产品净值对公允价值进行计量。</w:t>
      </w:r>
    </w:p>
    <w:p>
      <w:pPr>
        <w:spacing w:after="0"/>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9"/>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8"/>
        <w:rPr>
          <w:rFonts w:ascii="宋体" w:hAnsi="宋体" w:cs="宋体" w:eastAsia="宋体" w:hint="default"/>
          <w:b/>
          <w:bCs/>
          <w:sz w:val="24"/>
          <w:szCs w:val="24"/>
        </w:rPr>
      </w:pPr>
    </w:p>
    <w:p>
      <w:pPr>
        <w:spacing w:line="487" w:lineRule="auto" w:before="0"/>
        <w:ind w:left="154" w:right="810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r>
        <w:rPr>
          <w:rFonts w:ascii="宋体" w:hAnsi="宋体" w:cs="宋体" w:eastAsia="宋体" w:hint="default"/>
          <w:b/>
          <w:bCs/>
          <w:sz w:val="24"/>
          <w:szCs w:val="24"/>
        </w:rPr>
        <w:t>十二、关联方及关联交易</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240" w:lineRule="auto" w:before="6"/>
        <w:rPr>
          <w:rFonts w:ascii="宋体" w:hAnsi="宋体" w:cs="宋体" w:eastAsia="宋体" w:hint="default"/>
          <w:b/>
          <w:bCs/>
          <w:sz w:val="7"/>
          <w:szCs w:val="7"/>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4"/>
        <w:gridCol w:w="1594"/>
        <w:gridCol w:w="1595"/>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432" w:right="71" w:hanging="360"/>
              <w:jc w:val="left"/>
              <w:rPr>
                <w:rFonts w:ascii="宋体" w:hAnsi="宋体" w:cs="宋体" w:eastAsia="宋体" w:hint="default"/>
                <w:sz w:val="18"/>
                <w:szCs w:val="18"/>
              </w:rPr>
            </w:pPr>
            <w:r>
              <w:rPr>
                <w:rFonts w:ascii="宋体" w:hAnsi="宋体" w:cs="宋体" w:eastAsia="宋体" w:hint="default"/>
                <w:sz w:val="18"/>
                <w:szCs w:val="18"/>
              </w:rPr>
              <w:t>母公司对本企业的 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341" w:right="71" w:hanging="270"/>
              <w:jc w:val="left"/>
              <w:rPr>
                <w:rFonts w:ascii="宋体" w:hAnsi="宋体" w:cs="宋体" w:eastAsia="宋体" w:hint="default"/>
                <w:sz w:val="18"/>
                <w:szCs w:val="18"/>
              </w:rPr>
            </w:pPr>
            <w:r>
              <w:rPr>
                <w:rFonts w:ascii="宋体" w:hAnsi="宋体" w:cs="宋体" w:eastAsia="宋体" w:hint="default"/>
                <w:sz w:val="18"/>
                <w:szCs w:val="18"/>
              </w:rPr>
              <w:t>母公司对本企业的 表决权比例</w:t>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林旭曦（自然人）</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14.90%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14.90%</w:t>
            </w:r>
            <w:r>
              <w:rPr>
                <w:rFonts w:ascii="Times New Roman"/>
                <w:sz w:val="18"/>
              </w:rPr>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张杰（自然人）</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6.90%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6.90%</w:t>
            </w:r>
            <w:r>
              <w:rPr>
                <w:rFonts w:ascii="Times New Roman"/>
                <w:sz w:val="18"/>
              </w:rPr>
            </w:r>
          </w:p>
        </w:tc>
      </w:tr>
    </w:tbl>
    <w:p>
      <w:pPr>
        <w:spacing w:line="360" w:lineRule="auto" w:before="51"/>
        <w:ind w:left="153" w:right="7870" w:firstLine="0"/>
        <w:jc w:val="left"/>
        <w:rPr>
          <w:rFonts w:ascii="宋体" w:hAnsi="宋体" w:cs="宋体" w:eastAsia="宋体" w:hint="default"/>
          <w:sz w:val="18"/>
          <w:szCs w:val="18"/>
        </w:rPr>
      </w:pPr>
      <w:r>
        <w:rPr>
          <w:rFonts w:ascii="宋体" w:hAnsi="宋体" w:cs="宋体" w:eastAsia="宋体" w:hint="default"/>
          <w:sz w:val="18"/>
          <w:szCs w:val="18"/>
        </w:rPr>
        <w:t>本企业的母公司情况的说明 其他说明：</w:t>
      </w:r>
    </w:p>
    <w:p>
      <w:pPr>
        <w:spacing w:line="240" w:lineRule="auto" w:before="11"/>
        <w:rPr>
          <w:rFonts w:ascii="宋体" w:hAnsi="宋体" w:cs="宋体" w:eastAsia="宋体" w:hint="default"/>
          <w:sz w:val="19"/>
          <w:szCs w:val="19"/>
        </w:rPr>
      </w:pPr>
    </w:p>
    <w:p>
      <w:pPr>
        <w:spacing w:line="547" w:lineRule="auto" w:before="0"/>
        <w:ind w:left="154" w:right="553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99"/>
          <w:sz w:val="21"/>
          <w:szCs w:val="21"/>
        </w:rPr>
        <w:t> </w:t>
      </w:r>
      <w:r>
        <w:rPr>
          <w:rFonts w:ascii="宋体" w:hAnsi="宋体" w:cs="宋体" w:eastAsia="宋体" w:hint="default"/>
          <w:sz w:val="18"/>
          <w:szCs w:val="18"/>
        </w:rPr>
        <w:t>本企业子公司的情况详见附注</w:t>
      </w:r>
      <w:r>
        <w:rPr>
          <w:rFonts w:ascii="Times New Roman" w:hAnsi="Times New Roman" w:cs="Times New Roman" w:eastAsia="Times New Roman" w:hint="default"/>
          <w:sz w:val="18"/>
          <w:szCs w:val="18"/>
        </w:rPr>
        <w:t>“</w:t>
      </w:r>
      <w:r>
        <w:rPr>
          <w:rFonts w:ascii="宋体" w:hAnsi="宋体" w:cs="宋体" w:eastAsia="宋体" w:hint="default"/>
          <w:sz w:val="18"/>
          <w:szCs w:val="18"/>
        </w:rPr>
        <w:t>七、在其他主体中的权益</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spacing w:line="338" w:lineRule="auto" w:before="51"/>
        <w:ind w:left="154" w:right="2290" w:firstLine="0"/>
        <w:jc w:val="left"/>
        <w:rPr>
          <w:rFonts w:ascii="宋体" w:hAnsi="宋体" w:cs="宋体" w:eastAsia="宋体" w:hint="default"/>
          <w:sz w:val="18"/>
          <w:szCs w:val="18"/>
        </w:rPr>
      </w:pPr>
      <w:r>
        <w:rPr>
          <w:rFonts w:ascii="宋体" w:hAnsi="宋体" w:cs="宋体" w:eastAsia="宋体" w:hint="default"/>
          <w:sz w:val="18"/>
          <w:szCs w:val="18"/>
        </w:rPr>
        <w:t>本企业重要的合营或联营企业详见附注</w:t>
      </w:r>
      <w:r>
        <w:rPr>
          <w:rFonts w:ascii="Times New Roman" w:hAnsi="Times New Roman" w:cs="Times New Roman" w:eastAsia="Times New Roman" w:hint="default"/>
          <w:sz w:val="18"/>
          <w:szCs w:val="18"/>
        </w:rPr>
        <w:t>“</w:t>
      </w:r>
      <w:r>
        <w:rPr>
          <w:rFonts w:ascii="宋体" w:hAnsi="宋体" w:cs="宋体" w:eastAsia="宋体" w:hint="default"/>
          <w:sz w:val="18"/>
          <w:szCs w:val="18"/>
        </w:rPr>
        <w:t>七、在其他主体中的权益</w:t>
      </w:r>
      <w:r>
        <w:rPr>
          <w:rFonts w:ascii="Times New Roman" w:hAnsi="Times New Roman" w:cs="Times New Roman" w:eastAsia="Times New Roman" w:hint="default"/>
          <w:sz w:val="18"/>
          <w:szCs w:val="18"/>
        </w:rPr>
        <w:t>”</w:t>
      </w:r>
      <w:r>
        <w:rPr>
          <w:rFonts w:ascii="宋体" w:hAnsi="宋体" w:cs="宋体" w:eastAsia="宋体" w:hint="default"/>
          <w:sz w:val="18"/>
          <w:szCs w:val="18"/>
        </w:rPr>
        <w:t>。 本期与本公司发生关联方交易，或前期与本公司发生关联方交易形成余额的其他合营或联营企业情况如下：</w:t>
      </w:r>
    </w:p>
    <w:p>
      <w:pPr>
        <w:spacing w:line="240" w:lineRule="auto" w:before="0"/>
        <w:rPr>
          <w:rFonts w:ascii="宋体" w:hAnsi="宋体" w:cs="宋体" w:eastAsia="宋体" w:hint="default"/>
          <w:sz w:val="2"/>
          <w:szCs w:val="2"/>
        </w:rPr>
      </w:pPr>
    </w:p>
    <w:p>
      <w:pPr>
        <w:spacing w:line="422" w:lineRule="exact"/>
        <w:ind w:left="14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1.15pt;mso-position-horizontal-relative:char;mso-position-vertical-relative:line" coordorigin="0,0" coordsize="9587,423">
            <v:group style="position:absolute;left:4764;top:16;width:23;height:392" coordorigin="4764,16" coordsize="23,392">
              <v:shape style="position:absolute;left:4764;top:16;width:23;height:392" coordorigin="4764,16" coordsize="23,392" path="m4764,407l4787,407,4787,16,4764,16,4764,407xe" filled="true" fillcolor="#d3d3d3" stroked="false">
                <v:path arrowok="t"/>
                <v:fill type="solid"/>
              </v:shape>
            </v:group>
            <v:group style="position:absolute;left:14;top:16;width:23;height:392" coordorigin="14,16" coordsize="23,392">
              <v:shape style="position:absolute;left:14;top:16;width:23;height:392" coordorigin="14,16" coordsize="23,392" path="m14,407l37,407,37,16,14,16,14,407xe" filled="true" fillcolor="#d3d3d3" stroked="false">
                <v:path arrowok="t"/>
                <v:fill type="solid"/>
              </v:shape>
            </v:group>
            <v:group style="position:absolute;left:37;top:16;width:4727;height:392" coordorigin="37,16" coordsize="4727,392">
              <v:shape style="position:absolute;left:37;top:16;width:4727;height:392" coordorigin="37,16" coordsize="4727,392" path="m37,407l4764,407,4764,16,37,16,37,407xe" filled="true" fillcolor="#d3d3d3" stroked="false">
                <v:path arrowok="t"/>
                <v:fill type="solid"/>
              </v:shape>
            </v:group>
            <v:group style="position:absolute;left:4796;top:16;width:23;height:392" coordorigin="4796,16" coordsize="23,392">
              <v:shape style="position:absolute;left:4796;top:16;width:23;height:392" coordorigin="4796,16" coordsize="23,392" path="m4796,407l4819,407,4819,16,4796,16,4796,407xe" filled="true" fillcolor="#d3d3d3" stroked="false">
                <v:path arrowok="t"/>
                <v:fill type="solid"/>
              </v:shape>
            </v:group>
            <v:group style="position:absolute;left:9550;top:16;width:23;height:392" coordorigin="9550,16" coordsize="23,392">
              <v:shape style="position:absolute;left:9550;top:16;width:23;height:392" coordorigin="9550,16" coordsize="23,392" path="m9550,407l9572,407,9572,16,9550,16,9550,407xe" filled="true" fillcolor="#d3d3d3" stroked="false">
                <v:path arrowok="t"/>
                <v:fill type="solid"/>
              </v:shape>
            </v:group>
            <v:group style="position:absolute;left:4819;top:16;width:4731;height:392" coordorigin="4819,16" coordsize="4731,392">
              <v:shape style="position:absolute;left:4819;top:16;width:4731;height:392" coordorigin="4819,16" coordsize="4731,392" path="m4819,407l9550,407,9550,16,4819,16,4819,407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001pt" strokecolor="#000000">
                <v:path arrowok="t"/>
              </v:shape>
            </v:group>
            <v:group style="position:absolute;left:10;top:5;width:2;height:413" coordorigin="10,5" coordsize="2,413">
              <v:shape style="position:absolute;left:10;top:5;width:2;height:413" coordorigin="10,5" coordsize="0,413" path="m10,5l10,418e" filled="false" stroked="true" strokeweight=".48001pt" strokecolor="#000000">
                <v:path arrowok="t"/>
              </v:shape>
            </v:group>
            <v:group style="position:absolute;left:5;top:413;width:4782;height:2" coordorigin="5,413" coordsize="4782,2">
              <v:shape style="position:absolute;left:5;top:413;width:4782;height:2" coordorigin="5,413" coordsize="4782,0" path="m5,413l4787,413e" filled="false" stroked="true" strokeweight=".47998pt" strokecolor="#000000">
                <v:path arrowok="t"/>
              </v:shape>
            </v:group>
            <v:group style="position:absolute;left:4792;top:14;width:2;height:404" coordorigin="4792,14" coordsize="2,404">
              <v:shape style="position:absolute;left:4792;top:14;width:2;height:404" coordorigin="4792,14" coordsize="0,404" path="m4792,14l4792,418e" filled="false" stroked="true" strokeweight=".48001pt" strokecolor="#000000">
                <v:path arrowok="t"/>
              </v:shape>
            </v:group>
            <v:group style="position:absolute;left:4796;top:413;width:4776;height:2" coordorigin="4796,413" coordsize="4776,2">
              <v:shape style="position:absolute;left:4796;top:413;width:4776;height:2" coordorigin="4796,413" coordsize="4776,0" path="m4796,413l9572,413e" filled="false" stroked="true" strokeweight=".47998pt" strokecolor="#000000">
                <v:path arrowok="t"/>
              </v:shape>
            </v:group>
            <v:group style="position:absolute;left:9577;top:5;width:2;height:413" coordorigin="9577,5" coordsize="2,413">
              <v:shape style="position:absolute;left:9577;top:5;width:2;height:413" coordorigin="9577,5" coordsize="0,413" path="m9577,5l9577,418e" filled="false" stroked="true" strokeweight=".47998pt" strokecolor="#000000">
                <v:path arrowok="t"/>
              </v:shape>
              <v:shape style="position:absolute;left:10;top:10;width:4782;height:402" type="#_x0000_t202" filled="false" stroked="false">
                <v:textbox inset="0,0,0,0">
                  <w:txbxContent>
                    <w:p>
                      <w:pPr>
                        <w:spacing w:before="56"/>
                        <w:ind w:left="1580" w:right="0" w:firstLine="0"/>
                        <w:jc w:val="left"/>
                        <w:rPr>
                          <w:rFonts w:ascii="宋体" w:hAnsi="宋体" w:cs="宋体" w:eastAsia="宋体" w:hint="default"/>
                          <w:sz w:val="18"/>
                          <w:szCs w:val="18"/>
                        </w:rPr>
                      </w:pPr>
                      <w:r>
                        <w:rPr>
                          <w:rFonts w:ascii="宋体" w:hAnsi="宋体" w:cs="宋体" w:eastAsia="宋体" w:hint="default"/>
                          <w:sz w:val="18"/>
                          <w:szCs w:val="18"/>
                        </w:rPr>
                        <w:t>合营或联营企业名称</w:t>
                      </w:r>
                    </w:p>
                  </w:txbxContent>
                </v:textbox>
                <w10:wrap type="none"/>
              </v:shape>
              <v:shape style="position:absolute;left:4792;top:10;width:4786;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与本企业关系</w:t>
                      </w:r>
                    </w:p>
                  </w:txbxContent>
                </v:textbox>
                <w10:wrap type="none"/>
              </v:shape>
            </v:group>
          </v:group>
        </w:pict>
      </w:r>
      <w:r>
        <w:rPr>
          <w:rFonts w:ascii="宋体" w:hAnsi="宋体" w:cs="宋体" w:eastAsia="宋体" w:hint="default"/>
          <w:position w:val="-7"/>
          <w:sz w:val="20"/>
          <w:szCs w:val="20"/>
        </w:rPr>
      </w:r>
    </w:p>
    <w:p>
      <w:pPr>
        <w:spacing w:before="46"/>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4</w:t>
      </w:r>
      <w:r>
        <w:rPr/>
        <w:t>、其他关联方情况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397"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庆云剧派网络科技有限公司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42.50%</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中防联盟（北京）技术开发有限公司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11.11%</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深圳国金天使投资企业（有限合伙）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2.2727%</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厦门市虹约产品设计有限公司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上海桎影数码科技有限公司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九次方大数据信息集团有限公司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1.055%</w:t>
            </w:r>
            <w:r>
              <w:rPr>
                <w:rFonts w:ascii="宋体" w:hAnsi="宋体" w:cs="宋体" w:eastAsia="宋体" w:hint="default"/>
                <w:sz w:val="18"/>
                <w:szCs w:val="18"/>
              </w:rPr>
              <w:t>的公司</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庆云巨棒文化产业投资中心（有限合伙）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1.67%</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计易数据科技</w:t>
            </w: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33.76%</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深圳市尚彩科技有限公司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子公司北京联移持股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17.00%</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国金天使投资基金（开曼）</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子公司香港安妮持股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成都幸运节拍数字技术有限公司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子公司畅元国讯持股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中广云（北京）科技有限公司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子公司畅元国讯持股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成都思品科技有限公司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子公司畅元国讯持股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安妮（厦门）健康管理有限公司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世融（厦门）投资控股有限公司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壹捷天成（厦门）投资管理有限公司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安策（厦门）投资管理有限公司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厦门市英加投资管理合伙企业（有限合伙）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川隆（厦门）投资管理有限公司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厦门伯杰达远股权投资合伙企业（有限合伙）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厦门伯杰投资合伙企业（有限合伙）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厦门市英聚投资管理合伙企业（有限合伙）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厦门市九创投资管理合伙企业（有限合伙）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安信依（厦门）投资管理有限公司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安妮（厦门）投资控股有限公司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安之初（厦门）教育咨询有限公司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安之行（厦门）企业咨询服务有限公司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受本公司实际控制人张杰、林旭曦控制的公司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悦一影视文化（北京）有限公司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受陈兆斌关系密切的家庭成员控制的公司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北京红橙天宜科技有限公司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15.00%</w:t>
            </w:r>
            <w:r>
              <w:rPr>
                <w:rFonts w:ascii="宋体" w:hAnsi="宋体" w:cs="宋体" w:eastAsia="宋体" w:hint="default"/>
                <w:sz w:val="18"/>
                <w:szCs w:val="18"/>
              </w:rPr>
              <w:t>的公司</w:t>
            </w:r>
          </w:p>
        </w:tc>
      </w:tr>
      <w:tr>
        <w:trPr>
          <w:trHeight w:val="32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赛博坦科技有限公司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本公司持股</w:t>
            </w:r>
            <w:r>
              <w:rPr>
                <w:rFonts w:ascii="宋体" w:hAnsi="宋体" w:cs="宋体" w:eastAsia="宋体" w:hint="default"/>
                <w:spacing w:val="-46"/>
                <w:sz w:val="18"/>
                <w:szCs w:val="18"/>
              </w:rPr>
              <w:t> </w:t>
            </w:r>
            <w:r>
              <w:rPr>
                <w:rFonts w:ascii="宋体" w:hAnsi="宋体" w:cs="宋体" w:eastAsia="宋体" w:hint="default"/>
                <w:sz w:val="18"/>
                <w:szCs w:val="18"/>
              </w:rPr>
              <w:t>10%的公司 </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3"/>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40"/>
        <w:gridCol w:w="1454"/>
        <w:gridCol w:w="1454"/>
        <w:gridCol w:w="1706"/>
        <w:gridCol w:w="1708"/>
        <w:gridCol w:w="1706"/>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庆云剧派网络科技 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IP</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服务</w:t>
            </w:r>
          </w:p>
        </w:tc>
        <w:tc>
          <w:tcPr>
            <w:tcW w:w="1454"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29" w:right="0"/>
              <w:jc w:val="left"/>
              <w:rPr>
                <w:rFonts w:ascii="Times New Roman" w:hAnsi="Times New Roman" w:cs="Times New Roman" w:eastAsia="Times New Roman" w:hint="default"/>
                <w:sz w:val="18"/>
                <w:szCs w:val="18"/>
              </w:rPr>
            </w:pPr>
            <w:r>
              <w:rPr>
                <w:rFonts w:ascii="Times New Roman"/>
                <w:sz w:val="18"/>
              </w:rPr>
              <w:t>3,960,000.00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2398"/>
        <w:gridCol w:w="2258"/>
        <w:gridCol w:w="2260"/>
        <w:gridCol w:w="2652"/>
      </w:tblGrid>
      <w:tr>
        <w:trPr>
          <w:trHeight w:val="402" w:hRule="exact"/>
        </w:trPr>
        <w:tc>
          <w:tcPr>
            <w:tcW w:w="23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8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厦门市虹约产品设计有限公司</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销售服务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73,160.38</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20,000.00</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厦门市虹约产品设计有限公司</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销售服务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51,509.42</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4,500.00</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厦门市虹约产品设计有限公司</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销售服务</w:t>
            </w: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5,000.00</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计易数据科技</w:t>
            </w: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销售服务</w:t>
            </w: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20,000.00</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计易数据科技</w:t>
            </w: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销售服务</w:t>
            </w: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5,000.00</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庆云剧派网络科技有限公司</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销售服务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2,028.30</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16,200.00</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庆云剧派网络科技有限公司</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销售服务</w:t>
            </w: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购销商品、提供和接受劳务的关联交易说明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）关联租赁情况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关联租赁情况说明</w:t>
      </w:r>
    </w:p>
    <w:p>
      <w:pPr>
        <w:spacing w:line="240" w:lineRule="auto" w:before="10"/>
        <w:rPr>
          <w:rFonts w:ascii="宋体" w:hAnsi="宋体" w:cs="宋体" w:eastAsia="宋体" w:hint="default"/>
          <w:sz w:val="12"/>
          <w:szCs w:val="12"/>
        </w:rPr>
      </w:pPr>
    </w:p>
    <w:p>
      <w:pPr>
        <w:pStyle w:val="BodyText"/>
        <w:spacing w:line="386" w:lineRule="auto" w:before="0"/>
        <w:ind w:right="0" w:firstLine="420"/>
        <w:jc w:val="left"/>
      </w:pPr>
      <w:r>
        <w:rPr>
          <w:spacing w:val="3"/>
        </w:rPr>
        <w:t>本公司全资子公司北京安妮全版权科技发展有限公司</w:t>
      </w:r>
      <w:r>
        <w:rPr>
          <w:rFonts w:ascii="Times New Roman" w:hAnsi="Times New Roman" w:cs="Times New Roman" w:eastAsia="Times New Roman" w:hint="default"/>
          <w:spacing w:val="3"/>
        </w:rPr>
        <w:t>2019</w:t>
      </w:r>
      <w:r>
        <w:rPr>
          <w:spacing w:val="3"/>
        </w:rPr>
        <w:t>年向庆云剧派网络科技有限公司提供员工</w:t>
      </w:r>
      <w:r>
        <w:rPr>
          <w:spacing w:val="4"/>
        </w:rPr>
        <w:t> </w:t>
      </w:r>
      <w:r>
        <w:rPr/>
        <w:t>工位、办公室租赁，租赁费合计不含税金额</w:t>
      </w:r>
      <w:r>
        <w:rPr>
          <w:rFonts w:ascii="Times New Roman" w:hAnsi="Times New Roman" w:cs="Times New Roman" w:eastAsia="Times New Roman" w:hint="default"/>
        </w:rPr>
        <w:t>95,625.47</w:t>
      </w:r>
      <w:r>
        <w:rPr/>
        <w:t>元。</w:t>
      </w:r>
    </w:p>
    <w:p>
      <w:pPr>
        <w:spacing w:line="240" w:lineRule="auto" w:before="10"/>
        <w:rPr>
          <w:rFonts w:ascii="宋体" w:hAnsi="宋体" w:cs="宋体" w:eastAsia="宋体" w:hint="default"/>
          <w:sz w:val="19"/>
          <w:szCs w:val="19"/>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）关联担保情况</w:t>
      </w:r>
      <w:r>
        <w:rPr>
          <w:b w:val="0"/>
          <w:bCs w:val="0"/>
        </w:rPr>
      </w:r>
    </w:p>
    <w:p>
      <w:pPr>
        <w:spacing w:line="240" w:lineRule="auto" w:before="8"/>
        <w:rPr>
          <w:rFonts w:ascii="宋体" w:hAnsi="宋体" w:cs="宋体" w:eastAsia="宋体" w:hint="default"/>
          <w:b/>
          <w:bCs/>
          <w:sz w:val="26"/>
          <w:szCs w:val="26"/>
        </w:rPr>
      </w:pPr>
    </w:p>
    <w:p>
      <w:pPr>
        <w:spacing w:line="360" w:lineRule="auto" w:before="0"/>
        <w:ind w:left="154" w:right="9310" w:firstLine="0"/>
        <w:jc w:val="left"/>
        <w:rPr>
          <w:rFonts w:ascii="宋体" w:hAnsi="宋体" w:cs="宋体" w:eastAsia="宋体" w:hint="default"/>
          <w:sz w:val="18"/>
          <w:szCs w:val="18"/>
        </w:rPr>
      </w:pPr>
      <w:r>
        <w:rPr>
          <w:rFonts w:ascii="宋体" w:hAnsi="宋体" w:cs="宋体" w:eastAsia="宋体" w:hint="default"/>
          <w:sz w:val="18"/>
          <w:szCs w:val="18"/>
        </w:rPr>
        <w:t>无 关联担保情况说明</w:t>
      </w:r>
    </w:p>
    <w:p>
      <w:pPr>
        <w:spacing w:line="240" w:lineRule="auto" w:before="11"/>
        <w:rPr>
          <w:rFonts w:ascii="宋体" w:hAnsi="宋体" w:cs="宋体" w:eastAsia="宋体" w:hint="default"/>
          <w:sz w:val="19"/>
          <w:szCs w:val="19"/>
        </w:rPr>
      </w:pPr>
    </w:p>
    <w:p>
      <w:pPr>
        <w:pStyle w:val="Heading4"/>
        <w:spacing w:line="240" w:lineRule="auto"/>
        <w:ind w:right="0"/>
        <w:jc w:val="left"/>
        <w:rPr>
          <w:b w:val="0"/>
          <w:bCs w:val="0"/>
        </w:rPr>
      </w:pPr>
      <w:r>
        <w:rPr/>
        <w:t>（</w:t>
      </w:r>
      <w:r>
        <w:rPr>
          <w:rFonts w:ascii="Times New Roman" w:hAnsi="Times New Roman" w:cs="Times New Roman" w:eastAsia="Times New Roman" w:hint="default"/>
        </w:rPr>
        <w:t>5</w:t>
      </w:r>
      <w:r>
        <w:rPr/>
        <w:t>）关联方资金拆借</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庆云巨棒文化产业投资中心</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8"/>
              <w:jc w:val="left"/>
              <w:rPr>
                <w:rFonts w:ascii="宋体" w:hAnsi="宋体" w:cs="宋体" w:eastAsia="宋体" w:hint="default"/>
                <w:sz w:val="18"/>
                <w:szCs w:val="18"/>
              </w:rPr>
            </w:pPr>
            <w:r>
              <w:rPr>
                <w:rFonts w:ascii="宋体" w:hAnsi="宋体" w:cs="宋体" w:eastAsia="宋体" w:hint="default"/>
                <w:sz w:val="18"/>
                <w:szCs w:val="18"/>
              </w:rPr>
              <w:t>转让庆云剧派网络科技有限 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的股权</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14" w:right="0"/>
              <w:jc w:val="left"/>
              <w:rPr>
                <w:rFonts w:ascii="Times New Roman" w:hAnsi="Times New Roman" w:cs="Times New Roman" w:eastAsia="Times New Roman" w:hint="default"/>
                <w:sz w:val="18"/>
                <w:szCs w:val="18"/>
              </w:rPr>
            </w:pPr>
            <w:r>
              <w:rPr>
                <w:rFonts w:ascii="Times New Roman"/>
                <w:sz w:val="18"/>
              </w:rPr>
              <w:t>5,000,000.00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7</w:t>
      </w:r>
      <w:r>
        <w:rPr/>
        <w:t>）关键管理人员报酬</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298,000.00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394,605.98</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何少平</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144,000.00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刘晓海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363,520.00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154,174.68</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黄益年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257,175.93</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谢蓉</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275,373.14</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305,986.02</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陈文坚</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583,264.00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2,992,099.75</w:t>
            </w:r>
          </w:p>
        </w:tc>
        <w:tc>
          <w:tcPr>
            <w:tcW w:w="319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8</w:t>
      </w:r>
      <w:r>
        <w:rPr/>
        <w:t>）其他关联交易</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）应收项目</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3D3D3"/>
          </w:tcPr>
          <w:p>
            <w:pPr/>
          </w:p>
        </w:tc>
        <w:tc>
          <w:tcPr>
            <w:tcW w:w="1595" w:type="dxa"/>
            <w:vMerge/>
            <w:tcBorders>
              <w:left w:val="single" w:sz="4" w:space="0" w:color="000000"/>
              <w:bottom w:val="single" w:sz="4" w:space="0" w:color="000000"/>
              <w:right w:val="single" w:sz="4" w:space="0" w:color="000000"/>
            </w:tcBorders>
            <w:shd w:val="clear" w:color="auto" w:fill="D3D3D3"/>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厦门市虹约产品设 计有限公司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450,000.00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500,000.00</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庆云剧派网络科技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598,490.57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758,490.57</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庆云剧派网络科技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48,350.00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967.00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庆云剧派网络科技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280,031.13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5,600.62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both"/>
              <w:rPr>
                <w:rFonts w:ascii="宋体" w:hAnsi="宋体" w:cs="宋体" w:eastAsia="宋体" w:hint="default"/>
                <w:sz w:val="18"/>
                <w:szCs w:val="18"/>
              </w:rPr>
            </w:pPr>
            <w:r>
              <w:rPr>
                <w:rFonts w:ascii="宋体" w:hAnsi="宋体" w:cs="宋体" w:eastAsia="宋体" w:hint="default"/>
                <w:sz w:val="18"/>
                <w:szCs w:val="18"/>
              </w:rPr>
              <w:t>庆云巨棒文化产业 投资中心（有限合 伙）</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2,505,000.00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50,100.00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）应付项目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悦一影视文化（北京）有限公 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庆云剧派网络科技有限公司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计易数据科技</w:t>
            </w: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2,970.00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2,970.00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颐麦科技（北京）有限公司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5,500,000.00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北京红橙天宜科技有限公司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2,500,000.00</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7</w:t>
      </w:r>
      <w:r>
        <w:rPr/>
        <w:t>、关联方承诺</w:t>
      </w:r>
      <w:r>
        <w:rPr>
          <w:b w:val="0"/>
          <w:bCs w:val="0"/>
        </w:rPr>
      </w:r>
    </w:p>
    <w:p>
      <w:pPr>
        <w:spacing w:line="240" w:lineRule="auto" w:before="8"/>
        <w:rPr>
          <w:rFonts w:ascii="宋体" w:hAnsi="宋体" w:cs="宋体" w:eastAsia="宋体" w:hint="default"/>
          <w:b/>
          <w:bCs/>
          <w:sz w:val="24"/>
          <w:szCs w:val="24"/>
        </w:rPr>
      </w:pPr>
    </w:p>
    <w:p>
      <w:pPr>
        <w:spacing w:line="487" w:lineRule="auto" w:before="0"/>
        <w:ind w:left="154" w:right="874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r>
        <w:rPr>
          <w:rFonts w:ascii="宋体" w:hAnsi="宋体" w:cs="宋体" w:eastAsia="宋体" w:hint="default"/>
          <w:b/>
          <w:bCs/>
          <w:sz w:val="24"/>
          <w:szCs w:val="24"/>
        </w:rPr>
        <w:t>十三、股份支付</w:t>
      </w:r>
      <w:r>
        <w:rPr>
          <w:rFonts w:ascii="宋体" w:hAnsi="宋体" w:cs="宋体" w:eastAsia="宋体" w:hint="default"/>
          <w:b/>
          <w:bCs/>
          <w:spacing w:val="1"/>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spacing w:before="108"/>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spacing w:before="44"/>
        <w:ind w:left="0" w:right="1139" w:firstLine="0"/>
        <w:jc w:val="right"/>
        <w:rPr>
          <w:rFonts w:ascii="宋体" w:hAnsi="宋体" w:cs="宋体" w:eastAsia="宋体" w:hint="default"/>
          <w:sz w:val="18"/>
          <w:szCs w:val="18"/>
        </w:rPr>
      </w:pPr>
      <w:r>
        <w:rPr/>
        <w:pict>
          <v:shape style="position:absolute;margin-left:56.459999pt;margin-top:-76.747986pt;width:479.1pt;height:147.85pt;mso-position-horizontal-relative:page;mso-position-vertical-relative:paragraph;z-index:20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454"/>
                    <w:gridCol w:w="4114"/>
                  </w:tblGrid>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55,890,200.00</w:t>
                        </w:r>
                      </w:p>
                    </w:tc>
                  </w:tr>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11,216,040.00</w:t>
                        </w:r>
                      </w:p>
                    </w:tc>
                  </w:tr>
                  <w:tr>
                    <w:trPr>
                      <w:trHeight w:val="1338" w:hRule="exact"/>
                    </w:trPr>
                    <w:tc>
                      <w:tcPr>
                        <w:tcW w:w="5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股票期权：行权价格为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8.25</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元；合同剩余期限：约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个</w:t>
                        </w:r>
                        <w:r>
                          <w:rPr>
                            <w:rFonts w:ascii="宋体" w:hAnsi="宋体" w:cs="宋体" w:eastAsia="宋体" w:hint="default"/>
                            <w:spacing w:val="-42"/>
                            <w:sz w:val="18"/>
                            <w:szCs w:val="18"/>
                          </w:rPr>
                          <w:t>月</w:t>
                        </w:r>
                        <w:r>
                          <w:rPr>
                            <w:rFonts w:ascii="宋体" w:hAnsi="宋体" w:cs="宋体" w:eastAsia="宋体" w:hint="default"/>
                            <w:sz w:val="18"/>
                            <w:szCs w:val="18"/>
                          </w:rPr>
                          <w:t>（到期日</w:t>
                        </w:r>
                        <w:r>
                          <w:rPr>
                            <w:rFonts w:ascii="宋体" w:hAnsi="宋体" w:cs="宋体" w:eastAsia="宋体" w:hint="default"/>
                            <w:spacing w:val="-44"/>
                            <w:sz w:val="18"/>
                            <w:szCs w:val="18"/>
                          </w:rPr>
                          <w:t>：</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w:t>
                        </w:r>
                        <w:r>
                          <w:rPr>
                            <w:rFonts w:ascii="宋体" w:hAnsi="宋体" w:cs="宋体" w:eastAsia="宋体" w:hint="default"/>
                            <w:spacing w:val="-90"/>
                            <w:sz w:val="18"/>
                            <w:szCs w:val="18"/>
                          </w:rPr>
                          <w:t>）</w:t>
                        </w:r>
                        <w:r>
                          <w:rPr>
                            <w:rFonts w:ascii="宋体" w:hAnsi="宋体" w:cs="宋体" w:eastAsia="宋体" w:hint="default"/>
                            <w:spacing w:val="-42"/>
                            <w:sz w:val="18"/>
                            <w:szCs w:val="18"/>
                          </w:rPr>
                          <w:t>；</w:t>
                        </w:r>
                        <w:r>
                          <w:rPr>
                            <w:rFonts w:ascii="宋体" w:hAnsi="宋体" w:cs="宋体" w:eastAsia="宋体" w:hint="default"/>
                            <w:sz w:val="18"/>
                            <w:szCs w:val="18"/>
                          </w:rPr>
                          <w:t>限制性股票期权</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行权价格为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元；合同剩余期限：约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个月（到</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期日：</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3" w:hRule="exact"/>
                    </w:trPr>
                    <w:tc>
                      <w:tcPr>
                        <w:tcW w:w="5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w:t>
      </w:r>
      <w:r>
        <w:rPr/>
        <w:t>、以权益结算的股份支付情况</w:t>
      </w:r>
      <w:r>
        <w:rPr>
          <w:b w:val="0"/>
          <w:bCs w:val="0"/>
        </w:rPr>
      </w:r>
    </w:p>
    <w:p>
      <w:pPr>
        <w:spacing w:line="240" w:lineRule="auto" w:before="4"/>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3"/>
        <w:gridCol w:w="4585"/>
      </w:tblGrid>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采用授予日市场收盘价格</w:t>
            </w:r>
          </w:p>
        </w:tc>
      </w:tr>
      <w:tr>
        <w:trPr>
          <w:trHeight w:val="357" w:hRule="exact"/>
        </w:trPr>
        <w:tc>
          <w:tcPr>
            <w:tcW w:w="4983" w:type="dxa"/>
            <w:tcBorders>
              <w:top w:val="single" w:sz="4" w:space="0" w:color="000000"/>
              <w:left w:val="single" w:sz="4" w:space="0" w:color="000000"/>
              <w:bottom w:val="nil" w:sz="6" w:space="0" w:color="auto"/>
              <w:right w:val="single" w:sz="4" w:space="0" w:color="000000"/>
            </w:tcBorders>
            <w:shd w:val="clear" w:color="auto" w:fill="D3D3D3"/>
          </w:tcPr>
          <w:p>
            <w:pPr/>
          </w:p>
        </w:tc>
        <w:tc>
          <w:tcPr>
            <w:tcW w:w="45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在等待期内每个资产负债表日，企业应当根据最新取得的</w:t>
            </w:r>
          </w:p>
        </w:tc>
      </w:tr>
      <w:tr>
        <w:trPr>
          <w:trHeight w:val="311" w:hRule="exact"/>
        </w:trPr>
        <w:tc>
          <w:tcPr>
            <w:tcW w:w="4983" w:type="dxa"/>
            <w:tcBorders>
              <w:top w:val="nil" w:sz="6" w:space="0" w:color="auto"/>
              <w:left w:val="single" w:sz="4" w:space="0" w:color="000000"/>
              <w:bottom w:val="nil" w:sz="6" w:space="0" w:color="auto"/>
              <w:right w:val="single" w:sz="4" w:space="0" w:color="000000"/>
            </w:tcBorders>
            <w:shd w:val="clear" w:color="auto" w:fill="D3D3D3"/>
          </w:tcPr>
          <w:p>
            <w:pPr/>
          </w:p>
        </w:tc>
        <w:tc>
          <w:tcPr>
            <w:tcW w:w="458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可行权职工人数变动等后续信息作出最佳估计，修正预计</w:t>
            </w:r>
          </w:p>
        </w:tc>
      </w:tr>
      <w:tr>
        <w:trPr>
          <w:trHeight w:val="313" w:hRule="exact"/>
        </w:trPr>
        <w:tc>
          <w:tcPr>
            <w:tcW w:w="498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可行权的权益工具数量，并以此为依据确认各期应分摊的</w:t>
            </w:r>
          </w:p>
        </w:tc>
      </w:tr>
      <w:tr>
        <w:trPr>
          <w:trHeight w:val="312" w:hRule="exact"/>
        </w:trPr>
        <w:tc>
          <w:tcPr>
            <w:tcW w:w="4983" w:type="dxa"/>
            <w:tcBorders>
              <w:top w:val="nil" w:sz="6" w:space="0" w:color="auto"/>
              <w:left w:val="single" w:sz="4" w:space="0" w:color="000000"/>
              <w:bottom w:val="nil" w:sz="6" w:space="0" w:color="auto"/>
              <w:right w:val="single" w:sz="4" w:space="0" w:color="000000"/>
            </w:tcBorders>
            <w:shd w:val="clear" w:color="auto" w:fill="D3D3D3"/>
          </w:tcPr>
          <w:p>
            <w:pPr/>
          </w:p>
        </w:tc>
        <w:tc>
          <w:tcPr>
            <w:tcW w:w="458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费用。在可行权日，最终预计可行权权益工具的数量应当</w:t>
            </w:r>
          </w:p>
        </w:tc>
      </w:tr>
      <w:tr>
        <w:trPr>
          <w:trHeight w:val="357" w:hRule="exact"/>
        </w:trPr>
        <w:tc>
          <w:tcPr>
            <w:tcW w:w="4983" w:type="dxa"/>
            <w:tcBorders>
              <w:top w:val="nil" w:sz="6" w:space="0" w:color="auto"/>
              <w:left w:val="single" w:sz="4" w:space="0" w:color="000000"/>
              <w:bottom w:val="single" w:sz="4" w:space="0" w:color="000000"/>
              <w:right w:val="single" w:sz="4" w:space="0" w:color="000000"/>
            </w:tcBorders>
            <w:shd w:val="clear" w:color="auto" w:fill="D3D3D3"/>
          </w:tcPr>
          <w:p>
            <w:pPr/>
          </w:p>
        </w:tc>
        <w:tc>
          <w:tcPr>
            <w:tcW w:w="45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与实际可行权工具的数量一致。</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4983"/>
        <w:gridCol w:w="4585"/>
      </w:tblGrid>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8,354,699.56</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8,354,699.56</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w:t>
      </w:r>
      <w:r>
        <w:rPr/>
        <w:t>、以现金结算的股份支付情况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4</w:t>
      </w:r>
      <w:r>
        <w:rPr/>
        <w:t>、股份支付的修改、终止情况</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93"/>
        <w:ind w:left="574" w:right="0"/>
        <w:jc w:val="left"/>
      </w:pPr>
      <w:r>
        <w:rPr/>
        <w:t>2020</w:t>
      </w:r>
      <w:r>
        <w:rPr>
          <w:spacing w:val="-54"/>
        </w:rPr>
        <w:t> </w:t>
      </w:r>
      <w:r>
        <w:rPr/>
        <w:t>年</w:t>
      </w:r>
      <w:r>
        <w:rPr>
          <w:spacing w:val="-54"/>
        </w:rPr>
        <w:t> </w:t>
      </w:r>
      <w:r>
        <w:rPr/>
        <w:t>1</w:t>
      </w:r>
      <w:r>
        <w:rPr>
          <w:spacing w:val="-54"/>
        </w:rPr>
        <w:t> </w:t>
      </w:r>
      <w:r>
        <w:rPr/>
        <w:t>月</w:t>
      </w:r>
      <w:r>
        <w:rPr>
          <w:spacing w:val="-55"/>
        </w:rPr>
        <w:t> </w:t>
      </w:r>
      <w:r>
        <w:rPr/>
        <w:t>22</w:t>
      </w:r>
      <w:r>
        <w:rPr>
          <w:spacing w:val="-53"/>
        </w:rPr>
        <w:t> </w:t>
      </w:r>
      <w:r>
        <w:rPr>
          <w:spacing w:val="-3"/>
        </w:rPr>
        <w:t>日，公司完成回购注销限制性股票</w:t>
      </w:r>
      <w:r>
        <w:rPr>
          <w:spacing w:val="-54"/>
        </w:rPr>
        <w:t> </w:t>
      </w:r>
      <w:r>
        <w:rPr/>
        <w:t>1,158,000.00</w:t>
      </w:r>
      <w:r>
        <w:rPr>
          <w:spacing w:val="-53"/>
        </w:rPr>
        <w:t> </w:t>
      </w:r>
      <w:r>
        <w:rPr>
          <w:spacing w:val="-6"/>
        </w:rPr>
        <w:t>股，注销股票期权</w:t>
      </w:r>
      <w:r>
        <w:rPr>
          <w:spacing w:val="-54"/>
        </w:rPr>
        <w:t> </w:t>
      </w:r>
      <w:r>
        <w:rPr/>
        <w:t>1,242,000.00</w:t>
      </w:r>
      <w:r>
        <w:rPr>
          <w:spacing w:val="-53"/>
        </w:rPr>
        <w:t> </w:t>
      </w:r>
      <w:r>
        <w:rPr/>
        <w:t>股，</w:t>
      </w:r>
    </w:p>
    <w:p>
      <w:pPr>
        <w:pStyle w:val="BodyText"/>
        <w:spacing w:line="240" w:lineRule="auto" w:before="175"/>
        <w:ind w:right="0"/>
        <w:jc w:val="left"/>
      </w:pPr>
      <w:r>
        <w:rPr>
          <w:spacing w:val="8"/>
        </w:rPr>
        <w:t>回购注销完成后，激励计划的激励对象总人数调整为 </w:t>
      </w:r>
      <w:r>
        <w:rPr/>
        <w:t>10</w:t>
      </w:r>
      <w:r>
        <w:rPr>
          <w:spacing w:val="28"/>
        </w:rPr>
        <w:t> </w:t>
      </w:r>
      <w:r>
        <w:rPr>
          <w:spacing w:val="8"/>
        </w:rPr>
        <w:t>人，已授权未解锁的限制性股票数量调整为</w:t>
      </w:r>
    </w:p>
    <w:p>
      <w:pPr>
        <w:pStyle w:val="BodyText"/>
        <w:spacing w:line="393" w:lineRule="auto" w:before="175"/>
        <w:ind w:left="574" w:right="0" w:hanging="420"/>
        <w:jc w:val="left"/>
      </w:pPr>
      <w:r>
        <w:rPr/>
        <w:t>1,014,000.00</w:t>
      </w:r>
      <w:r>
        <w:rPr>
          <w:spacing w:val="-53"/>
        </w:rPr>
        <w:t> </w:t>
      </w:r>
      <w:r>
        <w:rPr/>
        <w:t>股，已授权未行权的股票期权数量调整为</w:t>
      </w:r>
      <w:r>
        <w:rPr>
          <w:spacing w:val="-54"/>
        </w:rPr>
        <w:t> </w:t>
      </w:r>
      <w:r>
        <w:rPr/>
        <w:t>978,000.00</w:t>
      </w:r>
      <w:r>
        <w:rPr>
          <w:spacing w:val="-53"/>
        </w:rPr>
        <w:t> </w:t>
      </w:r>
      <w:r>
        <w:rPr/>
        <w:t>股。 </w:t>
      </w:r>
      <w:r>
        <w:rPr>
          <w:spacing w:val="-1"/>
        </w:rPr>
        <w:t>根据《上市公司股权激励管理办法》、公司股票期权与限制性股票激励计划等相关规定，董事会将回</w:t>
      </w:r>
      <w:r>
        <w:rPr/>
      </w:r>
    </w:p>
    <w:p>
      <w:pPr>
        <w:pStyle w:val="BodyText"/>
        <w:spacing w:line="240" w:lineRule="auto" w:before="41"/>
        <w:ind w:right="0"/>
        <w:jc w:val="left"/>
      </w:pPr>
      <w:r>
        <w:rPr/>
        <w:t>购注销限制性股票</w:t>
      </w:r>
      <w:r>
        <w:rPr>
          <w:spacing w:val="-7"/>
        </w:rPr>
        <w:t> </w:t>
      </w:r>
      <w:r>
        <w:rPr/>
        <w:t>1,014,000.00</w:t>
      </w:r>
      <w:r>
        <w:rPr>
          <w:spacing w:val="-50"/>
        </w:rPr>
        <w:t> </w:t>
      </w:r>
      <w:r>
        <w:rPr/>
        <w:t>股，并注销股票期权</w:t>
      </w:r>
      <w:r>
        <w:rPr>
          <w:spacing w:val="-51"/>
        </w:rPr>
        <w:t> </w:t>
      </w:r>
      <w:r>
        <w:rPr/>
        <w:t>978,000.00</w:t>
      </w:r>
      <w:r>
        <w:rPr>
          <w:spacing w:val="-50"/>
        </w:rPr>
        <w:t> </w:t>
      </w:r>
      <w:r>
        <w:rPr/>
        <w:t>份。包括：公司</w:t>
      </w:r>
      <w:r>
        <w:rPr>
          <w:spacing w:val="-51"/>
        </w:rPr>
        <w:t> </w:t>
      </w:r>
      <w:r>
        <w:rPr/>
        <w:t>2019</w:t>
      </w:r>
      <w:r>
        <w:rPr>
          <w:spacing w:val="-50"/>
        </w:rPr>
        <w:t> </w:t>
      </w:r>
      <w:r>
        <w:rPr/>
        <w:t>年业绩未达解锁</w:t>
      </w:r>
    </w:p>
    <w:p>
      <w:pPr>
        <w:pStyle w:val="BodyText"/>
        <w:spacing w:line="240" w:lineRule="auto" w:before="175"/>
        <w:ind w:right="0"/>
        <w:jc w:val="left"/>
      </w:pPr>
      <w:r>
        <w:rPr/>
        <w:t>及行权条件，公司对激励对象回购注销其部分已获授但尚未解锁的限制性股票 1,014,000.00</w:t>
      </w:r>
      <w:r>
        <w:rPr>
          <w:spacing w:val="-24"/>
        </w:rPr>
        <w:t> </w:t>
      </w:r>
      <w:r>
        <w:rPr/>
        <w:t>股，注销其</w:t>
      </w:r>
    </w:p>
    <w:p>
      <w:pPr>
        <w:pStyle w:val="BodyText"/>
        <w:spacing w:line="393" w:lineRule="auto" w:before="175"/>
        <w:ind w:right="1117"/>
        <w:jc w:val="left"/>
      </w:pPr>
      <w:r>
        <w:rPr/>
        <w:t>部分已获授但尚未行权的股票期权</w:t>
      </w:r>
      <w:r>
        <w:rPr>
          <w:spacing w:val="-78"/>
        </w:rPr>
        <w:t> </w:t>
      </w:r>
      <w:r>
        <w:rPr/>
        <w:t>978,000.00</w:t>
      </w:r>
      <w:r>
        <w:rPr>
          <w:spacing w:val="-77"/>
        </w:rPr>
        <w:t> </w:t>
      </w:r>
      <w:r>
        <w:rPr>
          <w:spacing w:val="-107"/>
        </w:rPr>
        <w:t>份</w:t>
      </w:r>
      <w:r>
        <w:rPr/>
        <w:t>（以上所述</w:t>
      </w:r>
      <w:r>
        <w:rPr>
          <w:spacing w:val="-2"/>
        </w:rPr>
        <w:t>的</w:t>
      </w:r>
      <w:r>
        <w:rPr/>
        <w:t>限制性股票股数及股票期权份数均为按</w:t>
      </w:r>
      <w:r>
        <w:rPr>
          <w:spacing w:val="-78"/>
        </w:rPr>
        <w:t> </w:t>
      </w:r>
      <w:r>
        <w:rPr/>
        <w:t>2018</w:t>
      </w:r>
      <w:r>
        <w:rPr/>
        <w:t> 年实施资本公积转增后调整的数量列示</w:t>
      </w:r>
      <w:r>
        <w:rPr>
          <w:spacing w:val="-105"/>
        </w:rPr>
        <w:t>）</w:t>
      </w:r>
      <w:r>
        <w:rPr>
          <w:spacing w:val="-2"/>
        </w:rPr>
        <w:t>。 </w:t>
      </w:r>
      <w:r>
        <w:rPr/>
      </w:r>
    </w:p>
    <w:p>
      <w:pPr>
        <w:spacing w:line="240" w:lineRule="auto" w:before="0"/>
        <w:rPr>
          <w:rFonts w:ascii="宋体" w:hAnsi="宋体" w:cs="宋体" w:eastAsia="宋体" w:hint="default"/>
          <w:sz w:val="14"/>
          <w:szCs w:val="14"/>
        </w:rPr>
      </w:pPr>
    </w:p>
    <w:p>
      <w:pPr>
        <w:spacing w:line="487" w:lineRule="auto" w:before="0"/>
        <w:ind w:left="154" w:right="834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r>
        <w:rPr>
          <w:rFonts w:ascii="宋体" w:hAnsi="宋体" w:cs="宋体" w:eastAsia="宋体" w:hint="default"/>
          <w:b/>
          <w:bCs/>
          <w:sz w:val="24"/>
          <w:szCs w:val="24"/>
        </w:rPr>
        <w:t>十四、承诺及或有事项</w:t>
      </w:r>
      <w:r>
        <w:rPr>
          <w:rFonts w:ascii="宋体" w:hAnsi="宋体" w:cs="宋体" w:eastAsia="宋体" w:hint="default"/>
          <w:b/>
          <w:bCs/>
          <w:spacing w:val="1"/>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spacing w:before="108"/>
        <w:ind w:left="154" w:right="0" w:firstLine="0"/>
        <w:jc w:val="left"/>
        <w:rPr>
          <w:rFonts w:ascii="宋体" w:hAnsi="宋体" w:cs="宋体" w:eastAsia="宋体" w:hint="default"/>
          <w:sz w:val="18"/>
          <w:szCs w:val="18"/>
        </w:rPr>
      </w:pPr>
      <w:r>
        <w:rPr>
          <w:rFonts w:ascii="宋体" w:hAnsi="宋体" w:cs="宋体" w:eastAsia="宋体" w:hint="default"/>
          <w:sz w:val="18"/>
          <w:szCs w:val="18"/>
        </w:rPr>
        <w:t>资产负债表日存在的重要承诺</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5"/>
          <w:szCs w:val="15"/>
        </w:rPr>
      </w:pPr>
    </w:p>
    <w:p>
      <w:pPr>
        <w:pStyle w:val="BodyText"/>
        <w:spacing w:line="240" w:lineRule="auto" w:before="0"/>
        <w:ind w:left="574" w:right="0"/>
        <w:jc w:val="left"/>
      </w:pPr>
      <w:r>
        <w:rPr/>
        <w:t>截止</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日，本公司无需要披露的重要承诺事项。</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2</w:t>
      </w:r>
      <w:r>
        <w:rPr/>
        <w:t>、或有事项</w:t>
      </w:r>
      <w:r>
        <w:rPr>
          <w:b w:val="0"/>
          <w:bCs w:val="0"/>
        </w:rPr>
      </w:r>
    </w:p>
    <w:p>
      <w:pPr>
        <w:spacing w:line="240" w:lineRule="auto" w:before="8"/>
        <w:rPr>
          <w:rFonts w:ascii="宋体" w:hAnsi="宋体" w:cs="宋体" w:eastAsia="宋体" w:hint="default"/>
          <w:b/>
          <w:bCs/>
          <w:sz w:val="24"/>
          <w:szCs w:val="24"/>
        </w:rPr>
      </w:pPr>
    </w:p>
    <w:p>
      <w:pPr>
        <w:spacing w:line="506" w:lineRule="auto" w:before="0"/>
        <w:ind w:left="574" w:right="5290"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）资产负债表日存在的重要或有事项</w:t>
      </w:r>
      <w:r>
        <w:rPr>
          <w:rFonts w:ascii="宋体" w:hAnsi="宋体" w:cs="宋体" w:eastAsia="宋体" w:hint="default"/>
          <w:b/>
          <w:bCs/>
          <w:w w:val="99"/>
          <w:sz w:val="21"/>
          <w:szCs w:val="21"/>
        </w:rPr>
        <w:t> </w:t>
      </w:r>
      <w:r>
        <w:rPr>
          <w:rFonts w:ascii="宋体" w:hAnsi="宋体" w:cs="宋体" w:eastAsia="宋体" w:hint="default"/>
          <w:sz w:val="21"/>
          <w:szCs w:val="21"/>
        </w:rPr>
        <w:t>截止</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日，本公司无需要披露的或有事项。</w:t>
      </w:r>
    </w:p>
    <w:p>
      <w:pPr>
        <w:spacing w:line="240" w:lineRule="auto" w:before="10"/>
        <w:rPr>
          <w:rFonts w:ascii="宋体" w:hAnsi="宋体" w:cs="宋体" w:eastAsia="宋体" w:hint="default"/>
          <w:sz w:val="28"/>
          <w:szCs w:val="28"/>
        </w:rPr>
      </w:pPr>
    </w:p>
    <w:p>
      <w:pPr>
        <w:spacing w:line="506" w:lineRule="auto" w:before="0"/>
        <w:ind w:left="783" w:right="5586" w:hanging="63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）公司没有需要披露的重要或有事项，也应予以说明</w:t>
      </w:r>
      <w:r>
        <w:rPr>
          <w:rFonts w:ascii="宋体" w:hAnsi="宋体" w:cs="宋体" w:eastAsia="宋体" w:hint="default"/>
          <w:b/>
          <w:bCs/>
          <w:spacing w:val="1"/>
          <w:w w:val="99"/>
          <w:sz w:val="21"/>
          <w:szCs w:val="21"/>
        </w:rPr>
        <w:t> </w:t>
      </w:r>
      <w:r>
        <w:rPr>
          <w:rFonts w:ascii="宋体" w:hAnsi="宋体" w:cs="宋体" w:eastAsia="宋体" w:hint="default"/>
          <w:sz w:val="21"/>
          <w:szCs w:val="21"/>
        </w:rPr>
        <w:t>公司不存在需要披露的重要或有事项。</w:t>
      </w:r>
    </w:p>
    <w:p>
      <w:pPr>
        <w:spacing w:after="0" w:line="506" w:lineRule="auto"/>
        <w:jc w:val="left"/>
        <w:rPr>
          <w:rFonts w:ascii="宋体" w:hAnsi="宋体" w:cs="宋体" w:eastAsia="宋体" w:hint="default"/>
          <w:sz w:val="21"/>
          <w:szCs w:val="21"/>
        </w:rPr>
        <w:sectPr>
          <w:pgSz w:w="11910" w:h="16840"/>
          <w:pgMar w:header="877" w:footer="982" w:top="1100" w:bottom="1180" w:left="980" w:right="0"/>
        </w:sectPr>
      </w:pPr>
    </w:p>
    <w:p>
      <w:pPr>
        <w:spacing w:line="240" w:lineRule="auto" w:before="9"/>
        <w:rPr>
          <w:rFonts w:ascii="宋体" w:hAnsi="宋体" w:cs="宋体" w:eastAsia="宋体" w:hint="default"/>
          <w:sz w:val="20"/>
          <w:szCs w:val="20"/>
        </w:rPr>
      </w:pPr>
    </w:p>
    <w:p>
      <w:pPr>
        <w:spacing w:line="487" w:lineRule="auto" w:before="35"/>
        <w:ind w:left="154" w:right="785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r>
        <w:rPr>
          <w:rFonts w:ascii="宋体" w:hAnsi="宋体" w:cs="宋体" w:eastAsia="宋体" w:hint="default"/>
          <w:b/>
          <w:bCs/>
          <w:sz w:val="24"/>
          <w:szCs w:val="24"/>
        </w:rPr>
        <w:t>十五、资产负债表日后事项</w:t>
      </w:r>
      <w:r>
        <w:rPr>
          <w:rFonts w:ascii="宋体" w:hAnsi="宋体" w:cs="宋体" w:eastAsia="宋体" w:hint="default"/>
          <w:b/>
          <w:bCs/>
          <w:spacing w:val="1"/>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64"/>
          <w:sz w:val="21"/>
          <w:szCs w:val="21"/>
        </w:rPr>
        <w:t> </w:t>
      </w:r>
      <w:r>
        <w:rPr>
          <w:rFonts w:ascii="宋体" w:hAnsi="宋体" w:cs="宋体" w:eastAsia="宋体" w:hint="default"/>
          <w:b/>
          <w:bCs/>
          <w:sz w:val="21"/>
          <w:szCs w:val="21"/>
        </w:rPr>
        <w:t>重要的非调整事项</w:t>
      </w:r>
      <w:r>
        <w:rPr>
          <w:rFonts w:ascii="宋体" w:hAnsi="宋体" w:cs="宋体" w:eastAsia="宋体" w:hint="default"/>
          <w:sz w:val="21"/>
          <w:szCs w:val="21"/>
        </w:rPr>
      </w:r>
    </w:p>
    <w:p>
      <w:pPr>
        <w:pStyle w:val="Heading4"/>
        <w:spacing w:line="240" w:lineRule="auto" w:before="83"/>
        <w:ind w:left="153" w:right="0"/>
        <w:jc w:val="left"/>
        <w:rPr>
          <w:b w:val="0"/>
          <w:bCs w:val="0"/>
        </w:rPr>
      </w:pPr>
      <w:r>
        <w:rPr>
          <w:rFonts w:ascii="Times New Roman" w:hAnsi="Times New Roman" w:cs="Times New Roman" w:eastAsia="Times New Roman" w:hint="default"/>
        </w:rPr>
        <w:t>2</w:t>
      </w:r>
      <w:r>
        <w:rPr/>
        <w:t>、</w:t>
      </w:r>
      <w:r>
        <w:rPr>
          <w:spacing w:val="-65"/>
        </w:rPr>
        <w:t> </w:t>
      </w:r>
      <w:r>
        <w:rPr/>
        <w:t>利润分配情况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3</w:t>
      </w:r>
      <w:r>
        <w:rPr/>
        <w:t>、销售退回</w:t>
      </w:r>
      <w:r>
        <w:rPr>
          <w:b w:val="0"/>
          <w:bCs w:val="0"/>
        </w:rPr>
      </w:r>
    </w:p>
    <w:p>
      <w:pPr>
        <w:spacing w:line="240" w:lineRule="auto" w:before="8"/>
        <w:rPr>
          <w:rFonts w:ascii="宋体" w:hAnsi="宋体" w:cs="宋体" w:eastAsia="宋体" w:hint="default"/>
          <w:b/>
          <w:bCs/>
          <w:sz w:val="24"/>
          <w:szCs w:val="24"/>
        </w:rPr>
      </w:pPr>
    </w:p>
    <w:p>
      <w:pPr>
        <w:spacing w:line="487" w:lineRule="auto" w:before="0"/>
        <w:ind w:left="154" w:right="769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、其他资产负债表日后事项说明</w:t>
      </w:r>
      <w:r>
        <w:rPr>
          <w:rFonts w:ascii="宋体" w:hAnsi="宋体" w:cs="宋体" w:eastAsia="宋体" w:hint="default"/>
          <w:b/>
          <w:bCs/>
          <w:spacing w:val="1"/>
          <w:w w:val="99"/>
          <w:sz w:val="21"/>
          <w:szCs w:val="21"/>
        </w:rPr>
        <w:t> </w:t>
      </w:r>
      <w:r>
        <w:rPr>
          <w:rFonts w:ascii="宋体" w:hAnsi="宋体" w:cs="宋体" w:eastAsia="宋体" w:hint="default"/>
          <w:b/>
          <w:bCs/>
          <w:sz w:val="24"/>
          <w:szCs w:val="24"/>
        </w:rPr>
        <w:t>十六、其他重要事项</w:t>
      </w:r>
      <w:r>
        <w:rPr>
          <w:rFonts w:ascii="宋体" w:hAnsi="宋体" w:cs="宋体" w:eastAsia="宋体" w:hint="default"/>
          <w:b/>
          <w:bCs/>
          <w:spacing w:val="1"/>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、前期会计差错更正</w:t>
      </w:r>
      <w:r>
        <w:rPr>
          <w:rFonts w:ascii="宋体" w:hAnsi="宋体" w:cs="宋体" w:eastAsia="宋体" w:hint="default"/>
          <w:sz w:val="21"/>
          <w:szCs w:val="21"/>
        </w:rPr>
      </w:r>
    </w:p>
    <w:p>
      <w:pPr>
        <w:pStyle w:val="Heading4"/>
        <w:spacing w:line="240" w:lineRule="auto" w:before="83"/>
        <w:ind w:right="0"/>
        <w:jc w:val="left"/>
        <w:rPr>
          <w:b w:val="0"/>
          <w:bCs w:val="0"/>
        </w:rPr>
      </w:pPr>
      <w:r>
        <w:rPr/>
        <w:t>（</w:t>
      </w:r>
      <w:r>
        <w:rPr>
          <w:rFonts w:ascii="Times New Roman" w:hAnsi="Times New Roman" w:cs="Times New Roman" w:eastAsia="Times New Roman" w:hint="default"/>
        </w:rPr>
        <w:t>1</w:t>
      </w:r>
      <w:r>
        <w:rPr/>
        <w:t>）追溯重述法</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）未来适用法</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2</w:t>
      </w:r>
      <w:r>
        <w:rPr/>
        <w:t>、债务重组</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3</w:t>
      </w:r>
      <w:r>
        <w:rPr/>
        <w:t>、资产置换</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）非货币性资产交换</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）其他资产置换</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4</w:t>
      </w:r>
      <w:r>
        <w:rPr/>
        <w:t>、年金计划</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5</w:t>
      </w:r>
      <w:r>
        <w:rPr/>
        <w:t>、终止经营</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6</w:t>
      </w:r>
      <w:r>
        <w:rPr/>
        <w:t>、分部信息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）报告分部的财务信息</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4</w:t>
      </w:r>
      <w:r>
        <w:rPr/>
        <w:t>）其他说明</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8</w:t>
      </w:r>
      <w:r>
        <w:rPr/>
        <w:t>、其他</w:t>
      </w:r>
      <w:r>
        <w:rPr>
          <w:b w:val="0"/>
          <w:bCs w:val="0"/>
        </w:rPr>
      </w:r>
    </w:p>
    <w:p>
      <w:pPr>
        <w:spacing w:after="0" w:line="240" w:lineRule="auto"/>
        <w:jc w:val="left"/>
        <w:sectPr>
          <w:pgSz w:w="11910" w:h="16840"/>
          <w:pgMar w:header="877" w:footer="982" w:top="1100" w:bottom="1180" w:left="980" w:right="0"/>
        </w:sectPr>
      </w:pPr>
    </w:p>
    <w:p>
      <w:pPr>
        <w:spacing w:line="240" w:lineRule="auto" w:before="8"/>
        <w:rPr>
          <w:rFonts w:ascii="宋体" w:hAnsi="宋体" w:cs="宋体" w:eastAsia="宋体" w:hint="default"/>
          <w:b/>
          <w:bCs/>
          <w:sz w:val="26"/>
          <w:szCs w:val="26"/>
        </w:rPr>
      </w:pPr>
    </w:p>
    <w:p>
      <w:pPr>
        <w:pStyle w:val="BodyText"/>
        <w:spacing w:line="240" w:lineRule="auto" w:before="35"/>
        <w:ind w:left="574" w:right="0"/>
        <w:jc w:val="left"/>
      </w:pPr>
      <w:r>
        <w:rPr/>
        <w:t>1、重要诉讼事项： </w:t>
      </w:r>
    </w:p>
    <w:p>
      <w:pPr>
        <w:spacing w:line="240" w:lineRule="auto" w:before="10"/>
        <w:rPr>
          <w:rFonts w:ascii="宋体" w:hAnsi="宋体" w:cs="宋体" w:eastAsia="宋体" w:hint="default"/>
          <w:sz w:val="14"/>
          <w:szCs w:val="14"/>
        </w:rPr>
      </w:pPr>
    </w:p>
    <w:p>
      <w:pPr>
        <w:pStyle w:val="BodyText"/>
        <w:spacing w:line="408" w:lineRule="auto" w:before="0"/>
        <w:ind w:right="1126" w:firstLine="420"/>
        <w:jc w:val="both"/>
      </w:pPr>
      <w:r>
        <w:rPr>
          <w:spacing w:val="-1"/>
        </w:rPr>
        <w:t>（1）2015年4月23日，安妮企业就现成文化用品（深圳）有限公司（以下简称“现成文化”）、艾迪</w:t>
      </w:r>
      <w:r>
        <w:rPr/>
        <w:t> </w:t>
      </w:r>
      <w:r>
        <w:rPr>
          <w:spacing w:val="-5"/>
        </w:rPr>
        <w:t>芙文化用品（深圳）有限公司（以下简称“艾迪芙”）拖欠款项提起诉讼，请求现成文化支付9,151,226.74</w:t>
      </w:r>
      <w:r>
        <w:rPr>
          <w:spacing w:val="-74"/>
        </w:rPr>
        <w:t> </w:t>
      </w:r>
      <w:r>
        <w:rPr>
          <w:spacing w:val="-74"/>
        </w:rPr>
      </w:r>
      <w:r>
        <w:rPr>
          <w:spacing w:val="-1"/>
        </w:rPr>
        <w:t>元及相应逾期还款利息，艾迪芙对现成文化的上述债务承担连带清偿责任，诉讼费用及保全费用由现成文</w:t>
      </w:r>
      <w:r>
        <w:rPr>
          <w:spacing w:val="-81"/>
        </w:rPr>
        <w:t> </w:t>
      </w:r>
      <w:r>
        <w:rPr>
          <w:spacing w:val="-81"/>
        </w:rPr>
      </w:r>
      <w:r>
        <w:rPr/>
        <w:t>化与艾迪芙承担。2015年7月22日，根据福建省厦门市中级人民法院民事调解书[（2015）厦民初字第894</w:t>
      </w:r>
      <w:r>
        <w:rPr>
          <w:spacing w:val="-41"/>
        </w:rPr>
        <w:t> </w:t>
      </w:r>
      <w:r>
        <w:rPr>
          <w:spacing w:val="-41"/>
        </w:rPr>
      </w:r>
      <w:r>
        <w:rPr/>
        <w:t>号]，调解如下：现成文化于2015年7月26日支付500万元及财产保全费5,000元、律师费250,000元，剩余</w:t>
      </w:r>
      <w:r>
        <w:rPr>
          <w:spacing w:val="-40"/>
        </w:rPr>
        <w:t> </w:t>
      </w:r>
      <w:r>
        <w:rPr>
          <w:spacing w:val="-40"/>
        </w:rPr>
      </w:r>
      <w:r>
        <w:rPr>
          <w:spacing w:val="-1"/>
        </w:rPr>
        <w:t>欠款4,151,226.74元于财产保全解除之日起35个月内还清。2016年10月13日，安妮企业申请强制执行，福</w:t>
      </w:r>
      <w:r>
        <w:rPr>
          <w:spacing w:val="-99"/>
        </w:rPr>
        <w:t> </w:t>
      </w:r>
      <w:r>
        <w:rPr>
          <w:spacing w:val="-99"/>
        </w:rPr>
      </w:r>
      <w:r>
        <w:rPr/>
        <w:t>建省厦门市中级人民法院执行裁定书[（2016）闽02执679号]，裁定如下：冻结、划拨现成文化、艾迪芙</w:t>
      </w:r>
      <w:r>
        <w:rPr>
          <w:spacing w:val="-36"/>
        </w:rPr>
        <w:t> </w:t>
      </w:r>
      <w:r>
        <w:rPr>
          <w:spacing w:val="-36"/>
        </w:rPr>
      </w:r>
      <w:r>
        <w:rPr/>
        <w:t>所有款项人民币370万元，或查封、扣押、冻结、拍卖相应等值财产。截止2019年12月31日，现成文化与</w:t>
      </w:r>
      <w:r>
        <w:rPr>
          <w:spacing w:val="-36"/>
        </w:rPr>
        <w:t> </w:t>
      </w:r>
      <w:r>
        <w:rPr>
          <w:spacing w:val="-36"/>
        </w:rPr>
      </w:r>
      <w:r>
        <w:rPr/>
        <w:t>艾迪芙已支付832.08万元，余款830,462.61元未支付。 </w:t>
      </w:r>
    </w:p>
    <w:p>
      <w:pPr>
        <w:pStyle w:val="BodyText"/>
        <w:spacing w:line="408" w:lineRule="auto"/>
        <w:ind w:left="153" w:right="1129" w:firstLine="420"/>
        <w:jc w:val="both"/>
      </w:pPr>
      <w:r>
        <w:rPr/>
        <w:t>（2）2015年12月15日，湖南安妮就广州市紫昊纸业有限公司（以下简称“广州紫昊”）拖欠货款提 </w:t>
      </w:r>
      <w:r>
        <w:rPr>
          <w:spacing w:val="-1"/>
        </w:rPr>
        <w:t>起诉讼，请求广州紫昊支付545,777.94元货款及相应逾期还款利息，陈建强承担连带保证责任，诉讼费用</w:t>
      </w:r>
      <w:r>
        <w:rPr>
          <w:spacing w:val="-80"/>
        </w:rPr>
        <w:t> </w:t>
      </w:r>
      <w:r>
        <w:rPr>
          <w:spacing w:val="-80"/>
        </w:rPr>
      </w:r>
      <w:r>
        <w:rPr>
          <w:spacing w:val="-1"/>
        </w:rPr>
        <w:t>由广州紫昊承担。2016年1月21日，根据福建省厦门市集美区人民法院民事调解书[（2015）集民初字4283</w:t>
      </w:r>
      <w:r>
        <w:rPr>
          <w:spacing w:val="-76"/>
        </w:rPr>
        <w:t> </w:t>
      </w:r>
      <w:r>
        <w:rPr>
          <w:spacing w:val="-76"/>
        </w:rPr>
      </w:r>
      <w:r>
        <w:rPr>
          <w:spacing w:val="-1"/>
        </w:rPr>
        <w:t>号]，调解如下：广州紫昊应支付货款545,777.94元货款及案件受理费582元。截止2019年12月31日，广州</w:t>
      </w:r>
      <w:r>
        <w:rPr>
          <w:spacing w:val="-74"/>
        </w:rPr>
        <w:t> </w:t>
      </w:r>
      <w:r>
        <w:rPr>
          <w:spacing w:val="-74"/>
        </w:rPr>
      </w:r>
      <w:r>
        <w:rPr/>
        <w:t>紫昊已支付5,000.00元。 </w:t>
      </w:r>
    </w:p>
    <w:p>
      <w:pPr>
        <w:pStyle w:val="BodyText"/>
        <w:spacing w:line="408" w:lineRule="auto"/>
        <w:ind w:left="153" w:right="1126" w:firstLine="420"/>
        <w:jc w:val="both"/>
      </w:pPr>
      <w:r>
        <w:rPr/>
        <w:t>（3）2016年2月1日，本公司之分公司厦门安妮股份有限公司北京分公司（以下简称“北京分”）就</w:t>
      </w:r>
      <w:r>
        <w:rPr>
          <w:spacing w:val="2"/>
        </w:rPr>
        <w:t> </w:t>
      </w:r>
      <w:r>
        <w:rPr>
          <w:spacing w:val="-1"/>
        </w:rPr>
        <w:t>北京旌旗源弘科贸有限公司（以下简称“北京旌旗源”）、李晶拖欠货款提起诉讼，请求北京旌旗源支付</w:t>
      </w:r>
      <w:r>
        <w:rPr>
          <w:spacing w:val="-82"/>
        </w:rPr>
        <w:t> </w:t>
      </w:r>
      <w:r>
        <w:rPr>
          <w:spacing w:val="-82"/>
        </w:rPr>
      </w:r>
      <w:r>
        <w:rPr>
          <w:spacing w:val="-1"/>
        </w:rPr>
        <w:t>货款1,295,416.61元及违约金，李晶对上述债务承担连带保证清偿责任，诉讼费用由北京旌旗源与李晶承</w:t>
      </w:r>
      <w:r>
        <w:rPr>
          <w:spacing w:val="-77"/>
        </w:rPr>
        <w:t> </w:t>
      </w:r>
      <w:r>
        <w:rPr>
          <w:spacing w:val="-77"/>
        </w:rPr>
      </w:r>
      <w:r>
        <w:rPr/>
        <w:t>担。2016年10月8日，根据北京市东城区人民法院民事判决书[（2016）京0101民初3344号]，判决如下：</w:t>
      </w:r>
      <w:r>
        <w:rPr>
          <w:spacing w:val="-38"/>
        </w:rPr>
        <w:t> </w:t>
      </w:r>
      <w:r>
        <w:rPr>
          <w:spacing w:val="-38"/>
        </w:rPr>
      </w:r>
      <w:r>
        <w:rPr/>
        <w:t>北京旌旗源支付北京分货款1,295,416.61元及违约金，同时支付案件受理费17,800元和公告费260元。截</w:t>
      </w:r>
      <w:r>
        <w:rPr>
          <w:spacing w:val="-42"/>
        </w:rPr>
        <w:t> </w:t>
      </w:r>
      <w:r>
        <w:rPr>
          <w:spacing w:val="-42"/>
        </w:rPr>
      </w:r>
      <w:r>
        <w:rPr/>
        <w:t>止2019年12月31日，北京旌旗源已支付56,229.24元。 </w:t>
      </w:r>
    </w:p>
    <w:p>
      <w:pPr>
        <w:pStyle w:val="BodyText"/>
        <w:spacing w:line="408" w:lineRule="auto"/>
        <w:ind w:left="153" w:right="1122" w:firstLine="420"/>
        <w:jc w:val="both"/>
      </w:pPr>
      <w:r>
        <w:rPr>
          <w:spacing w:val="6"/>
        </w:rPr>
        <w:t>（4）2016年2月2日，北京至美就北京旌旗源、李晶拖欠货款提起诉讼，请求北京旌旗源支付货款</w:t>
      </w:r>
      <w:r>
        <w:rPr>
          <w:spacing w:val="7"/>
        </w:rPr>
        <w:t> </w:t>
      </w:r>
      <w:r>
        <w:rPr/>
        <w:t>460,878.08元及违约金，李晶对上述债务承担连带清偿责任，诉讼费由北京旌旗源与李晶承担。2016年9</w:t>
      </w:r>
      <w:r>
        <w:rPr>
          <w:spacing w:val="-41"/>
        </w:rPr>
        <w:t> </w:t>
      </w:r>
      <w:r>
        <w:rPr>
          <w:spacing w:val="-41"/>
        </w:rPr>
      </w:r>
      <w:r>
        <w:rPr>
          <w:spacing w:val="-1"/>
        </w:rPr>
        <w:t>月18日，根据北京市顺义区人民法院民事判决书[（2016）京0113民初2239号]，判决如下：北京旌旗源支</w:t>
      </w:r>
      <w:r>
        <w:rPr>
          <w:spacing w:val="-83"/>
        </w:rPr>
        <w:t> </w:t>
      </w:r>
      <w:r>
        <w:rPr>
          <w:spacing w:val="-83"/>
        </w:rPr>
      </w:r>
      <w:r>
        <w:rPr/>
        <w:t>付北京至美货款460,878.08元及违约金，案件受理费及公告费共9,186元。截止2019年12月31日，北京旌</w:t>
      </w:r>
      <w:r>
        <w:rPr>
          <w:spacing w:val="-43"/>
        </w:rPr>
        <w:t> </w:t>
      </w:r>
      <w:r>
        <w:rPr>
          <w:spacing w:val="-43"/>
        </w:rPr>
      </w:r>
      <w:r>
        <w:rPr/>
        <w:t>旗源已支付61,450元。 </w:t>
      </w:r>
    </w:p>
    <w:p>
      <w:pPr>
        <w:pStyle w:val="BodyText"/>
        <w:spacing w:line="408" w:lineRule="auto"/>
        <w:ind w:left="153" w:right="1128" w:firstLine="420"/>
        <w:jc w:val="both"/>
      </w:pPr>
      <w:r>
        <w:rPr>
          <w:spacing w:val="-1"/>
        </w:rPr>
        <w:t>（5）2016年5月5日，香港安妮就与刘正君关于JCK株式会社、株式会社KAMIOL的买卖合同纠纷向厦门</w:t>
      </w:r>
      <w:r>
        <w:rPr/>
        <w:t> </w:t>
      </w:r>
      <w:r>
        <w:rPr>
          <w:spacing w:val="-1"/>
        </w:rPr>
        <w:t>市中级人民法院提起诉讼，请求刘正君支付货款1,622,899.06元及逾期付款违约金，诉讼费及财产保全费</w:t>
      </w:r>
      <w:r>
        <w:rPr>
          <w:spacing w:val="-77"/>
        </w:rPr>
        <w:t> </w:t>
      </w:r>
      <w:r>
        <w:rPr>
          <w:spacing w:val="-77"/>
        </w:rPr>
      </w:r>
      <w:r>
        <w:rPr>
          <w:spacing w:val="-1"/>
        </w:rPr>
        <w:t>由刘正君承担。2017年3月28日，根据福建省厦门市中级人民法院民事判决书[(2016)闽02民初455号]，判</w:t>
      </w:r>
      <w:r>
        <w:rPr>
          <w:spacing w:val="-82"/>
        </w:rPr>
        <w:t> </w:t>
      </w:r>
      <w:r>
        <w:rPr>
          <w:spacing w:val="-82"/>
        </w:rPr>
      </w:r>
      <w:r>
        <w:rPr>
          <w:spacing w:val="-1"/>
        </w:rPr>
        <w:t>决如下：刘正君应于判决生效日起10日内支付香港安妮1,622,899.06元及逾期付款违约金。截止2019年12</w:t>
      </w:r>
    </w:p>
    <w:p>
      <w:pPr>
        <w:spacing w:after="0" w:line="408" w:lineRule="auto"/>
        <w:jc w:val="both"/>
        <w:sectPr>
          <w:pgSz w:w="11910" w:h="16840"/>
          <w:pgMar w:header="877" w:footer="982" w:top="1100" w:bottom="1180" w:left="980" w:right="0"/>
        </w:sectPr>
      </w:pPr>
    </w:p>
    <w:p>
      <w:pPr>
        <w:spacing w:line="240" w:lineRule="auto" w:before="8"/>
        <w:rPr>
          <w:rFonts w:ascii="宋体" w:hAnsi="宋体" w:cs="宋体" w:eastAsia="宋体" w:hint="default"/>
          <w:sz w:val="26"/>
          <w:szCs w:val="26"/>
        </w:rPr>
      </w:pPr>
    </w:p>
    <w:p>
      <w:pPr>
        <w:pStyle w:val="BodyText"/>
        <w:spacing w:line="240" w:lineRule="auto" w:before="35"/>
        <w:ind w:left="254" w:right="0"/>
        <w:jc w:val="both"/>
      </w:pPr>
      <w:r>
        <w:rPr/>
        <w:t>月31日，刘正君尚未支付诉讼款项。 </w:t>
      </w:r>
    </w:p>
    <w:p>
      <w:pPr>
        <w:spacing w:line="240" w:lineRule="auto" w:before="10"/>
        <w:rPr>
          <w:rFonts w:ascii="宋体" w:hAnsi="宋体" w:cs="宋体" w:eastAsia="宋体" w:hint="default"/>
          <w:sz w:val="14"/>
          <w:szCs w:val="14"/>
        </w:rPr>
      </w:pPr>
    </w:p>
    <w:p>
      <w:pPr>
        <w:pStyle w:val="BodyText"/>
        <w:spacing w:line="408" w:lineRule="auto" w:before="0"/>
        <w:ind w:left="253" w:right="1013" w:firstLine="420"/>
        <w:jc w:val="left"/>
      </w:pPr>
      <w:r>
        <w:rPr/>
        <w:t>（6）2017年7月6日，北京分就北京龙文商贸有限公司（原名为北京龙文倡达商贸有限公司，以下简</w:t>
      </w:r>
      <w:r>
        <w:rPr>
          <w:spacing w:val="2"/>
        </w:rPr>
        <w:t> </w:t>
      </w:r>
      <w:r>
        <w:rPr/>
        <w:t>称龙文公司）货款121,078.57元对李焕文提起诉讼。2017年7月6日，根据北京市海淀区人民法院民事调解</w:t>
      </w:r>
      <w:r>
        <w:rPr/>
        <w:t> </w:t>
      </w:r>
      <w:r>
        <w:rPr>
          <w:spacing w:val="-1"/>
        </w:rPr>
        <w:t>书[（2017）京0108民初31746号]，调解如下：李焕文于2017年10月9日前向北京分支付货款20,000.00元，</w:t>
      </w:r>
      <w:r>
        <w:rPr>
          <w:spacing w:val="-77"/>
        </w:rPr>
        <w:t> </w:t>
      </w:r>
      <w:r>
        <w:rPr>
          <w:spacing w:val="-77"/>
        </w:rPr>
      </w:r>
      <w:r>
        <w:rPr/>
        <w:t>于2017年11月6日前向北京分支付货款20,000.00元，于2017年12月6日前向北京分支付货款20,000.00元，</w:t>
      </w:r>
      <w:r>
        <w:rPr/>
        <w:t> 于2018年1月6日前向北京分支付货款20,000.00元，于2018年2月6日前向北京分支付货款20,000.00元，于 2018年3月6日前向北京分支付货款31,078.00元。于2019年3月向北京分支付货款3,000.00元。截至2019年</w:t>
      </w:r>
    </w:p>
    <w:p>
      <w:pPr>
        <w:pStyle w:val="BodyText"/>
        <w:spacing w:line="240" w:lineRule="auto"/>
        <w:ind w:left="253" w:right="0"/>
        <w:jc w:val="both"/>
      </w:pPr>
      <w:r>
        <w:rPr/>
        <w:t>12月31日，</w:t>
      </w:r>
      <w:r>
        <w:rPr>
          <w:spacing w:val="-7"/>
        </w:rPr>
        <w:t> </w:t>
      </w:r>
      <w:r>
        <w:rPr/>
        <w:t>龙文公司已支付款项47,700.00元。 </w:t>
      </w:r>
    </w:p>
    <w:p>
      <w:pPr>
        <w:spacing w:line="240" w:lineRule="auto" w:before="10"/>
        <w:rPr>
          <w:rFonts w:ascii="宋体" w:hAnsi="宋体" w:cs="宋体" w:eastAsia="宋体" w:hint="default"/>
          <w:sz w:val="14"/>
          <w:szCs w:val="14"/>
        </w:rPr>
      </w:pPr>
    </w:p>
    <w:p>
      <w:pPr>
        <w:pStyle w:val="BodyText"/>
        <w:spacing w:line="408" w:lineRule="auto" w:before="0"/>
        <w:ind w:left="673" w:right="1013"/>
        <w:jc w:val="left"/>
      </w:pPr>
      <w:r>
        <w:rPr/>
        <w:t>2、2017年业绩赔偿事项及股票回购注销事项： </w:t>
      </w:r>
      <w:r>
        <w:rPr>
          <w:spacing w:val="-1"/>
        </w:rPr>
        <w:t>公司与杨超、雷建、毛智才、江勇、陈兆滨、鲁武英（以下简称“交易方”）签订《发行股份及支付</w:t>
      </w:r>
    </w:p>
    <w:p>
      <w:pPr>
        <w:pStyle w:val="BodyText"/>
        <w:spacing w:line="408" w:lineRule="auto"/>
        <w:ind w:left="253" w:right="1129"/>
        <w:jc w:val="both"/>
      </w:pPr>
      <w:r>
        <w:rPr>
          <w:spacing w:val="-1"/>
        </w:rPr>
        <w:t>现金购买资产协议》（以下简称“购买协议”），交易方承诺畅元国讯在2016年、2017年、2018年实现的</w:t>
      </w:r>
      <w:r>
        <w:rPr>
          <w:spacing w:val="-81"/>
        </w:rPr>
        <w:t> </w:t>
      </w:r>
      <w:r>
        <w:rPr>
          <w:spacing w:val="-81"/>
        </w:rPr>
      </w:r>
      <w:r>
        <w:rPr>
          <w:spacing w:val="-1"/>
        </w:rPr>
        <w:t>净利润分别不低于7600万元、10000万元、13000万元。经审计后交易方畅元国讯2016年、2017年、2018年</w:t>
      </w:r>
      <w:r>
        <w:rPr>
          <w:spacing w:val="-74"/>
        </w:rPr>
        <w:t> </w:t>
      </w:r>
      <w:r>
        <w:rPr>
          <w:spacing w:val="-74"/>
        </w:rPr>
      </w:r>
      <w:r>
        <w:rPr/>
        <w:t>实现的净利润分别为7,924.75万元、6,155.71万元、9,229.69万元。 </w:t>
      </w:r>
    </w:p>
    <w:p>
      <w:pPr>
        <w:pStyle w:val="BodyText"/>
        <w:spacing w:line="408" w:lineRule="auto"/>
        <w:ind w:left="253" w:right="1130" w:firstLine="420"/>
        <w:jc w:val="both"/>
      </w:pPr>
      <w:r>
        <w:rPr>
          <w:spacing w:val="-1"/>
        </w:rPr>
        <w:t>根据上述协议条款，2017年标的公司实现的净利润为6,155.71万元，低于承诺净利润10,000万元，同</w:t>
      </w:r>
      <w:r>
        <w:rPr/>
        <w:t> </w:t>
      </w:r>
      <w:r>
        <w:rPr>
          <w:spacing w:val="-1"/>
        </w:rPr>
        <w:t>时，截至2017年末，商誉发生减值，因此，2017年触发业绩补偿条件，共计应补偿股份总数为2,883.6603</w:t>
      </w:r>
      <w:r>
        <w:rPr>
          <w:spacing w:val="-75"/>
        </w:rPr>
        <w:t> </w:t>
      </w:r>
      <w:r>
        <w:rPr>
          <w:spacing w:val="-75"/>
        </w:rPr>
      </w:r>
      <w:r>
        <w:rPr/>
        <w:t>万股股票。 </w:t>
      </w:r>
    </w:p>
    <w:p>
      <w:pPr>
        <w:pStyle w:val="BodyText"/>
        <w:spacing w:line="408" w:lineRule="auto"/>
        <w:ind w:left="253" w:right="1107" w:firstLine="420"/>
        <w:jc w:val="both"/>
      </w:pPr>
      <w:r>
        <w:rPr>
          <w:spacing w:val="14"/>
        </w:rPr>
        <w:t>公司于</w:t>
      </w:r>
      <w:r>
        <w:rPr>
          <w:spacing w:val="-82"/>
        </w:rPr>
        <w:t> </w:t>
      </w:r>
      <w:r>
        <w:rPr/>
        <w:t>2019</w:t>
      </w:r>
      <w:r>
        <w:rPr>
          <w:spacing w:val="-82"/>
        </w:rPr>
        <w:t> </w:t>
      </w:r>
      <w:r>
        <w:rPr/>
        <w:t>年</w:t>
      </w:r>
      <w:r>
        <w:rPr>
          <w:spacing w:val="-82"/>
        </w:rPr>
        <w:t> </w:t>
      </w:r>
      <w:r>
        <w:rPr/>
        <w:t>3</w:t>
      </w:r>
      <w:r>
        <w:rPr>
          <w:spacing w:val="-81"/>
        </w:rPr>
        <w:t> </w:t>
      </w:r>
      <w:r>
        <w:rPr/>
        <w:t>月</w:t>
      </w:r>
      <w:r>
        <w:rPr>
          <w:spacing w:val="-82"/>
        </w:rPr>
        <w:t> </w:t>
      </w:r>
      <w:r>
        <w:rPr/>
        <w:t>22</w:t>
      </w:r>
      <w:r>
        <w:rPr>
          <w:spacing w:val="-81"/>
        </w:rPr>
        <w:t> </w:t>
      </w:r>
      <w:r>
        <w:rPr>
          <w:spacing w:val="19"/>
        </w:rPr>
        <w:t>日实施回购注销</w:t>
      </w:r>
      <w:r>
        <w:rPr>
          <w:spacing w:val="-82"/>
        </w:rPr>
        <w:t> </w:t>
      </w:r>
      <w:r>
        <w:rPr>
          <w:spacing w:val="10"/>
        </w:rPr>
        <w:t>21,500,572股，其中回购注销杨超</w:t>
      </w:r>
      <w:r>
        <w:rPr>
          <w:spacing w:val="-82"/>
        </w:rPr>
        <w:t> </w:t>
      </w:r>
      <w:r>
        <w:rPr>
          <w:spacing w:val="7"/>
        </w:rPr>
        <w:t>15,847,405股，陈兆滨</w:t>
      </w:r>
      <w:r>
        <w:rPr>
          <w:spacing w:val="-83"/>
        </w:rPr>
        <w:t> </w:t>
      </w:r>
      <w:r>
        <w:rPr>
          <w:spacing w:val="-4"/>
        </w:rPr>
        <w:t>3,316,606股，鲁武英2,191,582股，毛智才144,979股；2019年7月26回购注销雷建3,600,000股，江勇5,000</w:t>
      </w:r>
      <w:r>
        <w:rPr>
          <w:spacing w:val="-79"/>
        </w:rPr>
        <w:t> </w:t>
      </w:r>
      <w:r>
        <w:rPr>
          <w:spacing w:val="-79"/>
        </w:rPr>
      </w:r>
      <w:r>
        <w:rPr/>
        <w:t>股，回购注销股份合计3,605,000股；2019年11月12日2017年度业绩赔偿款剩余股份3,731,032.00股完成</w:t>
      </w:r>
      <w:r>
        <w:rPr>
          <w:spacing w:val="-51"/>
        </w:rPr>
        <w:t> </w:t>
      </w:r>
      <w:r>
        <w:rPr>
          <w:spacing w:val="-51"/>
        </w:rPr>
      </w:r>
      <w:r>
        <w:rPr/>
        <w:t>回购注销,。 </w:t>
      </w:r>
    </w:p>
    <w:p>
      <w:pPr>
        <w:pStyle w:val="BodyText"/>
        <w:spacing w:line="408" w:lineRule="auto"/>
        <w:ind w:left="673" w:right="1091" w:firstLine="60"/>
        <w:jc w:val="left"/>
      </w:pPr>
      <w:r>
        <w:rPr/>
        <w:t>3、2018年业绩赔偿事项及股票回购注销事项： 经审计，畅元国讯2018年度净利润为9,229.69万元，未完成2018年度的业绩承诺。根据《购买协议》</w:t>
      </w:r>
    </w:p>
    <w:p>
      <w:pPr>
        <w:pStyle w:val="BodyText"/>
        <w:spacing w:line="408" w:lineRule="auto"/>
        <w:ind w:left="253" w:right="1129"/>
        <w:jc w:val="both"/>
      </w:pPr>
      <w:r>
        <w:rPr>
          <w:spacing w:val="12"/>
        </w:rPr>
        <w:t>关于业绩补偿的约定，畅元国讯2018年度未完成业绩承诺，交易方2018年度合计应补偿的股份数为</w:t>
      </w:r>
      <w:r>
        <w:rPr>
          <w:spacing w:val="-85"/>
        </w:rPr>
        <w:t> </w:t>
      </w:r>
      <w:r>
        <w:rPr>
          <w:spacing w:val="-85"/>
        </w:rPr>
      </w:r>
      <w:r>
        <w:rPr/>
        <w:t>12,195,924股，小于其所获股份数额，故不触及现金补偿。交易方各自应承担的补偿股份数量如下： </w:t>
      </w:r>
    </w:p>
    <w:tbl>
      <w:tblPr>
        <w:tblW w:w="0" w:type="auto"/>
        <w:jc w:val="left"/>
        <w:tblInd w:w="116" w:type="dxa"/>
        <w:tblLayout w:type="fixed"/>
        <w:tblCellMar>
          <w:top w:w="0" w:type="dxa"/>
          <w:left w:w="0" w:type="dxa"/>
          <w:bottom w:w="0" w:type="dxa"/>
          <w:right w:w="0" w:type="dxa"/>
        </w:tblCellMar>
        <w:tblLook w:val="01E0"/>
      </w:tblPr>
      <w:tblGrid>
        <w:gridCol w:w="3181"/>
        <w:gridCol w:w="3524"/>
        <w:gridCol w:w="3163"/>
      </w:tblGrid>
      <w:tr>
        <w:trPr>
          <w:trHeight w:val="359" w:hRule="exact"/>
        </w:trPr>
        <w:tc>
          <w:tcPr>
            <w:tcW w:w="3181" w:type="dxa"/>
            <w:vMerge w:val="restart"/>
            <w:tcBorders>
              <w:top w:val="single" w:sz="12"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交易方</w:t>
            </w:r>
          </w:p>
        </w:tc>
        <w:tc>
          <w:tcPr>
            <w:tcW w:w="35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z w:val="18"/>
                <w:szCs w:val="18"/>
              </w:rPr>
              <w:t>占发行股份总数比例</w:t>
            </w:r>
          </w:p>
        </w:tc>
        <w:tc>
          <w:tcPr>
            <w:tcW w:w="3163" w:type="dxa"/>
            <w:vMerge w:val="restart"/>
            <w:tcBorders>
              <w:top w:val="single" w:sz="12" w:space="0" w:color="000000"/>
              <w:left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补偿股份数</w:t>
            </w:r>
          </w:p>
        </w:tc>
      </w:tr>
      <w:tr>
        <w:trPr>
          <w:trHeight w:val="350" w:hRule="exact"/>
        </w:trPr>
        <w:tc>
          <w:tcPr>
            <w:tcW w:w="3181" w:type="dxa"/>
            <w:vMerge/>
            <w:tcBorders>
              <w:left w:val="nil" w:sz="6" w:space="0" w:color="auto"/>
              <w:bottom w:val="single" w:sz="4" w:space="0" w:color="000000"/>
              <w:right w:val="single" w:sz="4" w:space="0" w:color="000000"/>
            </w:tcBorders>
          </w:tcPr>
          <w:p>
            <w:pPr/>
          </w:p>
        </w:tc>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（本次回购承担比例）</w:t>
            </w:r>
          </w:p>
        </w:tc>
        <w:tc>
          <w:tcPr>
            <w:tcW w:w="3163" w:type="dxa"/>
            <w:vMerge/>
            <w:tcBorders>
              <w:left w:val="single" w:sz="4" w:space="0" w:color="000000"/>
              <w:bottom w:val="single" w:sz="4" w:space="0" w:color="000000"/>
              <w:right w:val="nil" w:sz="6" w:space="0" w:color="auto"/>
            </w:tcBorders>
          </w:tcPr>
          <w:p>
            <w:pPr/>
          </w:p>
        </w:tc>
      </w:tr>
      <w:tr>
        <w:trPr>
          <w:trHeight w:val="350" w:hRule="exact"/>
        </w:trPr>
        <w:tc>
          <w:tcPr>
            <w:tcW w:w="318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杨超</w:t>
            </w:r>
          </w:p>
        </w:tc>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Arial" w:hAnsi="Arial" w:cs="Arial" w:eastAsia="Arial" w:hint="default"/>
                <w:sz w:val="18"/>
                <w:szCs w:val="18"/>
              </w:rPr>
            </w:pPr>
            <w:r>
              <w:rPr>
                <w:rFonts w:ascii="Arial"/>
                <w:w w:val="90"/>
                <w:sz w:val="18"/>
              </w:rPr>
              <w:t>53.28%</w:t>
            </w:r>
            <w:r>
              <w:rPr>
                <w:rFonts w:ascii="Arial"/>
                <w:sz w:val="18"/>
              </w:rPr>
            </w:r>
          </w:p>
        </w:tc>
        <w:tc>
          <w:tcPr>
            <w:tcW w:w="31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5"/>
              <w:ind w:right="107"/>
              <w:jc w:val="right"/>
              <w:rPr>
                <w:rFonts w:ascii="Arial" w:hAnsi="Arial" w:cs="Arial" w:eastAsia="Arial" w:hint="default"/>
                <w:sz w:val="18"/>
                <w:szCs w:val="18"/>
              </w:rPr>
            </w:pPr>
            <w:r>
              <w:rPr>
                <w:rFonts w:ascii="Arial"/>
                <w:spacing w:val="-1"/>
                <w:w w:val="80"/>
                <w:sz w:val="18"/>
              </w:rPr>
              <w:t>6,497,988</w:t>
            </w:r>
            <w:r>
              <w:rPr>
                <w:rFonts w:ascii="Arial"/>
                <w:spacing w:val="-1"/>
                <w:sz w:val="18"/>
              </w:rPr>
            </w:r>
          </w:p>
        </w:tc>
      </w:tr>
      <w:tr>
        <w:trPr>
          <w:trHeight w:val="349" w:hRule="exact"/>
        </w:trPr>
        <w:tc>
          <w:tcPr>
            <w:tcW w:w="318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陈兆滨</w:t>
            </w:r>
          </w:p>
        </w:tc>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Arial" w:hAnsi="Arial" w:cs="Arial" w:eastAsia="Arial" w:hint="default"/>
                <w:sz w:val="18"/>
                <w:szCs w:val="18"/>
              </w:rPr>
            </w:pPr>
            <w:r>
              <w:rPr>
                <w:rFonts w:ascii="Arial"/>
                <w:w w:val="90"/>
                <w:sz w:val="18"/>
              </w:rPr>
              <w:t>11.25%</w:t>
            </w:r>
            <w:r>
              <w:rPr>
                <w:rFonts w:ascii="Arial"/>
                <w:sz w:val="18"/>
              </w:rPr>
            </w:r>
          </w:p>
        </w:tc>
        <w:tc>
          <w:tcPr>
            <w:tcW w:w="31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5"/>
              <w:ind w:right="107"/>
              <w:jc w:val="right"/>
              <w:rPr>
                <w:rFonts w:ascii="Arial" w:hAnsi="Arial" w:cs="Arial" w:eastAsia="Arial" w:hint="default"/>
                <w:sz w:val="18"/>
                <w:szCs w:val="18"/>
              </w:rPr>
            </w:pPr>
            <w:r>
              <w:rPr>
                <w:rFonts w:ascii="Arial"/>
                <w:spacing w:val="-1"/>
                <w:w w:val="80"/>
                <w:sz w:val="18"/>
              </w:rPr>
              <w:t>1,372,041</w:t>
            </w:r>
            <w:r>
              <w:rPr>
                <w:rFonts w:ascii="Arial"/>
                <w:spacing w:val="-1"/>
                <w:sz w:val="18"/>
              </w:rPr>
            </w:r>
          </w:p>
        </w:tc>
      </w:tr>
      <w:tr>
        <w:trPr>
          <w:trHeight w:val="350" w:hRule="exact"/>
        </w:trPr>
        <w:tc>
          <w:tcPr>
            <w:tcW w:w="318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雷建</w:t>
            </w:r>
          </w:p>
        </w:tc>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Arial" w:hAnsi="Arial" w:cs="Arial" w:eastAsia="Arial" w:hint="default"/>
                <w:sz w:val="18"/>
                <w:szCs w:val="18"/>
              </w:rPr>
            </w:pPr>
            <w:r>
              <w:rPr>
                <w:rFonts w:ascii="Arial"/>
                <w:w w:val="90"/>
                <w:sz w:val="18"/>
              </w:rPr>
              <w:t>24.50%</w:t>
            </w:r>
            <w:r>
              <w:rPr>
                <w:rFonts w:ascii="Arial"/>
                <w:sz w:val="18"/>
              </w:rPr>
            </w:r>
          </w:p>
        </w:tc>
        <w:tc>
          <w:tcPr>
            <w:tcW w:w="31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7"/>
              <w:ind w:right="107"/>
              <w:jc w:val="right"/>
              <w:rPr>
                <w:rFonts w:ascii="Arial" w:hAnsi="Arial" w:cs="Arial" w:eastAsia="Arial" w:hint="default"/>
                <w:sz w:val="18"/>
                <w:szCs w:val="18"/>
              </w:rPr>
            </w:pPr>
            <w:r>
              <w:rPr>
                <w:rFonts w:ascii="Arial"/>
                <w:spacing w:val="-1"/>
                <w:w w:val="80"/>
                <w:sz w:val="18"/>
              </w:rPr>
              <w:t>2,988,001</w:t>
            </w:r>
            <w:r>
              <w:rPr>
                <w:rFonts w:ascii="Arial"/>
                <w:spacing w:val="-1"/>
                <w:sz w:val="18"/>
              </w:rPr>
            </w:r>
          </w:p>
        </w:tc>
      </w:tr>
      <w:tr>
        <w:trPr>
          <w:trHeight w:val="350" w:hRule="exact"/>
        </w:trPr>
        <w:tc>
          <w:tcPr>
            <w:tcW w:w="318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江勇</w:t>
            </w:r>
          </w:p>
        </w:tc>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Arial" w:hAnsi="Arial" w:cs="Arial" w:eastAsia="Arial" w:hint="default"/>
                <w:sz w:val="18"/>
                <w:szCs w:val="18"/>
              </w:rPr>
            </w:pPr>
            <w:r>
              <w:rPr>
                <w:rFonts w:ascii="Arial"/>
                <w:w w:val="90"/>
                <w:sz w:val="18"/>
              </w:rPr>
              <w:t>0.94%</w:t>
            </w:r>
            <w:r>
              <w:rPr>
                <w:rFonts w:ascii="Arial"/>
                <w:sz w:val="18"/>
              </w:rPr>
            </w:r>
          </w:p>
        </w:tc>
        <w:tc>
          <w:tcPr>
            <w:tcW w:w="31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5"/>
              <w:ind w:right="106"/>
              <w:jc w:val="right"/>
              <w:rPr>
                <w:rFonts w:ascii="Arial" w:hAnsi="Arial" w:cs="Arial" w:eastAsia="Arial" w:hint="default"/>
                <w:sz w:val="18"/>
                <w:szCs w:val="18"/>
              </w:rPr>
            </w:pPr>
            <w:r>
              <w:rPr>
                <w:rFonts w:ascii="Arial"/>
                <w:spacing w:val="-1"/>
                <w:w w:val="80"/>
                <w:sz w:val="18"/>
              </w:rPr>
              <w:t>114,642</w:t>
            </w:r>
            <w:r>
              <w:rPr>
                <w:rFonts w:ascii="Arial"/>
                <w:spacing w:val="-1"/>
                <w:sz w:val="18"/>
              </w:rPr>
            </w:r>
          </w:p>
        </w:tc>
      </w:tr>
      <w:tr>
        <w:trPr>
          <w:trHeight w:val="359" w:hRule="exact"/>
        </w:trPr>
        <w:tc>
          <w:tcPr>
            <w:tcW w:w="318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鲁武英</w:t>
            </w:r>
          </w:p>
        </w:tc>
        <w:tc>
          <w:tcPr>
            <w:tcW w:w="35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5"/>
              <w:ind w:right="0"/>
              <w:jc w:val="center"/>
              <w:rPr>
                <w:rFonts w:ascii="Arial" w:hAnsi="Arial" w:cs="Arial" w:eastAsia="Arial" w:hint="default"/>
                <w:sz w:val="18"/>
                <w:szCs w:val="18"/>
              </w:rPr>
            </w:pPr>
            <w:r>
              <w:rPr>
                <w:rFonts w:ascii="Arial"/>
                <w:w w:val="90"/>
                <w:sz w:val="18"/>
              </w:rPr>
              <w:t>7.60%</w:t>
            </w:r>
            <w:r>
              <w:rPr>
                <w:rFonts w:ascii="Arial"/>
                <w:sz w:val="18"/>
              </w:rPr>
            </w:r>
          </w:p>
        </w:tc>
        <w:tc>
          <w:tcPr>
            <w:tcW w:w="316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45"/>
              <w:ind w:right="106"/>
              <w:jc w:val="right"/>
              <w:rPr>
                <w:rFonts w:ascii="Arial" w:hAnsi="Arial" w:cs="Arial" w:eastAsia="Arial" w:hint="default"/>
                <w:sz w:val="18"/>
                <w:szCs w:val="18"/>
              </w:rPr>
            </w:pPr>
            <w:r>
              <w:rPr>
                <w:rFonts w:ascii="Arial"/>
                <w:spacing w:val="-1"/>
                <w:w w:val="80"/>
                <w:sz w:val="18"/>
              </w:rPr>
              <w:t>926,890</w:t>
            </w:r>
            <w:r>
              <w:rPr>
                <w:rFonts w:ascii="Arial"/>
                <w:spacing w:val="-1"/>
                <w:sz w:val="18"/>
              </w:rPr>
            </w:r>
          </w:p>
        </w:tc>
      </w:tr>
    </w:tbl>
    <w:p>
      <w:pPr>
        <w:spacing w:after="0" w:line="240" w:lineRule="auto"/>
        <w:jc w:val="right"/>
        <w:rPr>
          <w:rFonts w:ascii="Arial" w:hAnsi="Arial" w:cs="Arial" w:eastAsia="Arial" w:hint="default"/>
          <w:sz w:val="18"/>
          <w:szCs w:val="18"/>
        </w:rPr>
        <w:sectPr>
          <w:pgSz w:w="11910" w:h="16840"/>
          <w:pgMar w:header="877" w:footer="982" w:top="1100" w:bottom="1180" w:left="880" w:right="0"/>
        </w:sectPr>
      </w:pPr>
    </w:p>
    <w:p>
      <w:pPr>
        <w:spacing w:line="240" w:lineRule="auto" w:before="6"/>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3181"/>
        <w:gridCol w:w="3524"/>
        <w:gridCol w:w="3163"/>
      </w:tblGrid>
      <w:tr>
        <w:trPr>
          <w:trHeight w:val="359" w:hRule="exact"/>
        </w:trPr>
        <w:tc>
          <w:tcPr>
            <w:tcW w:w="3181" w:type="dxa"/>
            <w:vMerge w:val="restart"/>
            <w:tcBorders>
              <w:top w:val="single" w:sz="12" w:space="0" w:color="000000"/>
              <w:left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交易方</w:t>
            </w:r>
          </w:p>
        </w:tc>
        <w:tc>
          <w:tcPr>
            <w:tcW w:w="35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sz w:val="18"/>
                <w:szCs w:val="18"/>
              </w:rPr>
              <w:t>占发行股份总数比例</w:t>
            </w:r>
          </w:p>
        </w:tc>
        <w:tc>
          <w:tcPr>
            <w:tcW w:w="3163" w:type="dxa"/>
            <w:vMerge w:val="restart"/>
            <w:tcBorders>
              <w:top w:val="single" w:sz="12" w:space="0" w:color="000000"/>
              <w:left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补偿股份数</w:t>
            </w:r>
          </w:p>
        </w:tc>
      </w:tr>
      <w:tr>
        <w:trPr>
          <w:trHeight w:val="350" w:hRule="exact"/>
        </w:trPr>
        <w:tc>
          <w:tcPr>
            <w:tcW w:w="3181" w:type="dxa"/>
            <w:vMerge/>
            <w:tcBorders>
              <w:left w:val="nil" w:sz="6" w:space="0" w:color="auto"/>
              <w:bottom w:val="single" w:sz="4" w:space="0" w:color="000000"/>
              <w:right w:val="single" w:sz="4" w:space="0" w:color="000000"/>
            </w:tcBorders>
          </w:tcPr>
          <w:p>
            <w:pPr/>
          </w:p>
        </w:tc>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sz w:val="18"/>
                <w:szCs w:val="18"/>
              </w:rPr>
              <w:t>（本次回购承担比例）</w:t>
            </w:r>
          </w:p>
        </w:tc>
        <w:tc>
          <w:tcPr>
            <w:tcW w:w="3163" w:type="dxa"/>
            <w:vMerge/>
            <w:tcBorders>
              <w:left w:val="single" w:sz="4" w:space="0" w:color="000000"/>
              <w:bottom w:val="single" w:sz="4" w:space="0" w:color="000000"/>
              <w:right w:val="nil" w:sz="6" w:space="0" w:color="auto"/>
            </w:tcBorders>
          </w:tcPr>
          <w:p>
            <w:pPr/>
          </w:p>
        </w:tc>
      </w:tr>
      <w:tr>
        <w:trPr>
          <w:trHeight w:val="350" w:hRule="exact"/>
        </w:trPr>
        <w:tc>
          <w:tcPr>
            <w:tcW w:w="318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毛智才</w:t>
            </w:r>
          </w:p>
        </w:tc>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Arial" w:hAnsi="Arial" w:cs="Arial" w:eastAsia="Arial" w:hint="default"/>
                <w:sz w:val="18"/>
                <w:szCs w:val="18"/>
              </w:rPr>
            </w:pPr>
            <w:r>
              <w:rPr>
                <w:rFonts w:ascii="Arial"/>
                <w:w w:val="90"/>
                <w:sz w:val="18"/>
              </w:rPr>
              <w:t>2.43%</w:t>
            </w:r>
            <w:r>
              <w:rPr>
                <w:rFonts w:ascii="Arial"/>
                <w:sz w:val="18"/>
              </w:rPr>
            </w:r>
          </w:p>
        </w:tc>
        <w:tc>
          <w:tcPr>
            <w:tcW w:w="316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Arial" w:hAnsi="Arial" w:cs="Arial" w:eastAsia="Arial" w:hint="default"/>
                <w:sz w:val="18"/>
                <w:szCs w:val="18"/>
              </w:rPr>
            </w:pPr>
            <w:r>
              <w:rPr>
                <w:rFonts w:ascii="Arial"/>
                <w:spacing w:val="-1"/>
                <w:w w:val="80"/>
                <w:sz w:val="18"/>
              </w:rPr>
              <w:t>296,361</w:t>
            </w:r>
            <w:r>
              <w:rPr>
                <w:rFonts w:ascii="Arial"/>
                <w:spacing w:val="-1"/>
                <w:sz w:val="18"/>
              </w:rPr>
            </w:r>
          </w:p>
        </w:tc>
      </w:tr>
      <w:tr>
        <w:trPr>
          <w:trHeight w:val="359" w:hRule="exact"/>
        </w:trPr>
        <w:tc>
          <w:tcPr>
            <w:tcW w:w="318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5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2"/>
              <w:ind w:right="0"/>
              <w:jc w:val="center"/>
              <w:rPr>
                <w:rFonts w:ascii="Arial" w:hAnsi="Arial" w:cs="Arial" w:eastAsia="Arial" w:hint="default"/>
                <w:sz w:val="18"/>
                <w:szCs w:val="18"/>
              </w:rPr>
            </w:pPr>
            <w:r>
              <w:rPr>
                <w:rFonts w:ascii="Arial"/>
                <w:w w:val="90"/>
                <w:sz w:val="18"/>
              </w:rPr>
              <w:t>100.00%</w:t>
            </w:r>
            <w:r>
              <w:rPr>
                <w:rFonts w:ascii="Arial"/>
                <w:sz w:val="18"/>
              </w:rPr>
            </w:r>
          </w:p>
        </w:tc>
        <w:tc>
          <w:tcPr>
            <w:tcW w:w="316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62"/>
              <w:ind w:right="106"/>
              <w:jc w:val="right"/>
              <w:rPr>
                <w:rFonts w:ascii="Arial" w:hAnsi="Arial" w:cs="Arial" w:eastAsia="Arial" w:hint="default"/>
                <w:sz w:val="18"/>
                <w:szCs w:val="18"/>
              </w:rPr>
            </w:pPr>
            <w:r>
              <w:rPr>
                <w:rFonts w:ascii="Arial"/>
                <w:spacing w:val="-1"/>
                <w:w w:val="80"/>
                <w:sz w:val="18"/>
              </w:rPr>
              <w:t>12,195,924</w:t>
            </w:r>
            <w:r>
              <w:rPr>
                <w:rFonts w:ascii="Arial"/>
                <w:spacing w:val="-1"/>
                <w:sz w:val="18"/>
              </w:rPr>
            </w:r>
          </w:p>
        </w:tc>
      </w:tr>
    </w:tbl>
    <w:p>
      <w:pPr>
        <w:pStyle w:val="BodyText"/>
        <w:spacing w:line="408" w:lineRule="auto" w:before="63"/>
        <w:ind w:left="253" w:right="1022" w:firstLine="420"/>
        <w:jc w:val="left"/>
      </w:pPr>
      <w:r>
        <w:rPr/>
        <w:t>公司在申请办理上述股份回购注销过程中获悉，部分补偿义务人的股份处于质押状态，根据中国登记 </w:t>
      </w:r>
      <w:r>
        <w:rPr>
          <w:spacing w:val="-3"/>
        </w:rPr>
        <w:t>结算有限公司的规定，质押股份无法办理回购注销，经公司与相关补偿义务人督促沟通，陈兆滨、鲁武英、</w:t>
      </w:r>
      <w:r>
        <w:rPr>
          <w:spacing w:val="-96"/>
        </w:rPr>
        <w:t> </w:t>
      </w:r>
      <w:r>
        <w:rPr>
          <w:spacing w:val="-96"/>
        </w:rPr>
      </w:r>
      <w:r>
        <w:rPr/>
        <w:t>毛智才已完成了股票解除质押手续并将回购注销手续移交给公司。补偿义务人毛智才于2019年10月9日向</w:t>
      </w:r>
      <w:r>
        <w:rPr>
          <w:spacing w:val="-36"/>
        </w:rPr>
        <w:t> </w:t>
      </w:r>
      <w:r>
        <w:rPr>
          <w:spacing w:val="-36"/>
        </w:rPr>
      </w:r>
      <w:r>
        <w:rPr/>
        <w:t>公司出具其与陈兆滨签订的《关于北京畅元国讯科技有限公司业绩未达标触发对厦门安妮股份有限公司业</w:t>
      </w:r>
      <w:r>
        <w:rPr/>
        <w:t> </w:t>
      </w:r>
      <w:r>
        <w:rPr>
          <w:spacing w:val="-3"/>
        </w:rPr>
        <w:t>绩补偿的补充协议》（以下简称“代偿协议”），毛智才应补偿的股份数中的30,658股由陈兆滨代为补偿，</w:t>
      </w:r>
      <w:r>
        <w:rPr>
          <w:spacing w:val="-85"/>
        </w:rPr>
        <w:t> </w:t>
      </w:r>
      <w:r>
        <w:rPr>
          <w:spacing w:val="-85"/>
        </w:rPr>
      </w:r>
      <w:r>
        <w:rPr/>
        <w:t>剩余265,703股由毛智才自行承担。根据《购买协议》第7.8条的约定：“各方同意并确认，补偿义务人应</w:t>
      </w:r>
      <w:r>
        <w:rPr/>
        <w:t> 分别、独立地承担本条约约定的补偿金额或回购金额；但是补偿义务人整体应就其在本第七条项下的承诺 补偿义务和股权回购义务对甲方承担连带责任。”上述《代偿协议》视为陈兆滨主动为毛智才承担补偿和 股权回购义务连带责任的行为。毛智才已将应补偿的265,703股移交给公司，陈兆滨已依据代偿协议将其</w:t>
      </w:r>
      <w:r>
        <w:rPr>
          <w:spacing w:val="-39"/>
        </w:rPr>
        <w:t> </w:t>
      </w:r>
      <w:r>
        <w:rPr>
          <w:spacing w:val="-39"/>
        </w:rPr>
      </w:r>
      <w:r>
        <w:rPr/>
        <w:t>应代偿的股份办理解除质押手续并移交公司。因此，公司本次先行实施回购注销上述三人的股份，其中： 陈兆滨1,402,699股，鲁武英926,890股，毛智才265,703股，合计2,595,292股。经中国证券登记结算有限</w:t>
      </w:r>
      <w:r>
        <w:rPr/>
        <w:t> 责任公司深圳分公司审核确认，上述回购注销事宜已于2019年10月23日完成办理。 </w:t>
      </w:r>
    </w:p>
    <w:p>
      <w:pPr>
        <w:pStyle w:val="BodyText"/>
        <w:spacing w:line="408" w:lineRule="auto"/>
        <w:ind w:left="253" w:right="1013" w:firstLine="420"/>
        <w:jc w:val="left"/>
      </w:pPr>
      <w:r>
        <w:rPr>
          <w:spacing w:val="-3"/>
        </w:rPr>
        <w:t>公司2019年11月12日完成办理注销雷建6,719,032股，江勇114,642股，合计6,833,674股，分别为2017</w:t>
      </w:r>
      <w:r>
        <w:rPr/>
        <w:t> 年业绩承诺赔偿股份3,731,032.00股，2018年业绩承诺赔偿股份3,102,642.00股。 </w:t>
      </w:r>
    </w:p>
    <w:p>
      <w:pPr>
        <w:pStyle w:val="BodyText"/>
        <w:spacing w:line="240" w:lineRule="auto"/>
        <w:ind w:left="673" w:right="1013"/>
        <w:jc w:val="left"/>
      </w:pPr>
      <w:r>
        <w:rPr>
          <w:spacing w:val="-3"/>
        </w:rPr>
        <w:t>2019年11月21日完成2018年业绩赔偿剩余股份6,497,988.00股的注销，自此，公司已全部完成2017年、</w:t>
      </w:r>
    </w:p>
    <w:p>
      <w:pPr>
        <w:spacing w:line="240" w:lineRule="auto" w:before="10"/>
        <w:rPr>
          <w:rFonts w:ascii="宋体" w:hAnsi="宋体" w:cs="宋体" w:eastAsia="宋体" w:hint="default"/>
          <w:sz w:val="14"/>
          <w:szCs w:val="14"/>
        </w:rPr>
      </w:pPr>
    </w:p>
    <w:p>
      <w:pPr>
        <w:pStyle w:val="BodyText"/>
        <w:spacing w:line="240" w:lineRule="auto" w:before="0"/>
        <w:ind w:left="254" w:right="1013" w:hanging="1"/>
        <w:jc w:val="left"/>
      </w:pPr>
      <w:r>
        <w:rPr/>
        <w:t>2018年业绩未完成赔偿股份的注销事宜。 </w:t>
      </w:r>
    </w:p>
    <w:p>
      <w:pPr>
        <w:spacing w:line="240" w:lineRule="auto" w:before="0"/>
        <w:rPr>
          <w:rFonts w:ascii="宋体" w:hAnsi="宋体" w:cs="宋体" w:eastAsia="宋体" w:hint="default"/>
          <w:sz w:val="20"/>
          <w:szCs w:val="20"/>
        </w:rPr>
      </w:pPr>
    </w:p>
    <w:p>
      <w:pPr>
        <w:pStyle w:val="Heading2"/>
        <w:spacing w:line="240" w:lineRule="auto" w:before="131"/>
        <w:ind w:left="254" w:right="1013"/>
        <w:jc w:val="left"/>
        <w:rPr>
          <w:b w:val="0"/>
          <w:bCs w:val="0"/>
        </w:rPr>
      </w:pPr>
      <w:r>
        <w:rPr/>
        <w:t>十七、母公司财务报表主要项目注释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54" w:right="1013"/>
        <w:jc w:val="left"/>
        <w:rPr>
          <w:b w:val="0"/>
          <w:bCs w:val="0"/>
        </w:rPr>
      </w:pPr>
      <w:r>
        <w:rPr>
          <w:rFonts w:ascii="Times New Roman" w:hAnsi="Times New Roman" w:cs="Times New Roman" w:eastAsia="Times New Roman" w:hint="default"/>
        </w:rPr>
        <w:t>1</w:t>
      </w:r>
      <w:r>
        <w:rPr/>
        <w:t>、应收账款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54" w:right="1013"/>
        <w:jc w:val="left"/>
        <w:rPr>
          <w:b w:val="0"/>
          <w:bCs w:val="0"/>
        </w:rPr>
      </w:pPr>
      <w:r>
        <w:rPr/>
        <w:t>（</w:t>
      </w:r>
      <w:r>
        <w:rPr>
          <w:rFonts w:ascii="Times New Roman" w:hAnsi="Times New Roman" w:cs="Times New Roman" w:eastAsia="Times New Roman" w:hint="default"/>
        </w:rPr>
        <w:t>1</w:t>
      </w:r>
      <w:r>
        <w:rPr/>
        <w:t>）应收账款分类披露</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4463"/>
        <w:gridCol w:w="1351"/>
        <w:gridCol w:w="1352"/>
        <w:gridCol w:w="1352"/>
        <w:gridCol w:w="1350"/>
      </w:tblGrid>
      <w:tr>
        <w:trPr>
          <w:trHeight w:val="343" w:hRule="exact"/>
        </w:trPr>
        <w:tc>
          <w:tcPr>
            <w:tcW w:w="4463" w:type="dxa"/>
            <w:vMerge w:val="restart"/>
            <w:tcBorders>
              <w:top w:val="single" w:sz="12"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08"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540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5"/>
              <w:ind w:left="83" w:right="0"/>
              <w:jc w:val="center"/>
              <w:rPr>
                <w:rFonts w:ascii="宋体" w:hAnsi="宋体" w:cs="宋体" w:eastAsia="宋体" w:hint="default"/>
                <w:sz w:val="18"/>
                <w:szCs w:val="18"/>
              </w:rPr>
            </w:pPr>
            <w:r>
              <w:rPr>
                <w:rFonts w:ascii="宋体" w:hAnsi="宋体" w:cs="宋体" w:eastAsia="宋体" w:hint="default"/>
                <w:sz w:val="18"/>
                <w:szCs w:val="18"/>
              </w:rPr>
              <w:t>期末数 </w:t>
            </w:r>
          </w:p>
        </w:tc>
      </w:tr>
      <w:tr>
        <w:trPr>
          <w:trHeight w:val="332" w:hRule="exact"/>
        </w:trPr>
        <w:tc>
          <w:tcPr>
            <w:tcW w:w="4463" w:type="dxa"/>
            <w:vMerge/>
            <w:tcBorders>
              <w:left w:val="nil" w:sz="6" w:space="0" w:color="auto"/>
              <w:right w:val="single" w:sz="4" w:space="0" w:color="000000"/>
            </w:tcBorders>
          </w:tcPr>
          <w:p>
            <w:pPr/>
          </w:p>
        </w:tc>
        <w:tc>
          <w:tcPr>
            <w:tcW w:w="27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86"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270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left="85" w:right="0"/>
              <w:jc w:val="center"/>
              <w:rPr>
                <w:rFonts w:ascii="宋体" w:hAnsi="宋体" w:cs="宋体" w:eastAsia="宋体" w:hint="default"/>
                <w:sz w:val="18"/>
                <w:szCs w:val="18"/>
              </w:rPr>
            </w:pPr>
            <w:r>
              <w:rPr>
                <w:rFonts w:ascii="宋体" w:hAnsi="宋体" w:cs="宋体" w:eastAsia="宋体" w:hint="default"/>
                <w:sz w:val="18"/>
                <w:szCs w:val="18"/>
              </w:rPr>
              <w:t>坏账准备 </w:t>
            </w:r>
          </w:p>
        </w:tc>
      </w:tr>
      <w:tr>
        <w:trPr>
          <w:trHeight w:val="334" w:hRule="exact"/>
        </w:trPr>
        <w:tc>
          <w:tcPr>
            <w:tcW w:w="4463" w:type="dxa"/>
            <w:vMerge/>
            <w:tcBorders>
              <w:left w:val="nil" w:sz="6" w:space="0" w:color="auto"/>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90"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89" w:right="0"/>
              <w:jc w:val="center"/>
              <w:rPr>
                <w:rFonts w:ascii="宋体" w:hAnsi="宋体" w:cs="宋体" w:eastAsia="宋体" w:hint="default"/>
                <w:sz w:val="18"/>
                <w:szCs w:val="18"/>
              </w:rPr>
            </w:pPr>
            <w:r>
              <w:rPr>
                <w:rFonts w:ascii="宋体" w:hAnsi="宋体" w:cs="宋体" w:eastAsia="宋体" w:hint="default"/>
                <w:sz w:val="18"/>
                <w:szCs w:val="18"/>
              </w:rPr>
              <w:t>比例(%)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90"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
              <w:ind w:left="85" w:right="0"/>
              <w:jc w:val="center"/>
              <w:rPr>
                <w:rFonts w:ascii="宋体" w:hAnsi="宋体" w:cs="宋体" w:eastAsia="宋体" w:hint="default"/>
                <w:sz w:val="18"/>
                <w:szCs w:val="18"/>
              </w:rPr>
            </w:pPr>
            <w:r>
              <w:rPr>
                <w:rFonts w:ascii="宋体" w:hAnsi="宋体" w:cs="宋体" w:eastAsia="宋体" w:hint="default"/>
                <w:sz w:val="18"/>
                <w:szCs w:val="18"/>
              </w:rPr>
              <w:t>比例(%) </w:t>
            </w:r>
          </w:p>
        </w:tc>
      </w:tr>
      <w:tr>
        <w:trPr>
          <w:trHeight w:val="33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spacing w:val="-1"/>
                <w:w w:val="80"/>
                <w:sz w:val="18"/>
              </w:rPr>
              <w:t>1,330,284.08</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Arial" w:hAnsi="Arial" w:cs="Arial" w:eastAsia="Arial" w:hint="default"/>
                <w:sz w:val="18"/>
                <w:szCs w:val="18"/>
              </w:rPr>
            </w:pPr>
            <w:r>
              <w:rPr>
                <w:rFonts w:ascii="Arial"/>
                <w:w w:val="90"/>
                <w:sz w:val="18"/>
              </w:rPr>
              <w:t>3.14</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Arial" w:hAnsi="Arial" w:cs="Arial" w:eastAsia="Arial" w:hint="default"/>
                <w:sz w:val="18"/>
                <w:szCs w:val="18"/>
              </w:rPr>
            </w:pPr>
            <w:r>
              <w:rPr>
                <w:rFonts w:ascii="Arial"/>
                <w:spacing w:val="-1"/>
                <w:w w:val="80"/>
                <w:sz w:val="18"/>
              </w:rPr>
              <w:t>1,330,284.08</w:t>
            </w:r>
            <w:r>
              <w:rPr>
                <w:rFonts w:ascii="Arial"/>
                <w:sz w:val="18"/>
              </w:rPr>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6"/>
              <w:jc w:val="center"/>
              <w:rPr>
                <w:rFonts w:ascii="Arial" w:hAnsi="Arial" w:cs="Arial" w:eastAsia="Arial" w:hint="default"/>
                <w:sz w:val="18"/>
                <w:szCs w:val="18"/>
              </w:rPr>
            </w:pPr>
            <w:r>
              <w:rPr>
                <w:rFonts w:ascii="Arial"/>
                <w:w w:val="90"/>
                <w:sz w:val="18"/>
              </w:rPr>
              <w:t>100.00</w:t>
            </w:r>
            <w:r>
              <w:rPr>
                <w:rFonts w:ascii="Arial"/>
                <w:sz w:val="18"/>
              </w:rPr>
            </w:r>
          </w:p>
        </w:tc>
      </w:tr>
      <w:tr>
        <w:trPr>
          <w:trHeight w:val="334"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按信用风险特征组合计提坏账准备的应收账款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w w:val="80"/>
                <w:sz w:val="18"/>
              </w:rPr>
              <w:t>40,991,765.80</w:t>
            </w:r>
            <w:r>
              <w:rPr>
                <w:rFonts w:ascii="Arial"/>
                <w:spacing w:val="-1"/>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Arial" w:hAnsi="Arial" w:cs="Arial" w:eastAsia="Arial" w:hint="default"/>
                <w:sz w:val="18"/>
                <w:szCs w:val="18"/>
              </w:rPr>
            </w:pPr>
            <w:r>
              <w:rPr>
                <w:rFonts w:ascii="Arial"/>
                <w:w w:val="90"/>
                <w:sz w:val="18"/>
              </w:rPr>
              <w:t>96.86</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2"/>
              <w:jc w:val="right"/>
              <w:rPr>
                <w:rFonts w:ascii="Arial" w:hAnsi="Arial" w:cs="Arial" w:eastAsia="Arial" w:hint="default"/>
                <w:sz w:val="18"/>
                <w:szCs w:val="18"/>
              </w:rPr>
            </w:pPr>
            <w:r>
              <w:rPr>
                <w:rFonts w:ascii="Arial"/>
                <w:spacing w:val="-1"/>
                <w:w w:val="80"/>
                <w:sz w:val="18"/>
              </w:rPr>
              <w:t>257,888.45</w:t>
            </w:r>
            <w:r>
              <w:rPr>
                <w:rFonts w:ascii="Arial"/>
                <w:spacing w:val="-1"/>
                <w:sz w:val="18"/>
              </w:rPr>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5"/>
              <w:ind w:right="4"/>
              <w:jc w:val="center"/>
              <w:rPr>
                <w:rFonts w:ascii="Arial" w:hAnsi="Arial" w:cs="Arial" w:eastAsia="Arial" w:hint="default"/>
                <w:sz w:val="18"/>
                <w:szCs w:val="18"/>
              </w:rPr>
            </w:pPr>
            <w:r>
              <w:rPr>
                <w:rFonts w:ascii="Arial"/>
                <w:w w:val="90"/>
                <w:sz w:val="18"/>
              </w:rPr>
              <w:t>0.63</w:t>
            </w:r>
            <w:r>
              <w:rPr>
                <w:rFonts w:ascii="Arial"/>
                <w:sz w:val="18"/>
              </w:rPr>
            </w:r>
          </w:p>
        </w:tc>
      </w:tr>
      <w:tr>
        <w:trPr>
          <w:trHeight w:val="33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1：应收其他款项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spacing w:val="-1"/>
                <w:w w:val="80"/>
                <w:sz w:val="18"/>
              </w:rPr>
              <w:t>2,068,979.68</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Arial" w:hAnsi="Arial" w:cs="Arial" w:eastAsia="Arial" w:hint="default"/>
                <w:sz w:val="18"/>
                <w:szCs w:val="18"/>
              </w:rPr>
            </w:pPr>
            <w:r>
              <w:rPr>
                <w:rFonts w:ascii="Arial"/>
                <w:w w:val="90"/>
                <w:sz w:val="18"/>
              </w:rPr>
              <w:t>4.89</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Arial" w:hAnsi="Arial" w:cs="Arial" w:eastAsia="Arial" w:hint="default"/>
                <w:sz w:val="18"/>
                <w:szCs w:val="18"/>
              </w:rPr>
            </w:pPr>
            <w:r>
              <w:rPr>
                <w:rFonts w:ascii="Arial"/>
                <w:spacing w:val="-1"/>
                <w:w w:val="80"/>
                <w:sz w:val="18"/>
              </w:rPr>
              <w:t>257,888.45</w:t>
            </w:r>
            <w:r>
              <w:rPr>
                <w:rFonts w:ascii="Arial"/>
                <w:spacing w:val="-1"/>
                <w:sz w:val="18"/>
              </w:rPr>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5"/>
              <w:jc w:val="center"/>
              <w:rPr>
                <w:rFonts w:ascii="Arial" w:hAnsi="Arial" w:cs="Arial" w:eastAsia="Arial" w:hint="default"/>
                <w:sz w:val="18"/>
                <w:szCs w:val="18"/>
              </w:rPr>
            </w:pPr>
            <w:r>
              <w:rPr>
                <w:rFonts w:ascii="Arial"/>
                <w:w w:val="90"/>
                <w:sz w:val="18"/>
              </w:rPr>
              <w:t>12.46</w:t>
            </w:r>
            <w:r>
              <w:rPr>
                <w:rFonts w:ascii="Arial"/>
                <w:sz w:val="18"/>
              </w:rPr>
            </w:r>
          </w:p>
        </w:tc>
      </w:tr>
      <w:tr>
        <w:trPr>
          <w:trHeight w:val="344" w:hRule="exact"/>
        </w:trPr>
        <w:tc>
          <w:tcPr>
            <w:tcW w:w="446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2：合并范围内关联方往来 </w:t>
            </w:r>
          </w:p>
        </w:tc>
        <w:tc>
          <w:tcPr>
            <w:tcW w:w="13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w w:val="80"/>
                <w:sz w:val="18"/>
              </w:rPr>
              <w:t>38,922,786.12</w:t>
            </w:r>
            <w:r>
              <w:rPr>
                <w:rFonts w:ascii="Arial"/>
                <w:spacing w:val="-1"/>
                <w:sz w:val="18"/>
              </w:rPr>
            </w:r>
          </w:p>
        </w:tc>
        <w:tc>
          <w:tcPr>
            <w:tcW w:w="13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5"/>
              <w:ind w:right="1"/>
              <w:jc w:val="center"/>
              <w:rPr>
                <w:rFonts w:ascii="Arial" w:hAnsi="Arial" w:cs="Arial" w:eastAsia="Arial" w:hint="default"/>
                <w:sz w:val="18"/>
                <w:szCs w:val="18"/>
              </w:rPr>
            </w:pPr>
            <w:r>
              <w:rPr>
                <w:rFonts w:ascii="Arial"/>
                <w:w w:val="90"/>
                <w:sz w:val="18"/>
              </w:rPr>
              <w:t>91.97</w:t>
            </w:r>
            <w:r>
              <w:rPr>
                <w:rFonts w:ascii="Arial"/>
                <w:sz w:val="18"/>
              </w:rPr>
            </w:r>
          </w:p>
        </w:tc>
        <w:tc>
          <w:tcPr>
            <w:tcW w:w="1352" w:type="dxa"/>
            <w:tcBorders>
              <w:top w:val="single" w:sz="4" w:space="0" w:color="000000"/>
              <w:left w:val="single" w:sz="4" w:space="0" w:color="000000"/>
              <w:bottom w:val="single" w:sz="12" w:space="0" w:color="000000"/>
              <w:right w:val="single" w:sz="4" w:space="0" w:color="000000"/>
            </w:tcBorders>
          </w:tcPr>
          <w:p>
            <w:pPr/>
          </w:p>
        </w:tc>
        <w:tc>
          <w:tcPr>
            <w:tcW w:w="1350" w:type="dxa"/>
            <w:tcBorders>
              <w:top w:val="single" w:sz="4" w:space="0" w:color="000000"/>
              <w:left w:val="single" w:sz="4" w:space="0" w:color="000000"/>
              <w:bottom w:val="single" w:sz="12" w:space="0" w:color="000000"/>
              <w:right w:val="nil" w:sz="6" w:space="0" w:color="auto"/>
            </w:tcBorders>
          </w:tcPr>
          <w:p>
            <w:pPr/>
          </w:p>
        </w:tc>
      </w:tr>
    </w:tbl>
    <w:p>
      <w:pPr>
        <w:spacing w:after="0"/>
        <w:sectPr>
          <w:pgSz w:w="11910" w:h="16840"/>
          <w:pgMar w:header="877" w:footer="982" w:top="1100" w:bottom="1180" w:left="880" w:right="0"/>
        </w:sectPr>
      </w:pPr>
    </w:p>
    <w:p>
      <w:pPr>
        <w:spacing w:line="240" w:lineRule="auto" w:before="6"/>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4463"/>
        <w:gridCol w:w="1351"/>
        <w:gridCol w:w="1352"/>
        <w:gridCol w:w="1352"/>
        <w:gridCol w:w="1350"/>
      </w:tblGrid>
      <w:tr>
        <w:trPr>
          <w:trHeight w:val="343" w:hRule="exact"/>
        </w:trPr>
        <w:tc>
          <w:tcPr>
            <w:tcW w:w="4463" w:type="dxa"/>
            <w:vMerge w:val="restart"/>
            <w:tcBorders>
              <w:top w:val="single" w:sz="12"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08"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540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5"/>
              <w:ind w:left="83" w:right="0"/>
              <w:jc w:val="center"/>
              <w:rPr>
                <w:rFonts w:ascii="宋体" w:hAnsi="宋体" w:cs="宋体" w:eastAsia="宋体" w:hint="default"/>
                <w:sz w:val="18"/>
                <w:szCs w:val="18"/>
              </w:rPr>
            </w:pPr>
            <w:r>
              <w:rPr>
                <w:rFonts w:ascii="宋体" w:hAnsi="宋体" w:cs="宋体" w:eastAsia="宋体" w:hint="default"/>
                <w:sz w:val="18"/>
                <w:szCs w:val="18"/>
              </w:rPr>
              <w:t>期末数 </w:t>
            </w:r>
          </w:p>
        </w:tc>
      </w:tr>
      <w:tr>
        <w:trPr>
          <w:trHeight w:val="334" w:hRule="exact"/>
        </w:trPr>
        <w:tc>
          <w:tcPr>
            <w:tcW w:w="4463" w:type="dxa"/>
            <w:vMerge/>
            <w:tcBorders>
              <w:left w:val="nil" w:sz="6" w:space="0" w:color="auto"/>
              <w:right w:val="single" w:sz="4" w:space="0" w:color="000000"/>
            </w:tcBorders>
          </w:tcPr>
          <w:p>
            <w:pPr/>
          </w:p>
        </w:tc>
        <w:tc>
          <w:tcPr>
            <w:tcW w:w="27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86"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270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left="85" w:right="0"/>
              <w:jc w:val="center"/>
              <w:rPr>
                <w:rFonts w:ascii="宋体" w:hAnsi="宋体" w:cs="宋体" w:eastAsia="宋体" w:hint="default"/>
                <w:sz w:val="18"/>
                <w:szCs w:val="18"/>
              </w:rPr>
            </w:pPr>
            <w:r>
              <w:rPr>
                <w:rFonts w:ascii="宋体" w:hAnsi="宋体" w:cs="宋体" w:eastAsia="宋体" w:hint="default"/>
                <w:sz w:val="18"/>
                <w:szCs w:val="18"/>
              </w:rPr>
              <w:t>坏账准备 </w:t>
            </w:r>
          </w:p>
        </w:tc>
      </w:tr>
      <w:tr>
        <w:trPr>
          <w:trHeight w:val="332" w:hRule="exact"/>
        </w:trPr>
        <w:tc>
          <w:tcPr>
            <w:tcW w:w="4463" w:type="dxa"/>
            <w:vMerge/>
            <w:tcBorders>
              <w:left w:val="nil" w:sz="6" w:space="0" w:color="auto"/>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90"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89" w:right="0"/>
              <w:jc w:val="center"/>
              <w:rPr>
                <w:rFonts w:ascii="宋体" w:hAnsi="宋体" w:cs="宋体" w:eastAsia="宋体" w:hint="default"/>
                <w:sz w:val="18"/>
                <w:szCs w:val="18"/>
              </w:rPr>
            </w:pPr>
            <w:r>
              <w:rPr>
                <w:rFonts w:ascii="宋体" w:hAnsi="宋体" w:cs="宋体" w:eastAsia="宋体" w:hint="default"/>
                <w:sz w:val="18"/>
                <w:szCs w:val="18"/>
              </w:rPr>
              <w:t>比例(%)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90"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left="85" w:right="0"/>
              <w:jc w:val="center"/>
              <w:rPr>
                <w:rFonts w:ascii="宋体" w:hAnsi="宋体" w:cs="宋体" w:eastAsia="宋体" w:hint="default"/>
                <w:sz w:val="18"/>
                <w:szCs w:val="18"/>
              </w:rPr>
            </w:pPr>
            <w:r>
              <w:rPr>
                <w:rFonts w:ascii="宋体" w:hAnsi="宋体" w:cs="宋体" w:eastAsia="宋体" w:hint="default"/>
                <w:sz w:val="18"/>
                <w:szCs w:val="18"/>
              </w:rPr>
              <w:t>比例(%) </w:t>
            </w:r>
          </w:p>
        </w:tc>
      </w:tr>
      <w:tr>
        <w:trPr>
          <w:trHeight w:val="334"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组合小计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w w:val="80"/>
                <w:sz w:val="18"/>
              </w:rPr>
              <w:t>40,991,765.80</w:t>
            </w:r>
            <w:r>
              <w:rPr>
                <w:rFonts w:ascii="Arial"/>
                <w:spacing w:val="-1"/>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Arial" w:hAnsi="Arial" w:cs="Arial" w:eastAsia="Arial" w:hint="default"/>
                <w:sz w:val="18"/>
                <w:szCs w:val="18"/>
              </w:rPr>
            </w:pPr>
            <w:r>
              <w:rPr>
                <w:rFonts w:ascii="Arial"/>
                <w:w w:val="90"/>
                <w:sz w:val="18"/>
              </w:rPr>
              <w:t>96.86</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2"/>
              <w:jc w:val="right"/>
              <w:rPr>
                <w:rFonts w:ascii="Arial" w:hAnsi="Arial" w:cs="Arial" w:eastAsia="Arial" w:hint="default"/>
                <w:sz w:val="18"/>
                <w:szCs w:val="18"/>
              </w:rPr>
            </w:pPr>
            <w:r>
              <w:rPr>
                <w:rFonts w:ascii="Arial"/>
                <w:spacing w:val="-1"/>
                <w:w w:val="80"/>
                <w:sz w:val="18"/>
              </w:rPr>
              <w:t>257,888.45</w:t>
            </w:r>
            <w:r>
              <w:rPr>
                <w:rFonts w:ascii="Arial"/>
                <w:spacing w:val="-1"/>
                <w:sz w:val="18"/>
              </w:rPr>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5"/>
              <w:ind w:right="4"/>
              <w:jc w:val="center"/>
              <w:rPr>
                <w:rFonts w:ascii="Arial" w:hAnsi="Arial" w:cs="Arial" w:eastAsia="Arial" w:hint="default"/>
                <w:sz w:val="18"/>
                <w:szCs w:val="18"/>
              </w:rPr>
            </w:pPr>
            <w:r>
              <w:rPr>
                <w:rFonts w:ascii="Arial"/>
                <w:w w:val="90"/>
                <w:sz w:val="18"/>
              </w:rPr>
              <w:t>0.63</w:t>
            </w:r>
            <w:r>
              <w:rPr>
                <w:rFonts w:ascii="Arial"/>
                <w:sz w:val="18"/>
              </w:rPr>
            </w:r>
          </w:p>
        </w:tc>
      </w:tr>
      <w:tr>
        <w:trPr>
          <w:trHeight w:val="343" w:hRule="exact"/>
        </w:trPr>
        <w:tc>
          <w:tcPr>
            <w:tcW w:w="446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5"/>
              <w:ind w:left="10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13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w w:val="80"/>
                <w:sz w:val="18"/>
              </w:rPr>
              <w:t>42,322,049.88</w:t>
            </w:r>
            <w:r>
              <w:rPr>
                <w:rFonts w:ascii="Arial"/>
                <w:spacing w:val="-1"/>
                <w:sz w:val="18"/>
              </w:rPr>
            </w:r>
          </w:p>
        </w:tc>
        <w:tc>
          <w:tcPr>
            <w:tcW w:w="1352" w:type="dxa"/>
            <w:tcBorders>
              <w:top w:val="single" w:sz="4" w:space="0" w:color="000000"/>
              <w:left w:val="single" w:sz="4" w:space="0" w:color="000000"/>
              <w:bottom w:val="single" w:sz="12" w:space="0" w:color="000000"/>
              <w:right w:val="single" w:sz="4" w:space="0" w:color="000000"/>
            </w:tcBorders>
          </w:tcPr>
          <w:p>
            <w:pPr/>
          </w:p>
        </w:tc>
        <w:tc>
          <w:tcPr>
            <w:tcW w:w="13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4"/>
              <w:ind w:right="102"/>
              <w:jc w:val="right"/>
              <w:rPr>
                <w:rFonts w:ascii="Arial" w:hAnsi="Arial" w:cs="Arial" w:eastAsia="Arial" w:hint="default"/>
                <w:sz w:val="18"/>
                <w:szCs w:val="18"/>
              </w:rPr>
            </w:pPr>
            <w:r>
              <w:rPr>
                <w:rFonts w:ascii="Arial"/>
                <w:spacing w:val="-1"/>
                <w:w w:val="80"/>
                <w:sz w:val="18"/>
              </w:rPr>
              <w:t>1,588,172.53</w:t>
            </w:r>
            <w:r>
              <w:rPr>
                <w:rFonts w:ascii="Arial"/>
                <w:sz w:val="18"/>
              </w:rPr>
            </w:r>
          </w:p>
        </w:tc>
        <w:tc>
          <w:tcPr>
            <w:tcW w:w="135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4"/>
              <w:ind w:right="4"/>
              <w:jc w:val="center"/>
              <w:rPr>
                <w:rFonts w:ascii="Arial" w:hAnsi="Arial" w:cs="Arial" w:eastAsia="Arial" w:hint="default"/>
                <w:sz w:val="18"/>
                <w:szCs w:val="18"/>
              </w:rPr>
            </w:pPr>
            <w:r>
              <w:rPr>
                <w:rFonts w:ascii="Arial"/>
                <w:w w:val="90"/>
                <w:sz w:val="18"/>
              </w:rPr>
              <w:t>3.75</w:t>
            </w:r>
            <w:r>
              <w:rPr>
                <w:rFonts w:ascii="Arial"/>
                <w:sz w:val="18"/>
              </w:rPr>
            </w:r>
          </w:p>
        </w:tc>
      </w:tr>
    </w:tbl>
    <w:p>
      <w:pPr>
        <w:spacing w:line="240" w:lineRule="auto" w:before="1"/>
        <w:rPr>
          <w:rFonts w:ascii="宋体" w:hAnsi="宋体" w:cs="宋体" w:eastAsia="宋体" w:hint="default"/>
          <w:sz w:val="28"/>
          <w:szCs w:val="28"/>
        </w:rPr>
      </w:pPr>
    </w:p>
    <w:tbl>
      <w:tblPr>
        <w:tblW w:w="0" w:type="auto"/>
        <w:jc w:val="left"/>
        <w:tblInd w:w="116" w:type="dxa"/>
        <w:tblLayout w:type="fixed"/>
        <w:tblCellMar>
          <w:top w:w="0" w:type="dxa"/>
          <w:left w:w="0" w:type="dxa"/>
          <w:bottom w:w="0" w:type="dxa"/>
          <w:right w:w="0" w:type="dxa"/>
        </w:tblCellMar>
        <w:tblLook w:val="01E0"/>
      </w:tblPr>
      <w:tblGrid>
        <w:gridCol w:w="4463"/>
        <w:gridCol w:w="1351"/>
        <w:gridCol w:w="1352"/>
        <w:gridCol w:w="1352"/>
        <w:gridCol w:w="1350"/>
      </w:tblGrid>
      <w:tr>
        <w:trPr>
          <w:trHeight w:val="343" w:hRule="exact"/>
        </w:trPr>
        <w:tc>
          <w:tcPr>
            <w:tcW w:w="4463" w:type="dxa"/>
            <w:vMerge w:val="restart"/>
            <w:tcBorders>
              <w:top w:val="single" w:sz="12"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07"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540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5"/>
              <w:ind w:left="83" w:right="0"/>
              <w:jc w:val="center"/>
              <w:rPr>
                <w:rFonts w:ascii="宋体" w:hAnsi="宋体" w:cs="宋体" w:eastAsia="宋体" w:hint="default"/>
                <w:sz w:val="18"/>
                <w:szCs w:val="18"/>
              </w:rPr>
            </w:pPr>
            <w:r>
              <w:rPr>
                <w:rFonts w:ascii="宋体" w:hAnsi="宋体" w:cs="宋体" w:eastAsia="宋体" w:hint="default"/>
                <w:sz w:val="18"/>
                <w:szCs w:val="18"/>
              </w:rPr>
              <w:t>期初数 </w:t>
            </w:r>
          </w:p>
        </w:tc>
      </w:tr>
      <w:tr>
        <w:trPr>
          <w:trHeight w:val="332" w:hRule="exact"/>
        </w:trPr>
        <w:tc>
          <w:tcPr>
            <w:tcW w:w="4463" w:type="dxa"/>
            <w:vMerge/>
            <w:tcBorders>
              <w:left w:val="nil" w:sz="6" w:space="0" w:color="auto"/>
              <w:right w:val="single" w:sz="4" w:space="0" w:color="000000"/>
            </w:tcBorders>
          </w:tcPr>
          <w:p>
            <w:pPr/>
          </w:p>
        </w:tc>
        <w:tc>
          <w:tcPr>
            <w:tcW w:w="27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86"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270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left="85" w:right="0"/>
              <w:jc w:val="center"/>
              <w:rPr>
                <w:rFonts w:ascii="宋体" w:hAnsi="宋体" w:cs="宋体" w:eastAsia="宋体" w:hint="default"/>
                <w:sz w:val="18"/>
                <w:szCs w:val="18"/>
              </w:rPr>
            </w:pPr>
            <w:r>
              <w:rPr>
                <w:rFonts w:ascii="宋体" w:hAnsi="宋体" w:cs="宋体" w:eastAsia="宋体" w:hint="default"/>
                <w:sz w:val="18"/>
                <w:szCs w:val="18"/>
              </w:rPr>
              <w:t>坏账准备 </w:t>
            </w:r>
          </w:p>
        </w:tc>
      </w:tr>
      <w:tr>
        <w:trPr>
          <w:trHeight w:val="334" w:hRule="exact"/>
        </w:trPr>
        <w:tc>
          <w:tcPr>
            <w:tcW w:w="4463" w:type="dxa"/>
            <w:vMerge/>
            <w:tcBorders>
              <w:left w:val="nil" w:sz="6" w:space="0" w:color="auto"/>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90"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89" w:right="0"/>
              <w:jc w:val="center"/>
              <w:rPr>
                <w:rFonts w:ascii="宋体" w:hAnsi="宋体" w:cs="宋体" w:eastAsia="宋体" w:hint="default"/>
                <w:sz w:val="18"/>
                <w:szCs w:val="18"/>
              </w:rPr>
            </w:pPr>
            <w:r>
              <w:rPr>
                <w:rFonts w:ascii="宋体" w:hAnsi="宋体" w:cs="宋体" w:eastAsia="宋体" w:hint="default"/>
                <w:sz w:val="18"/>
                <w:szCs w:val="18"/>
              </w:rPr>
              <w:t>比例(%)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90" w:right="0"/>
              <w:jc w:val="left"/>
              <w:rPr>
                <w:rFonts w:ascii="宋体" w:hAnsi="宋体" w:cs="宋体" w:eastAsia="宋体" w:hint="default"/>
                <w:sz w:val="18"/>
                <w:szCs w:val="18"/>
              </w:rPr>
            </w:pPr>
            <w:r>
              <w:rPr>
                <w:rFonts w:ascii="宋体" w:hAnsi="宋体" w:cs="宋体" w:eastAsia="宋体" w:hint="default"/>
                <w:sz w:val="18"/>
                <w:szCs w:val="18"/>
              </w:rPr>
              <w:t>金额 </w:t>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
              <w:ind w:left="85" w:right="0"/>
              <w:jc w:val="center"/>
              <w:rPr>
                <w:rFonts w:ascii="宋体" w:hAnsi="宋体" w:cs="宋体" w:eastAsia="宋体" w:hint="default"/>
                <w:sz w:val="18"/>
                <w:szCs w:val="18"/>
              </w:rPr>
            </w:pPr>
            <w:r>
              <w:rPr>
                <w:rFonts w:ascii="宋体" w:hAnsi="宋体" w:cs="宋体" w:eastAsia="宋体" w:hint="default"/>
                <w:sz w:val="18"/>
                <w:szCs w:val="18"/>
              </w:rPr>
              <w:t>比例(%) </w:t>
            </w:r>
          </w:p>
        </w:tc>
      </w:tr>
      <w:tr>
        <w:trPr>
          <w:trHeight w:val="33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spacing w:val="-1"/>
                <w:w w:val="80"/>
                <w:sz w:val="18"/>
              </w:rPr>
              <w:t>1,333,610.97</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Arial" w:hAnsi="Arial" w:cs="Arial" w:eastAsia="Arial" w:hint="default"/>
                <w:sz w:val="18"/>
                <w:szCs w:val="18"/>
              </w:rPr>
            </w:pPr>
            <w:r>
              <w:rPr>
                <w:rFonts w:ascii="Arial"/>
                <w:w w:val="90"/>
                <w:sz w:val="18"/>
              </w:rPr>
              <w:t>2.93</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Arial" w:hAnsi="Arial" w:cs="Arial" w:eastAsia="Arial" w:hint="default"/>
                <w:sz w:val="18"/>
                <w:szCs w:val="18"/>
              </w:rPr>
            </w:pPr>
            <w:r>
              <w:rPr>
                <w:rFonts w:ascii="Arial"/>
                <w:spacing w:val="-1"/>
                <w:w w:val="80"/>
                <w:sz w:val="18"/>
              </w:rPr>
              <w:t>1,333,610.97</w:t>
            </w:r>
            <w:r>
              <w:rPr>
                <w:rFonts w:ascii="Arial"/>
                <w:sz w:val="18"/>
              </w:rPr>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6"/>
              <w:jc w:val="center"/>
              <w:rPr>
                <w:rFonts w:ascii="Arial" w:hAnsi="Arial" w:cs="Arial" w:eastAsia="Arial" w:hint="default"/>
                <w:sz w:val="18"/>
                <w:szCs w:val="18"/>
              </w:rPr>
            </w:pPr>
            <w:r>
              <w:rPr>
                <w:rFonts w:ascii="Arial"/>
                <w:w w:val="90"/>
                <w:sz w:val="18"/>
              </w:rPr>
              <w:t>100.00</w:t>
            </w:r>
            <w:r>
              <w:rPr>
                <w:rFonts w:ascii="Arial"/>
                <w:sz w:val="18"/>
              </w:rPr>
            </w:r>
          </w:p>
        </w:tc>
      </w:tr>
      <w:tr>
        <w:trPr>
          <w:trHeight w:val="334"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按信用风险特征组合计提坏账准备的应收账款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w w:val="80"/>
                <w:sz w:val="18"/>
              </w:rPr>
              <w:t>44,228,964.87</w:t>
            </w:r>
            <w:r>
              <w:rPr>
                <w:rFonts w:ascii="Arial"/>
                <w:spacing w:val="-1"/>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Arial" w:hAnsi="Arial" w:cs="Arial" w:eastAsia="Arial" w:hint="default"/>
                <w:sz w:val="18"/>
                <w:szCs w:val="18"/>
              </w:rPr>
            </w:pPr>
            <w:r>
              <w:rPr>
                <w:rFonts w:ascii="Arial"/>
                <w:w w:val="90"/>
                <w:sz w:val="18"/>
              </w:rPr>
              <w:t>97.07</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2"/>
              <w:jc w:val="right"/>
              <w:rPr>
                <w:rFonts w:ascii="Arial" w:hAnsi="Arial" w:cs="Arial" w:eastAsia="Arial" w:hint="default"/>
                <w:sz w:val="18"/>
                <w:szCs w:val="18"/>
              </w:rPr>
            </w:pPr>
            <w:r>
              <w:rPr>
                <w:rFonts w:ascii="Arial"/>
                <w:spacing w:val="-1"/>
                <w:w w:val="80"/>
                <w:sz w:val="18"/>
              </w:rPr>
              <w:t>339,263.59</w:t>
            </w:r>
            <w:r>
              <w:rPr>
                <w:rFonts w:ascii="Arial"/>
                <w:spacing w:val="-1"/>
                <w:sz w:val="18"/>
              </w:rPr>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5"/>
              <w:ind w:right="4"/>
              <w:jc w:val="center"/>
              <w:rPr>
                <w:rFonts w:ascii="Arial" w:hAnsi="Arial" w:cs="Arial" w:eastAsia="Arial" w:hint="default"/>
                <w:sz w:val="18"/>
                <w:szCs w:val="18"/>
              </w:rPr>
            </w:pPr>
            <w:r>
              <w:rPr>
                <w:rFonts w:ascii="Arial"/>
                <w:w w:val="90"/>
                <w:sz w:val="18"/>
              </w:rPr>
              <w:t>0.77</w:t>
            </w:r>
            <w:r>
              <w:rPr>
                <w:rFonts w:ascii="Arial"/>
                <w:sz w:val="18"/>
              </w:rPr>
            </w:r>
          </w:p>
        </w:tc>
      </w:tr>
      <w:tr>
        <w:trPr>
          <w:trHeight w:val="33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1：应收其他款项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spacing w:val="-1"/>
                <w:w w:val="80"/>
                <w:sz w:val="18"/>
              </w:rPr>
              <w:t>3,811,315.66</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Arial" w:hAnsi="Arial" w:cs="Arial" w:eastAsia="Arial" w:hint="default"/>
                <w:sz w:val="18"/>
                <w:szCs w:val="18"/>
              </w:rPr>
            </w:pPr>
            <w:r>
              <w:rPr>
                <w:rFonts w:ascii="Arial"/>
                <w:w w:val="90"/>
                <w:sz w:val="18"/>
              </w:rPr>
              <w:t>8.37</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Arial" w:hAnsi="Arial" w:cs="Arial" w:eastAsia="Arial" w:hint="default"/>
                <w:sz w:val="18"/>
                <w:szCs w:val="18"/>
              </w:rPr>
            </w:pPr>
            <w:r>
              <w:rPr>
                <w:rFonts w:ascii="Arial"/>
                <w:spacing w:val="-1"/>
                <w:w w:val="80"/>
                <w:sz w:val="18"/>
              </w:rPr>
              <w:t>339,263.59</w:t>
            </w:r>
            <w:r>
              <w:rPr>
                <w:rFonts w:ascii="Arial"/>
                <w:spacing w:val="-1"/>
                <w:sz w:val="18"/>
              </w:rPr>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4"/>
              <w:jc w:val="center"/>
              <w:rPr>
                <w:rFonts w:ascii="Arial" w:hAnsi="Arial" w:cs="Arial" w:eastAsia="Arial" w:hint="default"/>
                <w:sz w:val="18"/>
                <w:szCs w:val="18"/>
              </w:rPr>
            </w:pPr>
            <w:r>
              <w:rPr>
                <w:rFonts w:ascii="Arial"/>
                <w:w w:val="90"/>
                <w:sz w:val="18"/>
              </w:rPr>
              <w:t>8.90</w:t>
            </w:r>
            <w:r>
              <w:rPr>
                <w:rFonts w:ascii="Arial"/>
                <w:sz w:val="18"/>
              </w:rPr>
            </w:r>
          </w:p>
        </w:tc>
      </w:tr>
      <w:tr>
        <w:trPr>
          <w:trHeight w:val="334"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宋体" w:hAnsi="宋体" w:cs="宋体" w:eastAsia="宋体" w:hint="default"/>
                <w:sz w:val="18"/>
                <w:szCs w:val="18"/>
              </w:rPr>
              <w:t>2：合并范围内关联方往来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w w:val="80"/>
                <w:sz w:val="18"/>
              </w:rPr>
              <w:t>40,417,649.21</w:t>
            </w:r>
            <w:r>
              <w:rPr>
                <w:rFonts w:ascii="Arial"/>
                <w:spacing w:val="-1"/>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Arial" w:hAnsi="Arial" w:cs="Arial" w:eastAsia="Arial" w:hint="default"/>
                <w:sz w:val="18"/>
                <w:szCs w:val="18"/>
              </w:rPr>
            </w:pPr>
            <w:r>
              <w:rPr>
                <w:rFonts w:ascii="Arial"/>
                <w:w w:val="90"/>
                <w:sz w:val="18"/>
              </w:rPr>
              <w:t>88.70</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nil" w:sz="6" w:space="0" w:color="auto"/>
            </w:tcBorders>
          </w:tcPr>
          <w:p>
            <w:pPr/>
          </w:p>
        </w:tc>
      </w:tr>
      <w:tr>
        <w:trPr>
          <w:trHeight w:val="332" w:hRule="exact"/>
        </w:trPr>
        <w:tc>
          <w:tcPr>
            <w:tcW w:w="44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组合小计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0"/>
              <w:jc w:val="right"/>
              <w:rPr>
                <w:rFonts w:ascii="Arial" w:hAnsi="Arial" w:cs="Arial" w:eastAsia="Arial" w:hint="default"/>
                <w:sz w:val="18"/>
                <w:szCs w:val="18"/>
              </w:rPr>
            </w:pPr>
            <w:r>
              <w:rPr>
                <w:rFonts w:ascii="Arial"/>
                <w:spacing w:val="-1"/>
                <w:w w:val="80"/>
                <w:sz w:val="18"/>
              </w:rPr>
              <w:t>44,228,964.87</w:t>
            </w:r>
            <w:r>
              <w:rPr>
                <w:rFonts w:ascii="Arial"/>
                <w:spacing w:val="-1"/>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Arial" w:hAnsi="Arial" w:cs="Arial" w:eastAsia="Arial" w:hint="default"/>
                <w:sz w:val="18"/>
                <w:szCs w:val="18"/>
              </w:rPr>
            </w:pPr>
            <w:r>
              <w:rPr>
                <w:rFonts w:ascii="Arial"/>
                <w:w w:val="90"/>
                <w:sz w:val="18"/>
              </w:rPr>
              <w:t>97.07</w:t>
            </w:r>
            <w:r>
              <w:rPr>
                <w:rFonts w:ascii="Arial"/>
                <w:sz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Arial" w:hAnsi="Arial" w:cs="Arial" w:eastAsia="Arial" w:hint="default"/>
                <w:sz w:val="18"/>
                <w:szCs w:val="18"/>
              </w:rPr>
            </w:pPr>
            <w:r>
              <w:rPr>
                <w:rFonts w:ascii="Arial"/>
                <w:spacing w:val="-1"/>
                <w:w w:val="80"/>
                <w:sz w:val="18"/>
              </w:rPr>
              <w:t>339,263.59</w:t>
            </w:r>
            <w:r>
              <w:rPr>
                <w:rFonts w:ascii="Arial"/>
                <w:spacing w:val="-1"/>
                <w:sz w:val="18"/>
              </w:rPr>
            </w:r>
          </w:p>
        </w:tc>
        <w:tc>
          <w:tcPr>
            <w:tcW w:w="13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4"/>
              <w:ind w:right="4"/>
              <w:jc w:val="center"/>
              <w:rPr>
                <w:rFonts w:ascii="Arial" w:hAnsi="Arial" w:cs="Arial" w:eastAsia="Arial" w:hint="default"/>
                <w:sz w:val="18"/>
                <w:szCs w:val="18"/>
              </w:rPr>
            </w:pPr>
            <w:r>
              <w:rPr>
                <w:rFonts w:ascii="Arial"/>
                <w:w w:val="90"/>
                <w:sz w:val="18"/>
              </w:rPr>
              <w:t>0.77</w:t>
            </w:r>
            <w:r>
              <w:rPr>
                <w:rFonts w:ascii="Arial"/>
                <w:sz w:val="18"/>
              </w:rPr>
            </w:r>
          </w:p>
        </w:tc>
      </w:tr>
      <w:tr>
        <w:trPr>
          <w:trHeight w:val="344" w:hRule="exact"/>
        </w:trPr>
        <w:tc>
          <w:tcPr>
            <w:tcW w:w="446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5"/>
              <w:ind w:left="10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13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5"/>
              <w:ind w:right="100"/>
              <w:jc w:val="right"/>
              <w:rPr>
                <w:rFonts w:ascii="Arial" w:hAnsi="Arial" w:cs="Arial" w:eastAsia="Arial" w:hint="default"/>
                <w:sz w:val="18"/>
                <w:szCs w:val="18"/>
              </w:rPr>
            </w:pPr>
            <w:r>
              <w:rPr>
                <w:rFonts w:ascii="Arial"/>
                <w:spacing w:val="-1"/>
                <w:w w:val="80"/>
                <w:sz w:val="18"/>
              </w:rPr>
              <w:t>45,562,575.84</w:t>
            </w:r>
            <w:r>
              <w:rPr>
                <w:rFonts w:ascii="Arial"/>
                <w:spacing w:val="-1"/>
                <w:sz w:val="18"/>
              </w:rPr>
            </w:r>
          </w:p>
        </w:tc>
        <w:tc>
          <w:tcPr>
            <w:tcW w:w="1352" w:type="dxa"/>
            <w:tcBorders>
              <w:top w:val="single" w:sz="4" w:space="0" w:color="000000"/>
              <w:left w:val="single" w:sz="4" w:space="0" w:color="000000"/>
              <w:bottom w:val="single" w:sz="12" w:space="0" w:color="000000"/>
              <w:right w:val="single" w:sz="4" w:space="0" w:color="000000"/>
            </w:tcBorders>
          </w:tcPr>
          <w:p>
            <w:pPr/>
          </w:p>
        </w:tc>
        <w:tc>
          <w:tcPr>
            <w:tcW w:w="13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5"/>
              <w:ind w:right="102"/>
              <w:jc w:val="right"/>
              <w:rPr>
                <w:rFonts w:ascii="Arial" w:hAnsi="Arial" w:cs="Arial" w:eastAsia="Arial" w:hint="default"/>
                <w:sz w:val="18"/>
                <w:szCs w:val="18"/>
              </w:rPr>
            </w:pPr>
            <w:r>
              <w:rPr>
                <w:rFonts w:ascii="Arial"/>
                <w:spacing w:val="-1"/>
                <w:w w:val="80"/>
                <w:sz w:val="18"/>
              </w:rPr>
              <w:t>1,672,874.56</w:t>
            </w:r>
            <w:r>
              <w:rPr>
                <w:rFonts w:ascii="Arial"/>
                <w:sz w:val="18"/>
              </w:rPr>
            </w:r>
          </w:p>
        </w:tc>
        <w:tc>
          <w:tcPr>
            <w:tcW w:w="135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5"/>
              <w:ind w:right="4"/>
              <w:jc w:val="center"/>
              <w:rPr>
                <w:rFonts w:ascii="Arial" w:hAnsi="Arial" w:cs="Arial" w:eastAsia="Arial" w:hint="default"/>
                <w:sz w:val="18"/>
                <w:szCs w:val="18"/>
              </w:rPr>
            </w:pPr>
            <w:r>
              <w:rPr>
                <w:rFonts w:ascii="Arial"/>
                <w:w w:val="90"/>
                <w:sz w:val="18"/>
              </w:rPr>
              <w:t>3.67</w:t>
            </w:r>
            <w:r>
              <w:rPr>
                <w:rFonts w:ascii="Arial"/>
                <w:sz w:val="18"/>
              </w:rPr>
            </w:r>
          </w:p>
        </w:tc>
      </w:tr>
    </w:tbl>
    <w:p>
      <w:pPr>
        <w:spacing w:before="51"/>
        <w:ind w:left="254" w:right="1013" w:firstLine="0"/>
        <w:jc w:val="left"/>
        <w:rPr>
          <w:rFonts w:ascii="宋体" w:hAnsi="宋体" w:cs="宋体" w:eastAsia="宋体" w:hint="default"/>
          <w:sz w:val="18"/>
          <w:szCs w:val="18"/>
        </w:rPr>
      </w:pPr>
      <w:r>
        <w:rPr>
          <w:rFonts w:ascii="宋体" w:hAnsi="宋体" w:cs="宋体" w:eastAsia="宋体" w:hint="default"/>
          <w:sz w:val="18"/>
          <w:szCs w:val="18"/>
        </w:rPr>
        <w:t>按单项计提坏账准备：</w:t>
      </w:r>
    </w:p>
    <w:p>
      <w:pPr>
        <w:spacing w:before="11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4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3D3D3"/>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8"/>
              <w:jc w:val="left"/>
              <w:rPr>
                <w:rFonts w:ascii="宋体" w:hAnsi="宋体" w:cs="宋体" w:eastAsia="宋体" w:hint="default"/>
                <w:sz w:val="18"/>
                <w:szCs w:val="18"/>
              </w:rPr>
            </w:pPr>
            <w:r>
              <w:rPr>
                <w:rFonts w:ascii="宋体" w:hAnsi="宋体" w:cs="宋体" w:eastAsia="宋体" w:hint="default"/>
                <w:sz w:val="18"/>
                <w:szCs w:val="18"/>
              </w:rPr>
              <w:t>北京旌旗源弘科贸有限 公司</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1,239,187.37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1,239,187.37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根据诉讼进展预计难以 收回</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8"/>
              <w:jc w:val="left"/>
              <w:rPr>
                <w:rFonts w:ascii="宋体" w:hAnsi="宋体" w:cs="宋体" w:eastAsia="宋体" w:hint="default"/>
                <w:sz w:val="18"/>
                <w:szCs w:val="18"/>
              </w:rPr>
            </w:pPr>
            <w:r>
              <w:rPr>
                <w:rFonts w:ascii="宋体" w:hAnsi="宋体" w:cs="宋体" w:eastAsia="宋体" w:hint="default"/>
                <w:sz w:val="18"/>
                <w:szCs w:val="18"/>
              </w:rPr>
              <w:t>湖南中冶美隆纸业有限 公司</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36,731.44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36,731.44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债务人停产难以偿还债 务</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8"/>
              <w:jc w:val="left"/>
              <w:rPr>
                <w:rFonts w:ascii="宋体" w:hAnsi="宋体" w:cs="宋体" w:eastAsia="宋体" w:hint="default"/>
                <w:sz w:val="18"/>
                <w:szCs w:val="18"/>
              </w:rPr>
            </w:pPr>
            <w:r>
              <w:rPr>
                <w:rFonts w:ascii="宋体" w:hAnsi="宋体" w:cs="宋体" w:eastAsia="宋体" w:hint="default"/>
                <w:sz w:val="18"/>
                <w:szCs w:val="18"/>
              </w:rPr>
              <w:t>北京龙文倡达商贸有限 公司</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54,365.27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54,365.27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预计无法回收</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1,330,284.08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1,330,284.08</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254" w:right="1013" w:firstLine="0"/>
        <w:jc w:val="left"/>
        <w:rPr>
          <w:rFonts w:ascii="宋体" w:hAnsi="宋体" w:cs="宋体" w:eastAsia="宋体" w:hint="default"/>
          <w:sz w:val="18"/>
          <w:szCs w:val="18"/>
        </w:rPr>
      </w:pPr>
      <w:r>
        <w:rPr>
          <w:rFonts w:ascii="宋体" w:hAnsi="宋体" w:cs="宋体" w:eastAsia="宋体" w:hint="default"/>
          <w:sz w:val="18"/>
          <w:szCs w:val="18"/>
        </w:rPr>
        <w:t>按组合计提坏账准备：</w:t>
      </w:r>
    </w:p>
    <w:p>
      <w:pPr>
        <w:spacing w:before="11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19"/>
          <w:szCs w:val="19"/>
        </w:rPr>
      </w:pPr>
    </w:p>
    <w:p>
      <w:pPr>
        <w:spacing w:before="44"/>
        <w:ind w:left="614" w:right="1013" w:firstLine="0"/>
        <w:jc w:val="left"/>
        <w:rPr>
          <w:rFonts w:ascii="宋体" w:hAnsi="宋体" w:cs="宋体" w:eastAsia="宋体" w:hint="default"/>
          <w:sz w:val="18"/>
          <w:szCs w:val="18"/>
        </w:rPr>
      </w:pPr>
      <w:r>
        <w:rPr>
          <w:rFonts w:ascii="宋体" w:hAnsi="宋体" w:cs="宋体" w:eastAsia="宋体" w:hint="default"/>
          <w:sz w:val="18"/>
          <w:szCs w:val="18"/>
        </w:rPr>
        <w:t>①组合</w:t>
      </w:r>
      <w:r>
        <w:rPr>
          <w:rFonts w:ascii="宋体" w:hAnsi="宋体" w:cs="宋体" w:eastAsia="宋体" w:hint="default"/>
          <w:spacing w:val="-46"/>
          <w:sz w:val="18"/>
          <w:szCs w:val="18"/>
        </w:rPr>
        <w:t> </w:t>
      </w:r>
      <w:r>
        <w:rPr>
          <w:rFonts w:ascii="宋体" w:hAnsi="宋体" w:cs="宋体" w:eastAsia="宋体" w:hint="default"/>
          <w:sz w:val="18"/>
          <w:szCs w:val="18"/>
        </w:rPr>
        <w:t>1：应收客户款 </w:t>
      </w:r>
    </w:p>
    <w:p>
      <w:pPr>
        <w:spacing w:line="240" w:lineRule="auto" w:before="0"/>
        <w:rPr>
          <w:rFonts w:ascii="宋体" w:hAnsi="宋体" w:cs="宋体" w:eastAsia="宋体" w:hint="default"/>
          <w:sz w:val="14"/>
          <w:szCs w:val="14"/>
        </w:rPr>
      </w:pPr>
    </w:p>
    <w:tbl>
      <w:tblPr>
        <w:tblW w:w="0" w:type="auto"/>
        <w:jc w:val="left"/>
        <w:tblInd w:w="116" w:type="dxa"/>
        <w:tblLayout w:type="fixed"/>
        <w:tblCellMar>
          <w:top w:w="0" w:type="dxa"/>
          <w:left w:w="0" w:type="dxa"/>
          <w:bottom w:w="0" w:type="dxa"/>
          <w:right w:w="0" w:type="dxa"/>
        </w:tblCellMar>
        <w:tblLook w:val="01E0"/>
      </w:tblPr>
      <w:tblGrid>
        <w:gridCol w:w="1736"/>
        <w:gridCol w:w="1356"/>
        <w:gridCol w:w="1356"/>
        <w:gridCol w:w="1356"/>
        <w:gridCol w:w="1356"/>
        <w:gridCol w:w="1356"/>
        <w:gridCol w:w="1352"/>
      </w:tblGrid>
      <w:tr>
        <w:trPr>
          <w:trHeight w:val="343" w:hRule="exact"/>
        </w:trPr>
        <w:tc>
          <w:tcPr>
            <w:tcW w:w="1736" w:type="dxa"/>
            <w:vMerge w:val="restart"/>
            <w:tcBorders>
              <w:top w:val="single" w:sz="12"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8" w:right="0"/>
              <w:jc w:val="center"/>
              <w:rPr>
                <w:rFonts w:ascii="宋体" w:hAnsi="宋体" w:cs="宋体" w:eastAsia="宋体" w:hint="default"/>
                <w:sz w:val="18"/>
                <w:szCs w:val="18"/>
              </w:rPr>
            </w:pPr>
            <w:r>
              <w:rPr>
                <w:rFonts w:ascii="宋体" w:hAnsi="宋体" w:cs="宋体" w:eastAsia="宋体" w:hint="default"/>
                <w:sz w:val="18"/>
                <w:szCs w:val="18"/>
              </w:rPr>
              <w:t>账龄 </w:t>
            </w:r>
          </w:p>
        </w:tc>
        <w:tc>
          <w:tcPr>
            <w:tcW w:w="4068"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
              <w:ind w:left="90" w:right="0"/>
              <w:jc w:val="center"/>
              <w:rPr>
                <w:rFonts w:ascii="宋体" w:hAnsi="宋体" w:cs="宋体" w:eastAsia="宋体" w:hint="default"/>
                <w:sz w:val="18"/>
                <w:szCs w:val="18"/>
              </w:rPr>
            </w:pPr>
            <w:r>
              <w:rPr>
                <w:rFonts w:ascii="宋体" w:hAnsi="宋体" w:cs="宋体" w:eastAsia="宋体" w:hint="default"/>
                <w:sz w:val="18"/>
                <w:szCs w:val="18"/>
              </w:rPr>
              <w:t>期末数 </w:t>
            </w:r>
          </w:p>
        </w:tc>
        <w:tc>
          <w:tcPr>
            <w:tcW w:w="4064"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15"/>
              <w:ind w:left="84" w:right="0"/>
              <w:jc w:val="center"/>
              <w:rPr>
                <w:rFonts w:ascii="宋体" w:hAnsi="宋体" w:cs="宋体" w:eastAsia="宋体" w:hint="default"/>
                <w:sz w:val="18"/>
                <w:szCs w:val="18"/>
              </w:rPr>
            </w:pPr>
            <w:r>
              <w:rPr>
                <w:rFonts w:ascii="宋体" w:hAnsi="宋体" w:cs="宋体" w:eastAsia="宋体" w:hint="default"/>
                <w:sz w:val="18"/>
                <w:szCs w:val="18"/>
              </w:rPr>
              <w:t>期初数 </w:t>
            </w:r>
          </w:p>
        </w:tc>
      </w:tr>
      <w:tr>
        <w:trPr>
          <w:trHeight w:val="334" w:hRule="exact"/>
        </w:trPr>
        <w:tc>
          <w:tcPr>
            <w:tcW w:w="1736" w:type="dxa"/>
            <w:vMerge/>
            <w:tcBorders>
              <w:left w:val="nil" w:sz="6" w:space="0" w:color="auto"/>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13"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87" w:right="-2"/>
              <w:jc w:val="center"/>
              <w:rPr>
                <w:rFonts w:ascii="宋体" w:hAnsi="宋体" w:cs="宋体" w:eastAsia="宋体" w:hint="default"/>
                <w:sz w:val="18"/>
                <w:szCs w:val="18"/>
              </w:rPr>
            </w:pPr>
            <w:r>
              <w:rPr>
                <w:rFonts w:ascii="宋体" w:hAnsi="宋体" w:cs="宋体" w:eastAsia="宋体" w:hint="default"/>
                <w:sz w:val="18"/>
                <w:szCs w:val="18"/>
              </w:rPr>
              <w:t>计提比例（%）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13" w:right="0"/>
              <w:jc w:val="left"/>
              <w:rPr>
                <w:rFonts w:ascii="宋体" w:hAnsi="宋体" w:cs="宋体" w:eastAsia="宋体" w:hint="default"/>
                <w:sz w:val="18"/>
                <w:szCs w:val="18"/>
              </w:rPr>
            </w:pPr>
            <w:r>
              <w:rPr>
                <w:rFonts w:ascii="宋体" w:hAnsi="宋体" w:cs="宋体" w:eastAsia="宋体" w:hint="default"/>
                <w:sz w:val="18"/>
                <w:szCs w:val="18"/>
              </w:rPr>
              <w:t>坏账准备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13"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87" w:right="-2"/>
              <w:jc w:val="center"/>
              <w:rPr>
                <w:rFonts w:ascii="宋体" w:hAnsi="宋体" w:cs="宋体" w:eastAsia="宋体" w:hint="default"/>
                <w:sz w:val="18"/>
                <w:szCs w:val="18"/>
              </w:rPr>
            </w:pPr>
            <w:r>
              <w:rPr>
                <w:rFonts w:ascii="宋体" w:hAnsi="宋体" w:cs="宋体" w:eastAsia="宋体" w:hint="default"/>
                <w:sz w:val="18"/>
                <w:szCs w:val="18"/>
              </w:rPr>
              <w:t>计提比例（%） </w:t>
            </w:r>
          </w:p>
        </w:tc>
        <w:tc>
          <w:tcPr>
            <w:tcW w:w="13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
              <w:ind w:left="310" w:right="0"/>
              <w:jc w:val="left"/>
              <w:rPr>
                <w:rFonts w:ascii="宋体" w:hAnsi="宋体" w:cs="宋体" w:eastAsia="宋体" w:hint="default"/>
                <w:sz w:val="18"/>
                <w:szCs w:val="18"/>
              </w:rPr>
            </w:pPr>
            <w:r>
              <w:rPr>
                <w:rFonts w:ascii="宋体" w:hAnsi="宋体" w:cs="宋体" w:eastAsia="宋体" w:hint="default"/>
                <w:sz w:val="18"/>
                <w:szCs w:val="18"/>
              </w:rPr>
              <w:t>坏账准备 </w:t>
            </w:r>
          </w:p>
        </w:tc>
      </w:tr>
      <w:tr>
        <w:trPr>
          <w:trHeight w:val="402" w:hRule="exact"/>
        </w:trPr>
        <w:tc>
          <w:tcPr>
            <w:tcW w:w="17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 </w:t>
            </w:r>
          </w:p>
        </w:tc>
        <w:tc>
          <w:tcPr>
            <w:tcW w:w="1356"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
        </w:tc>
        <w:tc>
          <w:tcPr>
            <w:tcW w:w="1352" w:type="dxa"/>
            <w:tcBorders>
              <w:top w:val="single" w:sz="4" w:space="0" w:color="000000"/>
              <w:left w:val="single" w:sz="4" w:space="0" w:color="000000"/>
              <w:bottom w:val="single" w:sz="4" w:space="0" w:color="000000"/>
              <w:right w:val="nil" w:sz="6" w:space="0" w:color="auto"/>
            </w:tcBorders>
          </w:tcPr>
          <w:p>
            <w:pPr/>
          </w:p>
        </w:tc>
      </w:tr>
      <w:tr>
        <w:trPr>
          <w:trHeight w:val="402" w:hRule="exact"/>
        </w:trPr>
        <w:tc>
          <w:tcPr>
            <w:tcW w:w="17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其中：0.5</w:t>
            </w:r>
            <w:r>
              <w:rPr>
                <w:rFonts w:ascii="宋体" w:hAnsi="宋体" w:cs="宋体" w:eastAsia="宋体" w:hint="default"/>
                <w:spacing w:val="-46"/>
                <w:sz w:val="18"/>
                <w:szCs w:val="18"/>
              </w:rPr>
              <w:t> </w:t>
            </w:r>
            <w:r>
              <w:rPr>
                <w:rFonts w:ascii="宋体" w:hAnsi="宋体" w:cs="宋体" w:eastAsia="宋体" w:hint="default"/>
                <w:sz w:val="18"/>
                <w:szCs w:val="18"/>
              </w:rPr>
              <w:t>年以内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1,438,702.71</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Arial" w:hAnsi="Arial" w:cs="Arial" w:eastAsia="Arial" w:hint="default"/>
                <w:sz w:val="18"/>
                <w:szCs w:val="18"/>
              </w:rPr>
            </w:pPr>
            <w:r>
              <w:rPr>
                <w:rFonts w:ascii="Arial"/>
                <w:w w:val="90"/>
                <w:sz w:val="18"/>
              </w:rPr>
              <w:t>2.00</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28,754.33</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3,138,653.64</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Arial" w:hAnsi="Arial" w:cs="Arial" w:eastAsia="Arial" w:hint="default"/>
                <w:sz w:val="18"/>
                <w:szCs w:val="18"/>
              </w:rPr>
            </w:pPr>
            <w:r>
              <w:rPr>
                <w:rFonts w:ascii="Arial"/>
                <w:w w:val="90"/>
                <w:sz w:val="18"/>
              </w:rPr>
              <w:t>2.00</w:t>
            </w:r>
            <w:r>
              <w:rPr>
                <w:rFonts w:ascii="Arial"/>
                <w:sz w:val="18"/>
              </w:rPr>
            </w:r>
          </w:p>
        </w:tc>
        <w:tc>
          <w:tcPr>
            <w:tcW w:w="13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7"/>
              <w:jc w:val="right"/>
              <w:rPr>
                <w:rFonts w:ascii="Arial" w:hAnsi="Arial" w:cs="Arial" w:eastAsia="Arial" w:hint="default"/>
                <w:sz w:val="18"/>
                <w:szCs w:val="18"/>
              </w:rPr>
            </w:pPr>
            <w:r>
              <w:rPr>
                <w:rFonts w:ascii="Arial"/>
                <w:spacing w:val="-1"/>
                <w:w w:val="80"/>
                <w:sz w:val="18"/>
              </w:rPr>
              <w:t>62,773.08</w:t>
            </w:r>
            <w:r>
              <w:rPr>
                <w:rFonts w:ascii="Arial"/>
                <w:sz w:val="18"/>
              </w:rPr>
            </w:r>
          </w:p>
        </w:tc>
      </w:tr>
      <w:tr>
        <w:trPr>
          <w:trHeight w:val="402" w:hRule="exact"/>
        </w:trPr>
        <w:tc>
          <w:tcPr>
            <w:tcW w:w="17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0.5-1</w:t>
            </w:r>
            <w:r>
              <w:rPr>
                <w:rFonts w:ascii="宋体" w:hAnsi="宋体" w:cs="宋体" w:eastAsia="宋体" w:hint="default"/>
                <w:spacing w:val="-46"/>
                <w:sz w:val="18"/>
                <w:szCs w:val="18"/>
              </w:rPr>
              <w:t> </w:t>
            </w:r>
            <w:r>
              <w:rPr>
                <w:rFonts w:ascii="宋体" w:hAnsi="宋体" w:cs="宋体" w:eastAsia="宋体" w:hint="default"/>
                <w:sz w:val="18"/>
                <w:szCs w:val="18"/>
              </w:rPr>
              <w:t>年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80,365.72</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Arial" w:hAnsi="Arial" w:cs="Arial" w:eastAsia="Arial" w:hint="default"/>
                <w:sz w:val="18"/>
                <w:szCs w:val="18"/>
              </w:rPr>
            </w:pPr>
            <w:r>
              <w:rPr>
                <w:rFonts w:ascii="Arial"/>
                <w:w w:val="90"/>
                <w:sz w:val="18"/>
              </w:rPr>
              <w:t>5.00</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4,038.00</w:t>
            </w:r>
            <w:r>
              <w:rPr>
                <w:rFonts w:ascii="Arial"/>
                <w:spacing w:val="-1"/>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Arial" w:hAnsi="Arial" w:cs="Arial" w:eastAsia="Arial" w:hint="default"/>
                <w:sz w:val="18"/>
                <w:szCs w:val="18"/>
              </w:rPr>
            </w:pPr>
            <w:r>
              <w:rPr>
                <w:rFonts w:ascii="Arial"/>
                <w:spacing w:val="-1"/>
                <w:w w:val="80"/>
                <w:sz w:val="18"/>
              </w:rPr>
              <w:t>192,453.52</w:t>
            </w:r>
            <w:r>
              <w:rPr>
                <w:rFonts w:ascii="Arial"/>
                <w:spacing w:val="-1"/>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Arial" w:hAnsi="Arial" w:cs="Arial" w:eastAsia="Arial" w:hint="default"/>
                <w:sz w:val="18"/>
                <w:szCs w:val="18"/>
              </w:rPr>
            </w:pPr>
            <w:r>
              <w:rPr>
                <w:rFonts w:ascii="Arial"/>
                <w:w w:val="90"/>
                <w:sz w:val="18"/>
              </w:rPr>
              <w:t>5.00</w:t>
            </w:r>
            <w:r>
              <w:rPr>
                <w:rFonts w:ascii="Arial"/>
                <w:sz w:val="18"/>
              </w:rPr>
            </w:r>
          </w:p>
        </w:tc>
        <w:tc>
          <w:tcPr>
            <w:tcW w:w="13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6"/>
              <w:jc w:val="right"/>
              <w:rPr>
                <w:rFonts w:ascii="Arial" w:hAnsi="Arial" w:cs="Arial" w:eastAsia="Arial" w:hint="default"/>
                <w:sz w:val="18"/>
                <w:szCs w:val="18"/>
              </w:rPr>
            </w:pPr>
            <w:r>
              <w:rPr>
                <w:rFonts w:ascii="Arial"/>
                <w:spacing w:val="-1"/>
                <w:w w:val="80"/>
                <w:sz w:val="18"/>
              </w:rPr>
              <w:t>9,622.68</w:t>
            </w:r>
            <w:r>
              <w:rPr>
                <w:rFonts w:ascii="Arial"/>
                <w:spacing w:val="-1"/>
                <w:sz w:val="18"/>
              </w:rPr>
            </w:r>
          </w:p>
        </w:tc>
      </w:tr>
      <w:tr>
        <w:trPr>
          <w:trHeight w:val="402" w:hRule="exact"/>
        </w:trPr>
        <w:tc>
          <w:tcPr>
            <w:tcW w:w="17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年以内小计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1,519,068.43</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32,792.33</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3,331,107.16</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
        </w:tc>
        <w:tc>
          <w:tcPr>
            <w:tcW w:w="13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7"/>
              <w:jc w:val="right"/>
              <w:rPr>
                <w:rFonts w:ascii="Arial" w:hAnsi="Arial" w:cs="Arial" w:eastAsia="Arial" w:hint="default"/>
                <w:sz w:val="18"/>
                <w:szCs w:val="18"/>
              </w:rPr>
            </w:pPr>
            <w:r>
              <w:rPr>
                <w:rFonts w:ascii="Arial"/>
                <w:spacing w:val="-1"/>
                <w:w w:val="80"/>
                <w:sz w:val="18"/>
              </w:rPr>
              <w:t>72,395.76</w:t>
            </w:r>
            <w:r>
              <w:rPr>
                <w:rFonts w:ascii="Arial"/>
                <w:sz w:val="18"/>
              </w:rPr>
            </w:r>
          </w:p>
        </w:tc>
      </w:tr>
      <w:tr>
        <w:trPr>
          <w:trHeight w:val="402" w:hRule="exact"/>
        </w:trPr>
        <w:tc>
          <w:tcPr>
            <w:tcW w:w="17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pacing w:val="29"/>
                <w:sz w:val="18"/>
                <w:szCs w:val="18"/>
              </w:rPr>
              <w:t>1至2</w:t>
            </w:r>
            <w:r>
              <w:rPr>
                <w:rFonts w:ascii="宋体" w:hAnsi="宋体" w:cs="宋体" w:eastAsia="宋体" w:hint="default"/>
                <w:spacing w:val="-45"/>
                <w:sz w:val="18"/>
                <w:szCs w:val="18"/>
              </w:rPr>
              <w:t> </w:t>
            </w:r>
            <w:r>
              <w:rPr>
                <w:rFonts w:ascii="宋体" w:hAnsi="宋体" w:cs="宋体" w:eastAsia="宋体" w:hint="default"/>
                <w:sz w:val="18"/>
                <w:szCs w:val="18"/>
              </w:rPr>
              <w:t>年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334,412.65</w:t>
            </w:r>
            <w:r>
              <w:rPr>
                <w:rFonts w:ascii="Arial"/>
                <w:spacing w:val="-1"/>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Arial" w:hAnsi="Arial" w:cs="Arial" w:eastAsia="Arial" w:hint="default"/>
                <w:sz w:val="18"/>
                <w:szCs w:val="18"/>
              </w:rPr>
            </w:pPr>
            <w:r>
              <w:rPr>
                <w:rFonts w:ascii="Arial"/>
                <w:w w:val="90"/>
                <w:sz w:val="18"/>
              </w:rPr>
              <w:t>10.00</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33,441.27</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237,045.19</w:t>
            </w:r>
            <w:r>
              <w:rPr>
                <w:rFonts w:ascii="Arial"/>
                <w:spacing w:val="-1"/>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Arial" w:hAnsi="Arial" w:cs="Arial" w:eastAsia="Arial" w:hint="default"/>
                <w:sz w:val="18"/>
                <w:szCs w:val="18"/>
              </w:rPr>
            </w:pPr>
            <w:r>
              <w:rPr>
                <w:rFonts w:ascii="Arial"/>
                <w:w w:val="90"/>
                <w:sz w:val="18"/>
              </w:rPr>
              <w:t>10.00</w:t>
            </w:r>
            <w:r>
              <w:rPr>
                <w:rFonts w:ascii="Arial"/>
                <w:sz w:val="18"/>
              </w:rPr>
            </w:r>
          </w:p>
        </w:tc>
        <w:tc>
          <w:tcPr>
            <w:tcW w:w="13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7"/>
              <w:jc w:val="right"/>
              <w:rPr>
                <w:rFonts w:ascii="Arial" w:hAnsi="Arial" w:cs="Arial" w:eastAsia="Arial" w:hint="default"/>
                <w:sz w:val="18"/>
                <w:szCs w:val="18"/>
              </w:rPr>
            </w:pPr>
            <w:r>
              <w:rPr>
                <w:rFonts w:ascii="Arial"/>
                <w:spacing w:val="-1"/>
                <w:w w:val="80"/>
                <w:sz w:val="18"/>
              </w:rPr>
              <w:t>23,704.52</w:t>
            </w:r>
            <w:r>
              <w:rPr>
                <w:rFonts w:ascii="Arial"/>
                <w:sz w:val="18"/>
              </w:rPr>
            </w:r>
          </w:p>
        </w:tc>
      </w:tr>
      <w:tr>
        <w:trPr>
          <w:trHeight w:val="412" w:hRule="exact"/>
        </w:trPr>
        <w:tc>
          <w:tcPr>
            <w:tcW w:w="173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pacing w:val="29"/>
                <w:sz w:val="18"/>
                <w:szCs w:val="18"/>
              </w:rPr>
              <w:t>2至3</w:t>
            </w:r>
            <w:r>
              <w:rPr>
                <w:rFonts w:ascii="宋体" w:hAnsi="宋体" w:cs="宋体" w:eastAsia="宋体" w:hint="default"/>
                <w:spacing w:val="-45"/>
                <w:sz w:val="18"/>
                <w:szCs w:val="18"/>
              </w:rPr>
              <w:t> </w:t>
            </w:r>
            <w:r>
              <w:rPr>
                <w:rFonts w:ascii="宋体" w:hAnsi="宋体" w:cs="宋体" w:eastAsia="宋体" w:hint="default"/>
                <w:sz w:val="18"/>
                <w:szCs w:val="18"/>
              </w:rPr>
              <w:t>年 </w:t>
            </w:r>
          </w:p>
        </w:tc>
        <w:tc>
          <w:tcPr>
            <w:tcW w:w="13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34,062.50</w:t>
            </w:r>
            <w:r>
              <w:rPr>
                <w:rFonts w:ascii="Arial"/>
                <w:sz w:val="18"/>
              </w:rPr>
            </w:r>
          </w:p>
        </w:tc>
        <w:tc>
          <w:tcPr>
            <w:tcW w:w="13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
              <w:jc w:val="center"/>
              <w:rPr>
                <w:rFonts w:ascii="Arial" w:hAnsi="Arial" w:cs="Arial" w:eastAsia="Arial" w:hint="default"/>
                <w:sz w:val="18"/>
                <w:szCs w:val="18"/>
              </w:rPr>
            </w:pPr>
            <w:r>
              <w:rPr>
                <w:rFonts w:ascii="Arial"/>
                <w:w w:val="90"/>
                <w:sz w:val="18"/>
              </w:rPr>
              <w:t>30.00</w:t>
            </w:r>
            <w:r>
              <w:rPr>
                <w:rFonts w:ascii="Arial"/>
                <w:sz w:val="18"/>
              </w:rPr>
            </w:r>
          </w:p>
        </w:tc>
        <w:tc>
          <w:tcPr>
            <w:tcW w:w="13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10,218.75</w:t>
            </w:r>
            <w:r>
              <w:rPr>
                <w:rFonts w:ascii="Arial"/>
                <w:sz w:val="18"/>
              </w:rPr>
            </w:r>
          </w:p>
        </w:tc>
        <w:tc>
          <w:tcPr>
            <w:tcW w:w="1356" w:type="dxa"/>
            <w:tcBorders>
              <w:top w:val="single" w:sz="4" w:space="0" w:color="000000"/>
              <w:left w:val="single" w:sz="4" w:space="0" w:color="000000"/>
              <w:bottom w:val="single" w:sz="12" w:space="0" w:color="000000"/>
              <w:right w:val="single" w:sz="4" w:space="0" w:color="000000"/>
            </w:tcBorders>
          </w:tcPr>
          <w:p>
            <w:pPr/>
          </w:p>
        </w:tc>
        <w:tc>
          <w:tcPr>
            <w:tcW w:w="1356" w:type="dxa"/>
            <w:tcBorders>
              <w:top w:val="single" w:sz="4" w:space="0" w:color="000000"/>
              <w:left w:val="single" w:sz="4" w:space="0" w:color="000000"/>
              <w:bottom w:val="single" w:sz="12" w:space="0" w:color="000000"/>
              <w:right w:val="single" w:sz="4" w:space="0" w:color="000000"/>
            </w:tcBorders>
          </w:tcPr>
          <w:p>
            <w:pPr/>
          </w:p>
        </w:tc>
        <w:tc>
          <w:tcPr>
            <w:tcW w:w="1352" w:type="dxa"/>
            <w:tcBorders>
              <w:top w:val="single" w:sz="4" w:space="0" w:color="000000"/>
              <w:left w:val="single" w:sz="4" w:space="0" w:color="000000"/>
              <w:bottom w:val="single" w:sz="12" w:space="0" w:color="000000"/>
              <w:right w:val="nil" w:sz="6" w:space="0" w:color="auto"/>
            </w:tcBorders>
          </w:tcPr>
          <w:p>
            <w:pPr/>
          </w:p>
        </w:tc>
      </w:tr>
    </w:tbl>
    <w:p>
      <w:pPr>
        <w:spacing w:after="0"/>
        <w:sectPr>
          <w:pgSz w:w="11910" w:h="16840"/>
          <w:pgMar w:header="877" w:footer="982" w:top="1100" w:bottom="1180" w:left="880" w:right="0"/>
        </w:sectPr>
      </w:pPr>
    </w:p>
    <w:p>
      <w:pPr>
        <w:spacing w:line="240" w:lineRule="auto" w:before="6"/>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1736"/>
        <w:gridCol w:w="1356"/>
        <w:gridCol w:w="1356"/>
        <w:gridCol w:w="1356"/>
        <w:gridCol w:w="1356"/>
        <w:gridCol w:w="1356"/>
        <w:gridCol w:w="1352"/>
      </w:tblGrid>
      <w:tr>
        <w:trPr>
          <w:trHeight w:val="343" w:hRule="exact"/>
        </w:trPr>
        <w:tc>
          <w:tcPr>
            <w:tcW w:w="1736" w:type="dxa"/>
            <w:vMerge w:val="restart"/>
            <w:tcBorders>
              <w:top w:val="single" w:sz="12"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7" w:right="0"/>
              <w:jc w:val="center"/>
              <w:rPr>
                <w:rFonts w:ascii="宋体" w:hAnsi="宋体" w:cs="宋体" w:eastAsia="宋体" w:hint="default"/>
                <w:sz w:val="18"/>
                <w:szCs w:val="18"/>
              </w:rPr>
            </w:pPr>
            <w:r>
              <w:rPr>
                <w:rFonts w:ascii="宋体" w:hAnsi="宋体" w:cs="宋体" w:eastAsia="宋体" w:hint="default"/>
                <w:sz w:val="18"/>
                <w:szCs w:val="18"/>
              </w:rPr>
              <w:t>账龄 </w:t>
            </w:r>
          </w:p>
        </w:tc>
        <w:tc>
          <w:tcPr>
            <w:tcW w:w="4068"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
              <w:ind w:left="89" w:right="0"/>
              <w:jc w:val="center"/>
              <w:rPr>
                <w:rFonts w:ascii="宋体" w:hAnsi="宋体" w:cs="宋体" w:eastAsia="宋体" w:hint="default"/>
                <w:sz w:val="18"/>
                <w:szCs w:val="18"/>
              </w:rPr>
            </w:pPr>
            <w:r>
              <w:rPr>
                <w:rFonts w:ascii="宋体" w:hAnsi="宋体" w:cs="宋体" w:eastAsia="宋体" w:hint="default"/>
                <w:sz w:val="18"/>
                <w:szCs w:val="18"/>
              </w:rPr>
              <w:t>期末数 </w:t>
            </w:r>
          </w:p>
        </w:tc>
        <w:tc>
          <w:tcPr>
            <w:tcW w:w="4064"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15"/>
              <w:ind w:left="84" w:right="0"/>
              <w:jc w:val="center"/>
              <w:rPr>
                <w:rFonts w:ascii="宋体" w:hAnsi="宋体" w:cs="宋体" w:eastAsia="宋体" w:hint="default"/>
                <w:sz w:val="18"/>
                <w:szCs w:val="18"/>
              </w:rPr>
            </w:pPr>
            <w:r>
              <w:rPr>
                <w:rFonts w:ascii="宋体" w:hAnsi="宋体" w:cs="宋体" w:eastAsia="宋体" w:hint="default"/>
                <w:sz w:val="18"/>
                <w:szCs w:val="18"/>
              </w:rPr>
              <w:t>期初数 </w:t>
            </w:r>
          </w:p>
        </w:tc>
      </w:tr>
      <w:tr>
        <w:trPr>
          <w:trHeight w:val="334" w:hRule="exact"/>
        </w:trPr>
        <w:tc>
          <w:tcPr>
            <w:tcW w:w="1736" w:type="dxa"/>
            <w:vMerge/>
            <w:tcBorders>
              <w:left w:val="nil" w:sz="6" w:space="0" w:color="auto"/>
              <w:bottom w:val="single" w:sz="4" w:space="0" w:color="000000"/>
              <w:right w:val="single" w:sz="4" w:space="0" w:color="000000"/>
            </w:tcBorders>
          </w:tcPr>
          <w:p>
            <w:pP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13"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87" w:right="-2"/>
              <w:jc w:val="center"/>
              <w:rPr>
                <w:rFonts w:ascii="宋体" w:hAnsi="宋体" w:cs="宋体" w:eastAsia="宋体" w:hint="default"/>
                <w:sz w:val="18"/>
                <w:szCs w:val="18"/>
              </w:rPr>
            </w:pPr>
            <w:r>
              <w:rPr>
                <w:rFonts w:ascii="宋体" w:hAnsi="宋体" w:cs="宋体" w:eastAsia="宋体" w:hint="default"/>
                <w:sz w:val="18"/>
                <w:szCs w:val="18"/>
              </w:rPr>
              <w:t>计提比例（%）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13" w:right="0"/>
              <w:jc w:val="left"/>
              <w:rPr>
                <w:rFonts w:ascii="宋体" w:hAnsi="宋体" w:cs="宋体" w:eastAsia="宋体" w:hint="default"/>
                <w:sz w:val="18"/>
                <w:szCs w:val="18"/>
              </w:rPr>
            </w:pPr>
            <w:r>
              <w:rPr>
                <w:rFonts w:ascii="宋体" w:hAnsi="宋体" w:cs="宋体" w:eastAsia="宋体" w:hint="default"/>
                <w:sz w:val="18"/>
                <w:szCs w:val="18"/>
              </w:rPr>
              <w:t>坏账准备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13" w:right="0"/>
              <w:jc w:val="left"/>
              <w:rPr>
                <w:rFonts w:ascii="宋体" w:hAnsi="宋体" w:cs="宋体" w:eastAsia="宋体" w:hint="default"/>
                <w:sz w:val="18"/>
                <w:szCs w:val="18"/>
              </w:rPr>
            </w:pPr>
            <w:r>
              <w:rPr>
                <w:rFonts w:ascii="宋体" w:hAnsi="宋体" w:cs="宋体" w:eastAsia="宋体" w:hint="default"/>
                <w:sz w:val="18"/>
                <w:szCs w:val="18"/>
              </w:rPr>
              <w:t>账面余额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87" w:right="-2"/>
              <w:jc w:val="center"/>
              <w:rPr>
                <w:rFonts w:ascii="宋体" w:hAnsi="宋体" w:cs="宋体" w:eastAsia="宋体" w:hint="default"/>
                <w:sz w:val="18"/>
                <w:szCs w:val="18"/>
              </w:rPr>
            </w:pPr>
            <w:r>
              <w:rPr>
                <w:rFonts w:ascii="宋体" w:hAnsi="宋体" w:cs="宋体" w:eastAsia="宋体" w:hint="default"/>
                <w:sz w:val="18"/>
                <w:szCs w:val="18"/>
              </w:rPr>
              <w:t>计提比例（%） </w:t>
            </w:r>
          </w:p>
        </w:tc>
        <w:tc>
          <w:tcPr>
            <w:tcW w:w="13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left="310" w:right="0"/>
              <w:jc w:val="left"/>
              <w:rPr>
                <w:rFonts w:ascii="宋体" w:hAnsi="宋体" w:cs="宋体" w:eastAsia="宋体" w:hint="default"/>
                <w:sz w:val="18"/>
                <w:szCs w:val="18"/>
              </w:rPr>
            </w:pPr>
            <w:r>
              <w:rPr>
                <w:rFonts w:ascii="宋体" w:hAnsi="宋体" w:cs="宋体" w:eastAsia="宋体" w:hint="default"/>
                <w:sz w:val="18"/>
                <w:szCs w:val="18"/>
              </w:rPr>
              <w:t>坏账准备 </w:t>
            </w:r>
          </w:p>
        </w:tc>
      </w:tr>
      <w:tr>
        <w:trPr>
          <w:trHeight w:val="402" w:hRule="exact"/>
        </w:trPr>
        <w:tc>
          <w:tcPr>
            <w:tcW w:w="17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 </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181,436.10</w:t>
            </w:r>
            <w:r>
              <w:rPr>
                <w:rFonts w:ascii="Arial"/>
                <w:spacing w:val="-1"/>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Arial" w:hAnsi="Arial" w:cs="Arial" w:eastAsia="Arial" w:hint="default"/>
                <w:sz w:val="18"/>
                <w:szCs w:val="18"/>
              </w:rPr>
            </w:pPr>
            <w:r>
              <w:rPr>
                <w:rFonts w:ascii="Arial"/>
                <w:w w:val="90"/>
                <w:sz w:val="18"/>
              </w:rPr>
              <w:t>100.00</w:t>
            </w:r>
            <w:r>
              <w:rPr>
                <w:rFonts w:ascii="Arial"/>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181,436.10</w:t>
            </w:r>
            <w:r>
              <w:rPr>
                <w:rFonts w:ascii="Arial"/>
                <w:spacing w:val="-1"/>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243,163.31</w:t>
            </w:r>
            <w:r>
              <w:rPr>
                <w:rFonts w:ascii="Arial"/>
                <w:spacing w:val="-1"/>
                <w:sz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Arial" w:hAnsi="Arial" w:cs="Arial" w:eastAsia="Arial" w:hint="default"/>
                <w:sz w:val="18"/>
                <w:szCs w:val="18"/>
              </w:rPr>
            </w:pPr>
            <w:r>
              <w:rPr>
                <w:rFonts w:ascii="Arial"/>
                <w:w w:val="90"/>
                <w:sz w:val="18"/>
              </w:rPr>
              <w:t>100.00</w:t>
            </w:r>
            <w:r>
              <w:rPr>
                <w:rFonts w:ascii="Arial"/>
                <w:sz w:val="18"/>
              </w:rPr>
            </w:r>
          </w:p>
        </w:tc>
        <w:tc>
          <w:tcPr>
            <w:tcW w:w="13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6"/>
              <w:jc w:val="right"/>
              <w:rPr>
                <w:rFonts w:ascii="Arial" w:hAnsi="Arial" w:cs="Arial" w:eastAsia="Arial" w:hint="default"/>
                <w:sz w:val="18"/>
                <w:szCs w:val="18"/>
              </w:rPr>
            </w:pPr>
            <w:r>
              <w:rPr>
                <w:rFonts w:ascii="Arial"/>
                <w:spacing w:val="-1"/>
                <w:w w:val="80"/>
                <w:sz w:val="18"/>
              </w:rPr>
              <w:t>243,163.31</w:t>
            </w:r>
            <w:r>
              <w:rPr>
                <w:rFonts w:ascii="Arial"/>
                <w:spacing w:val="-1"/>
                <w:sz w:val="18"/>
              </w:rPr>
            </w:r>
          </w:p>
        </w:tc>
      </w:tr>
      <w:tr>
        <w:trPr>
          <w:trHeight w:val="412" w:hRule="exact"/>
        </w:trPr>
        <w:tc>
          <w:tcPr>
            <w:tcW w:w="173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2,068,979.68</w:t>
            </w:r>
            <w:r>
              <w:rPr>
                <w:rFonts w:ascii="Arial"/>
                <w:sz w:val="18"/>
              </w:rPr>
            </w:r>
          </w:p>
        </w:tc>
        <w:tc>
          <w:tcPr>
            <w:tcW w:w="1356" w:type="dxa"/>
            <w:tcBorders>
              <w:top w:val="single" w:sz="4" w:space="0" w:color="000000"/>
              <w:left w:val="single" w:sz="4" w:space="0" w:color="000000"/>
              <w:bottom w:val="single" w:sz="12" w:space="0" w:color="000000"/>
              <w:right w:val="single" w:sz="4" w:space="0" w:color="000000"/>
            </w:tcBorders>
          </w:tcPr>
          <w:p>
            <w:pPr/>
          </w:p>
        </w:tc>
        <w:tc>
          <w:tcPr>
            <w:tcW w:w="13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257,888.45</w:t>
            </w:r>
            <w:r>
              <w:rPr>
                <w:rFonts w:ascii="Arial"/>
                <w:spacing w:val="-1"/>
                <w:sz w:val="18"/>
              </w:rPr>
            </w:r>
          </w:p>
        </w:tc>
        <w:tc>
          <w:tcPr>
            <w:tcW w:w="13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3,811,315.66</w:t>
            </w:r>
            <w:r>
              <w:rPr>
                <w:rFonts w:ascii="Arial"/>
                <w:sz w:val="18"/>
              </w:rPr>
            </w:r>
          </w:p>
        </w:tc>
        <w:tc>
          <w:tcPr>
            <w:tcW w:w="1356" w:type="dxa"/>
            <w:tcBorders>
              <w:top w:val="single" w:sz="4" w:space="0" w:color="000000"/>
              <w:left w:val="single" w:sz="4" w:space="0" w:color="000000"/>
              <w:bottom w:val="single" w:sz="12" w:space="0" w:color="000000"/>
              <w:right w:val="single" w:sz="4" w:space="0" w:color="000000"/>
            </w:tcBorders>
          </w:tcPr>
          <w:p>
            <w:pPr/>
          </w:p>
        </w:tc>
        <w:tc>
          <w:tcPr>
            <w:tcW w:w="135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1"/>
              <w:ind w:right="106"/>
              <w:jc w:val="right"/>
              <w:rPr>
                <w:rFonts w:ascii="Arial" w:hAnsi="Arial" w:cs="Arial" w:eastAsia="Arial" w:hint="default"/>
                <w:sz w:val="18"/>
                <w:szCs w:val="18"/>
              </w:rPr>
            </w:pPr>
            <w:r>
              <w:rPr>
                <w:rFonts w:ascii="Arial"/>
                <w:spacing w:val="-1"/>
                <w:w w:val="80"/>
                <w:sz w:val="18"/>
              </w:rPr>
              <w:t>339,263.59</w:t>
            </w:r>
            <w:r>
              <w:rPr>
                <w:rFonts w:ascii="Arial"/>
                <w:spacing w:val="-1"/>
                <w:sz w:val="18"/>
              </w:rPr>
            </w:r>
          </w:p>
        </w:tc>
      </w:tr>
    </w:tbl>
    <w:p>
      <w:pPr>
        <w:spacing w:line="357" w:lineRule="auto" w:before="51"/>
        <w:ind w:left="253" w:right="1751"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如是按照预期信用损失一般模型计提应收账款坏账准备，请参照其他应收款的披露方式披露坏账准备的相关信息：</w:t>
      </w:r>
    </w:p>
    <w:p>
      <w:pPr>
        <w:spacing w:line="338" w:lineRule="auto" w:before="29"/>
        <w:ind w:left="254" w:right="855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按账龄披露</w:t>
      </w:r>
    </w:p>
    <w:p>
      <w:pPr>
        <w:spacing w:before="42"/>
        <w:ind w:left="0" w:right="1129"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49" w:type="dxa"/>
        <w:tblLayout w:type="fixed"/>
        <w:tblCellMar>
          <w:top w:w="0" w:type="dxa"/>
          <w:left w:w="0" w:type="dxa"/>
          <w:bottom w:w="0" w:type="dxa"/>
          <w:right w:w="0" w:type="dxa"/>
        </w:tblCellMar>
        <w:tblLook w:val="01E0"/>
      </w:tblPr>
      <w:tblGrid>
        <w:gridCol w:w="4784"/>
        <w:gridCol w:w="4783"/>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40,441,854.55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40,361,488.83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80,365.72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334,412.65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34,062.50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1,511,720.18</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1,511,720.18</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42,322,049.88</w:t>
            </w:r>
          </w:p>
        </w:tc>
      </w:tr>
    </w:tbl>
    <w:p>
      <w:pPr>
        <w:spacing w:line="240" w:lineRule="auto" w:before="2"/>
        <w:rPr>
          <w:rFonts w:ascii="宋体" w:hAnsi="宋体" w:cs="宋体" w:eastAsia="宋体" w:hint="default"/>
          <w:sz w:val="19"/>
          <w:szCs w:val="19"/>
        </w:rPr>
      </w:pPr>
    </w:p>
    <w:p>
      <w:pPr>
        <w:pStyle w:val="Heading4"/>
        <w:spacing w:line="240" w:lineRule="auto" w:before="35"/>
        <w:ind w:left="254" w:right="1013"/>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54" w:right="1013"/>
        <w:jc w:val="left"/>
        <w:rPr>
          <w:b w:val="0"/>
          <w:bCs w:val="0"/>
        </w:rPr>
      </w:pP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54" w:right="1013"/>
        <w:jc w:val="left"/>
        <w:rPr>
          <w:b w:val="0"/>
          <w:bCs w:val="0"/>
        </w:rPr>
      </w:pP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920" w:right="109" w:hanging="810"/>
              <w:jc w:val="left"/>
              <w:rPr>
                <w:rFonts w:ascii="宋体" w:hAnsi="宋体" w:cs="宋体" w:eastAsia="宋体" w:hint="default"/>
                <w:sz w:val="18"/>
                <w:szCs w:val="18"/>
              </w:rPr>
            </w:pPr>
            <w:r>
              <w:rPr>
                <w:rFonts w:ascii="宋体" w:hAnsi="宋体" w:cs="宋体" w:eastAsia="宋体" w:hint="default"/>
                <w:sz w:val="18"/>
                <w:szCs w:val="18"/>
              </w:rPr>
              <w:t>占应收账款期末余额合计数 的比例</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湖南安妮特种涂布纸有限公 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27,431,505.09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64.82%</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上海超级标贴系统有限公司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7,683,432.31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18.15%</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安妮（香港）有限公司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2,201,478.92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5.20%</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南京安妮全纸业有限公司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1,510,748.54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3.57%</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北京旌旗源弘科贸有限公司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1,239,187.37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2.93%</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4" w:right="0"/>
              <w:jc w:val="left"/>
              <w:rPr>
                <w:rFonts w:ascii="Times New Roman" w:hAnsi="Times New Roman" w:cs="Times New Roman" w:eastAsia="Times New Roman" w:hint="default"/>
                <w:sz w:val="18"/>
                <w:szCs w:val="18"/>
              </w:rPr>
            </w:pPr>
            <w:r>
              <w:rPr>
                <w:rFonts w:ascii="Times New Roman"/>
                <w:sz w:val="18"/>
              </w:rPr>
              <w:t>1,239,187.37</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40,066,352.23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94.67%</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spacing w:after="0"/>
        <w:sectPr>
          <w:pgSz w:w="11910" w:h="16840"/>
          <w:pgMar w:header="877" w:footer="982" w:top="1100" w:bottom="1180" w:left="880" w:right="0"/>
        </w:sectPr>
      </w:pPr>
    </w:p>
    <w:p>
      <w:pPr>
        <w:spacing w:line="240" w:lineRule="auto" w:before="10"/>
        <w:rPr>
          <w:rFonts w:ascii="宋体" w:hAnsi="宋体" w:cs="宋体" w:eastAsia="宋体" w:hint="default"/>
          <w:sz w:val="20"/>
          <w:szCs w:val="20"/>
        </w:rPr>
      </w:pPr>
    </w:p>
    <w:p>
      <w:pPr>
        <w:pStyle w:val="Heading4"/>
        <w:spacing w:line="240" w:lineRule="auto" w:before="35"/>
        <w:ind w:left="214" w:right="1113"/>
        <w:jc w:val="left"/>
        <w:rPr>
          <w:b w:val="0"/>
          <w:bCs w:val="0"/>
        </w:rPr>
      </w:pP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14" w:right="1113"/>
        <w:jc w:val="left"/>
        <w:rPr>
          <w:b w:val="0"/>
          <w:bCs w:val="0"/>
        </w:rPr>
      </w:pP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8"/>
        <w:rPr>
          <w:rFonts w:ascii="宋体" w:hAnsi="宋体" w:cs="宋体" w:eastAsia="宋体" w:hint="default"/>
          <w:b/>
          <w:bCs/>
          <w:sz w:val="26"/>
          <w:szCs w:val="26"/>
        </w:rPr>
      </w:pPr>
    </w:p>
    <w:p>
      <w:pPr>
        <w:spacing w:before="0"/>
        <w:ind w:left="214" w:right="111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left="214" w:right="1113"/>
        <w:jc w:val="left"/>
        <w:rPr>
          <w:b w:val="0"/>
          <w:bCs w:val="0"/>
        </w:rPr>
      </w:pPr>
      <w:r>
        <w:rPr>
          <w:rFonts w:ascii="Times New Roman" w:hAnsi="Times New Roman" w:cs="Times New Roman" w:eastAsia="Times New Roman" w:hint="default"/>
        </w:rPr>
        <w:t>2</w:t>
      </w:r>
      <w:r>
        <w:rPr/>
        <w:t>、其他应收款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3284"/>
        <w:gridCol w:w="3284"/>
        <w:gridCol w:w="3286"/>
      </w:tblGrid>
      <w:tr>
        <w:trPr>
          <w:trHeight w:val="349" w:hRule="exact"/>
        </w:trPr>
        <w:tc>
          <w:tcPr>
            <w:tcW w:w="328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3"/>
              <w:ind w:left="88" w:right="0"/>
              <w:jc w:val="center"/>
              <w:rPr>
                <w:rFonts w:ascii="宋体" w:hAnsi="宋体" w:cs="宋体" w:eastAsia="宋体" w:hint="default"/>
                <w:sz w:val="18"/>
                <w:szCs w:val="18"/>
              </w:rPr>
            </w:pPr>
            <w:r>
              <w:rPr>
                <w:rFonts w:ascii="宋体" w:hAnsi="宋体" w:cs="宋体" w:eastAsia="宋体" w:hint="default"/>
                <w:sz w:val="18"/>
                <w:szCs w:val="18"/>
              </w:rPr>
              <w:t>类别 </w:t>
            </w:r>
          </w:p>
        </w:tc>
        <w:tc>
          <w:tcPr>
            <w:tcW w:w="328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3"/>
              <w:ind w:left="88" w:right="0"/>
              <w:jc w:val="center"/>
              <w:rPr>
                <w:rFonts w:ascii="宋体" w:hAnsi="宋体" w:cs="宋体" w:eastAsia="宋体" w:hint="default"/>
                <w:sz w:val="18"/>
                <w:szCs w:val="18"/>
              </w:rPr>
            </w:pPr>
            <w:r>
              <w:rPr>
                <w:rFonts w:ascii="宋体" w:hAnsi="宋体" w:cs="宋体" w:eastAsia="宋体" w:hint="default"/>
                <w:sz w:val="18"/>
                <w:szCs w:val="18"/>
              </w:rPr>
              <w:t>期末余额 </w:t>
            </w:r>
          </w:p>
        </w:tc>
        <w:tc>
          <w:tcPr>
            <w:tcW w:w="328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3"/>
              <w:ind w:left="87" w:right="0"/>
              <w:jc w:val="center"/>
              <w:rPr>
                <w:rFonts w:ascii="宋体" w:hAnsi="宋体" w:cs="宋体" w:eastAsia="宋体" w:hint="default"/>
                <w:sz w:val="18"/>
                <w:szCs w:val="18"/>
              </w:rPr>
            </w:pPr>
            <w:r>
              <w:rPr>
                <w:rFonts w:ascii="宋体" w:hAnsi="宋体" w:cs="宋体" w:eastAsia="宋体" w:hint="default"/>
                <w:sz w:val="18"/>
                <w:szCs w:val="18"/>
              </w:rPr>
              <w:t>期初余额 </w:t>
            </w:r>
          </w:p>
        </w:tc>
      </w:tr>
      <w:tr>
        <w:trPr>
          <w:trHeight w:val="350" w:hRule="exact"/>
        </w:trPr>
        <w:tc>
          <w:tcPr>
            <w:tcW w:w="328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应收利息 </w:t>
            </w:r>
          </w:p>
        </w:tc>
        <w:tc>
          <w:tcPr>
            <w:tcW w:w="3284" w:type="dxa"/>
            <w:tcBorders>
              <w:top w:val="single" w:sz="4" w:space="0" w:color="000000"/>
              <w:left w:val="single" w:sz="4" w:space="0" w:color="000000"/>
              <w:bottom w:val="single" w:sz="4" w:space="0" w:color="000000"/>
              <w:right w:val="single" w:sz="4" w:space="0" w:color="000000"/>
            </w:tcBorders>
          </w:tcPr>
          <w:p>
            <w:pP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3"/>
              <w:jc w:val="right"/>
              <w:rPr>
                <w:rFonts w:ascii="Arial" w:hAnsi="Arial" w:cs="Arial" w:eastAsia="Arial" w:hint="default"/>
                <w:sz w:val="18"/>
                <w:szCs w:val="18"/>
              </w:rPr>
            </w:pPr>
            <w:r>
              <w:rPr>
                <w:rFonts w:ascii="Arial"/>
                <w:spacing w:val="-1"/>
                <w:w w:val="80"/>
                <w:sz w:val="18"/>
              </w:rPr>
              <w:t>568,333.33</w:t>
            </w:r>
            <w:r>
              <w:rPr>
                <w:rFonts w:ascii="Arial"/>
                <w:spacing w:val="-1"/>
                <w:sz w:val="18"/>
              </w:rPr>
            </w:r>
          </w:p>
        </w:tc>
      </w:tr>
      <w:tr>
        <w:trPr>
          <w:trHeight w:val="350" w:hRule="exact"/>
        </w:trPr>
        <w:tc>
          <w:tcPr>
            <w:tcW w:w="328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应收股利 </w:t>
            </w:r>
          </w:p>
        </w:tc>
        <w:tc>
          <w:tcPr>
            <w:tcW w:w="3284" w:type="dxa"/>
            <w:tcBorders>
              <w:top w:val="single" w:sz="4" w:space="0" w:color="000000"/>
              <w:left w:val="single" w:sz="4" w:space="0" w:color="000000"/>
              <w:bottom w:val="single" w:sz="4" w:space="0" w:color="000000"/>
              <w:right w:val="single" w:sz="4" w:space="0" w:color="000000"/>
            </w:tcBorders>
          </w:tcPr>
          <w:p>
            <w:pPr/>
          </w:p>
        </w:tc>
        <w:tc>
          <w:tcPr>
            <w:tcW w:w="32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8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其他应收款项 </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93,828,786.33</w:t>
            </w:r>
            <w:r>
              <w:rPr>
                <w:rFonts w:ascii="Arial"/>
                <w:spacing w:val="-1"/>
                <w:sz w:val="18"/>
              </w:rPr>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3"/>
              <w:jc w:val="right"/>
              <w:rPr>
                <w:rFonts w:ascii="Arial" w:hAnsi="Arial" w:cs="Arial" w:eastAsia="Arial" w:hint="default"/>
                <w:sz w:val="18"/>
                <w:szCs w:val="18"/>
              </w:rPr>
            </w:pPr>
            <w:r>
              <w:rPr>
                <w:rFonts w:ascii="Arial"/>
                <w:spacing w:val="-1"/>
                <w:w w:val="80"/>
                <w:sz w:val="18"/>
              </w:rPr>
              <w:t>101,664,184.66</w:t>
            </w:r>
            <w:r>
              <w:rPr>
                <w:rFonts w:ascii="Arial"/>
                <w:sz w:val="18"/>
              </w:rPr>
            </w:r>
          </w:p>
        </w:tc>
      </w:tr>
      <w:tr>
        <w:trPr>
          <w:trHeight w:val="402" w:hRule="exact"/>
        </w:trPr>
        <w:tc>
          <w:tcPr>
            <w:tcW w:w="328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0"/>
              <w:ind w:left="1183" w:right="0"/>
              <w:jc w:val="left"/>
              <w:rPr>
                <w:rFonts w:ascii="宋体" w:hAnsi="宋体" w:cs="宋体" w:eastAsia="宋体" w:hint="default"/>
                <w:sz w:val="18"/>
                <w:szCs w:val="18"/>
              </w:rPr>
            </w:pPr>
            <w:r>
              <w:rPr>
                <w:rFonts w:ascii="宋体" w:hAnsi="宋体" w:cs="宋体" w:eastAsia="宋体" w:hint="default"/>
                <w:sz w:val="18"/>
                <w:szCs w:val="18"/>
              </w:rPr>
              <w:t>减：坏账准备 </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3"/>
                <w:w w:val="80"/>
                <w:sz w:val="18"/>
              </w:rPr>
              <w:t>811,677.77</w:t>
            </w:r>
            <w:r>
              <w:rPr>
                <w:rFonts w:ascii="Arial"/>
                <w:spacing w:val="-3"/>
                <w:sz w:val="18"/>
              </w:rPr>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3"/>
              <w:jc w:val="right"/>
              <w:rPr>
                <w:rFonts w:ascii="Arial" w:hAnsi="Arial" w:cs="Arial" w:eastAsia="Arial" w:hint="default"/>
                <w:sz w:val="18"/>
                <w:szCs w:val="18"/>
              </w:rPr>
            </w:pPr>
            <w:r>
              <w:rPr>
                <w:rFonts w:ascii="Arial"/>
                <w:spacing w:val="-1"/>
                <w:w w:val="80"/>
                <w:sz w:val="18"/>
              </w:rPr>
              <w:t>191,079.60</w:t>
            </w:r>
            <w:r>
              <w:rPr>
                <w:rFonts w:ascii="Arial"/>
                <w:spacing w:val="-1"/>
                <w:sz w:val="18"/>
              </w:rPr>
            </w:r>
          </w:p>
        </w:tc>
      </w:tr>
      <w:tr>
        <w:trPr>
          <w:trHeight w:val="402" w:hRule="exact"/>
        </w:trPr>
        <w:tc>
          <w:tcPr>
            <w:tcW w:w="3284"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0"/>
              <w:ind w:left="88"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Arial" w:hAnsi="Arial" w:cs="Arial" w:eastAsia="Arial" w:hint="default"/>
                <w:sz w:val="18"/>
                <w:szCs w:val="18"/>
              </w:rPr>
            </w:pPr>
            <w:r>
              <w:rPr>
                <w:rFonts w:ascii="Arial"/>
                <w:spacing w:val="-1"/>
                <w:w w:val="80"/>
                <w:sz w:val="18"/>
              </w:rPr>
              <w:t>93,017,108.56</w:t>
            </w:r>
            <w:r>
              <w:rPr>
                <w:rFonts w:ascii="Arial"/>
                <w:spacing w:val="-1"/>
                <w:sz w:val="18"/>
              </w:rPr>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3"/>
              <w:jc w:val="right"/>
              <w:rPr>
                <w:rFonts w:ascii="Arial" w:hAnsi="Arial" w:cs="Arial" w:eastAsia="Arial" w:hint="default"/>
                <w:sz w:val="18"/>
                <w:szCs w:val="18"/>
              </w:rPr>
            </w:pPr>
            <w:r>
              <w:rPr>
                <w:rFonts w:ascii="Arial"/>
                <w:spacing w:val="-1"/>
                <w:w w:val="80"/>
                <w:sz w:val="18"/>
              </w:rPr>
              <w:t>102,041,438.39</w:t>
            </w:r>
            <w:r>
              <w:rPr>
                <w:rFonts w:ascii="Arial"/>
                <w:sz w:val="18"/>
              </w:rPr>
            </w:r>
          </w:p>
        </w:tc>
      </w:tr>
    </w:tbl>
    <w:p>
      <w:pPr>
        <w:spacing w:line="240" w:lineRule="auto" w:before="2"/>
        <w:rPr>
          <w:rFonts w:ascii="宋体" w:hAnsi="宋体" w:cs="宋体" w:eastAsia="宋体" w:hint="default"/>
          <w:sz w:val="19"/>
          <w:szCs w:val="19"/>
        </w:rPr>
      </w:pPr>
    </w:p>
    <w:p>
      <w:pPr>
        <w:pStyle w:val="Heading4"/>
        <w:spacing w:line="240" w:lineRule="auto" w:before="35"/>
        <w:ind w:left="214" w:right="1113"/>
        <w:jc w:val="left"/>
        <w:rPr>
          <w:b w:val="0"/>
          <w:bCs w:val="0"/>
        </w:rPr>
      </w:pPr>
      <w:r>
        <w:rPr/>
        <w:t>（</w:t>
      </w:r>
      <w:r>
        <w:rPr>
          <w:rFonts w:ascii="Times New Roman" w:hAnsi="Times New Roman" w:cs="Times New Roman" w:eastAsia="Times New Roman" w:hint="default"/>
        </w:rPr>
        <w:t>1</w:t>
      </w:r>
      <w:r>
        <w:rPr/>
        <w:t>）应收利息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14" w:right="1113"/>
        <w:jc w:val="left"/>
        <w:rPr>
          <w:b w:val="0"/>
          <w:bCs w:val="0"/>
        </w:rPr>
      </w:pPr>
      <w:r>
        <w:rPr>
          <w:rFonts w:ascii="Times New Roman" w:hAnsi="Times New Roman" w:cs="Times New Roman" w:eastAsia="Times New Roman" w:hint="default"/>
        </w:rPr>
        <w:t>1</w:t>
      </w:r>
      <w:r>
        <w:rPr/>
        <w:t>）应收利息分类</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3190"/>
        <w:gridCol w:w="3191"/>
        <w:gridCol w:w="3188"/>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568,333.33</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568,333.33</w:t>
            </w:r>
          </w:p>
        </w:tc>
      </w:tr>
    </w:tbl>
    <w:p>
      <w:pPr>
        <w:spacing w:line="240" w:lineRule="auto" w:before="2"/>
        <w:rPr>
          <w:rFonts w:ascii="宋体" w:hAnsi="宋体" w:cs="宋体" w:eastAsia="宋体" w:hint="default"/>
          <w:sz w:val="19"/>
          <w:szCs w:val="19"/>
        </w:rPr>
      </w:pPr>
    </w:p>
    <w:p>
      <w:pPr>
        <w:pStyle w:val="Heading4"/>
        <w:spacing w:line="240" w:lineRule="auto" w:before="35"/>
        <w:ind w:left="214" w:right="1113"/>
        <w:jc w:val="left"/>
        <w:rPr>
          <w:b w:val="0"/>
          <w:bCs w:val="0"/>
        </w:rPr>
      </w:pPr>
      <w:r>
        <w:rPr>
          <w:rFonts w:ascii="Times New Roman" w:hAnsi="Times New Roman" w:cs="Times New Roman" w:eastAsia="Times New Roman" w:hint="default"/>
        </w:rPr>
        <w:t>2</w:t>
      </w:r>
      <w:r>
        <w:rPr/>
        <w:t>）重要逾期利息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14" w:right="1113"/>
        <w:jc w:val="left"/>
        <w:rPr>
          <w:b w:val="0"/>
          <w:bCs w:val="0"/>
        </w:rPr>
      </w:pPr>
      <w:r>
        <w:rPr>
          <w:rFonts w:ascii="Times New Roman" w:hAnsi="Times New Roman" w:cs="Times New Roman" w:eastAsia="Times New Roman" w:hint="default"/>
        </w:rPr>
        <w:t>3</w:t>
      </w:r>
      <w:r>
        <w:rPr/>
        <w:t>）坏账准备计提情况</w:t>
      </w:r>
      <w:r>
        <w:rPr>
          <w:b w:val="0"/>
          <w:bCs w:val="0"/>
        </w:rPr>
      </w:r>
    </w:p>
    <w:p>
      <w:pPr>
        <w:spacing w:line="240" w:lineRule="auto" w:before="8"/>
        <w:rPr>
          <w:rFonts w:ascii="宋体" w:hAnsi="宋体" w:cs="宋体" w:eastAsia="宋体" w:hint="default"/>
          <w:b/>
          <w:bCs/>
          <w:sz w:val="26"/>
          <w:szCs w:val="26"/>
        </w:rPr>
      </w:pPr>
    </w:p>
    <w:p>
      <w:pPr>
        <w:spacing w:before="0"/>
        <w:ind w:left="214" w:right="11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left="214" w:right="1113"/>
        <w:jc w:val="left"/>
        <w:rPr>
          <w:b w:val="0"/>
          <w:bCs w:val="0"/>
        </w:rPr>
      </w:pPr>
      <w:r>
        <w:rPr/>
        <w:t>（</w:t>
      </w:r>
      <w:r>
        <w:rPr>
          <w:rFonts w:ascii="Times New Roman" w:hAnsi="Times New Roman" w:cs="Times New Roman" w:eastAsia="Times New Roman" w:hint="default"/>
        </w:rPr>
        <w:t>2</w:t>
      </w:r>
      <w:r>
        <w:rPr/>
        <w:t>）应收股利</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left="214" w:right="1113"/>
        <w:jc w:val="left"/>
        <w:rPr>
          <w:b w:val="0"/>
          <w:bCs w:val="0"/>
        </w:rPr>
      </w:pPr>
      <w:r>
        <w:rPr>
          <w:rFonts w:ascii="Times New Roman" w:hAnsi="Times New Roman" w:cs="Times New Roman" w:eastAsia="Times New Roman" w:hint="default"/>
        </w:rPr>
        <w:t>1</w:t>
      </w:r>
      <w:r>
        <w:rPr/>
        <w:t>）应收股利分类</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14" w:right="1113"/>
        <w:jc w:val="left"/>
        <w:rPr>
          <w:b w:val="0"/>
          <w:bCs w:val="0"/>
        </w:rPr>
      </w:pPr>
      <w:r>
        <w:rPr>
          <w:rFonts w:ascii="Times New Roman" w:hAnsi="Times New Roman" w:cs="Times New Roman" w:eastAsia="Times New Roman" w:hint="default"/>
        </w:rPr>
        <w:t>2</w:t>
      </w:r>
      <w:r>
        <w:rPr/>
        <w:t>）重要的账龄超过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年的应收股利</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14" w:right="1113"/>
        <w:jc w:val="left"/>
        <w:rPr>
          <w:b w:val="0"/>
          <w:bCs w:val="0"/>
        </w:rPr>
      </w:pPr>
      <w:r>
        <w:rPr>
          <w:rFonts w:ascii="Times New Roman" w:hAnsi="Times New Roman" w:cs="Times New Roman" w:eastAsia="Times New Roman" w:hint="default"/>
        </w:rPr>
        <w:t>3</w:t>
      </w:r>
      <w:r>
        <w:rPr/>
        <w:t>）坏账准备计提情况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214" w:right="90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其他说明：</w:t>
      </w:r>
    </w:p>
    <w:p>
      <w:pPr>
        <w:spacing w:after="0" w:line="340" w:lineRule="auto"/>
        <w:jc w:val="left"/>
        <w:rPr>
          <w:rFonts w:ascii="宋体" w:hAnsi="宋体" w:cs="宋体" w:eastAsia="宋体" w:hint="default"/>
          <w:sz w:val="18"/>
          <w:szCs w:val="18"/>
        </w:rPr>
        <w:sectPr>
          <w:pgSz w:w="11910" w:h="16840"/>
          <w:pgMar w:header="877" w:footer="982" w:top="1100" w:bottom="1180" w:left="920" w:right="0"/>
        </w:sectPr>
      </w:pPr>
    </w:p>
    <w:p>
      <w:pPr>
        <w:spacing w:line="240" w:lineRule="auto" w:before="9"/>
        <w:rPr>
          <w:rFonts w:ascii="宋体" w:hAnsi="宋体" w:cs="宋体" w:eastAsia="宋体" w:hint="default"/>
          <w:sz w:val="20"/>
          <w:szCs w:val="20"/>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）其他应收款按款项性质分类情况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1"/>
        <w:gridCol w:w="3191"/>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049"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保证金、押金等</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325,366.90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27,800.00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往来款等</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92,691,741.66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101,445,305.06</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93,017,108.56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101,473,105.06</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2</w:t>
      </w:r>
      <w:r>
        <w:rPr/>
        <w:t>）坏账准备计提情况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59"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683"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3"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2"/>
              <w:ind w:left="549" w:right="54" w:hanging="496"/>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个月预期信 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6"/>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76"/>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4"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8,305.72</w:t>
            </w: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182,773.88</w:t>
            </w: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191,079.60</w:t>
            </w: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2"/>
              <w:ind w:left="22" w:right="3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日余额在 本期</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46,750.10</w:t>
            </w: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573,848.07</w:t>
            </w: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620,598.17</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55,055.82</w:t>
            </w: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756,621.95</w:t>
            </w: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811,677.77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损失准备本期变动金额重大的账面余额变动情况</w:t>
      </w:r>
    </w:p>
    <w:p>
      <w:pPr>
        <w:spacing w:line="340" w:lineRule="auto" w:before="116"/>
        <w:ind w:left="154" w:right="156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060" w:bottom="1180" w:left="980" w:right="0"/>
          <w:cols w:num="2" w:equalWidth="0">
            <w:col w:w="3935" w:space="4894"/>
            <w:col w:w="210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4"/>
        <w:gridCol w:w="4783"/>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2,716,790.60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2,692,790.60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24,000.00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142,499.35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24,000.65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735,171.82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735,171.82</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3,618,462.42</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本期计提坏账准备情况：</w:t>
      </w:r>
    </w:p>
    <w:p>
      <w:pPr>
        <w:spacing w:after="0"/>
        <w:jc w:val="left"/>
        <w:rPr>
          <w:rFonts w:ascii="宋体" w:hAnsi="宋体" w:cs="宋体" w:eastAsia="宋体" w:hint="default"/>
          <w:sz w:val="18"/>
          <w:szCs w:val="18"/>
        </w:rPr>
        <w:sectPr>
          <w:type w:val="continuous"/>
          <w:pgSz w:w="11910" w:h="16840"/>
          <w:pgMar w:top="1060" w:bottom="1180" w:left="980" w:right="0"/>
        </w:sectPr>
      </w:pPr>
    </w:p>
    <w:p>
      <w:pPr>
        <w:spacing w:line="240" w:lineRule="auto" w:before="9"/>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4</w:t>
      </w:r>
      <w:r>
        <w:rPr/>
        <w:t>）本期实际核销的其他应收款情况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94"/>
        <w:gridCol w:w="1276"/>
        <w:gridCol w:w="1417"/>
        <w:gridCol w:w="953"/>
        <w:gridCol w:w="1883"/>
        <w:gridCol w:w="1346"/>
      </w:tblGrid>
      <w:tr>
        <w:trPr>
          <w:trHeight w:val="713" w:hRule="exact"/>
        </w:trPr>
        <w:tc>
          <w:tcPr>
            <w:tcW w:w="26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8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395" w:right="35" w:hanging="360"/>
              <w:jc w:val="left"/>
              <w:rPr>
                <w:rFonts w:ascii="宋体" w:hAnsi="宋体" w:cs="宋体" w:eastAsia="宋体" w:hint="default"/>
                <w:sz w:val="18"/>
                <w:szCs w:val="18"/>
              </w:rPr>
            </w:pPr>
            <w:r>
              <w:rPr>
                <w:rFonts w:ascii="宋体" w:hAnsi="宋体" w:cs="宋体" w:eastAsia="宋体" w:hint="default"/>
                <w:sz w:val="18"/>
                <w:szCs w:val="18"/>
              </w:rPr>
              <w:t>占其他应收款期末余额 合计数的比例</w:t>
            </w:r>
          </w:p>
        </w:tc>
        <w:tc>
          <w:tcPr>
            <w:tcW w:w="13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578" w:right="36"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北京至美数码防伪印务有限公司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67,272,156.02</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71.70%</w:t>
            </w:r>
            <w:r>
              <w:rPr>
                <w:rFonts w:ascii="Times New Roman"/>
                <w:sz w:val="18"/>
              </w:rPr>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39"/>
              <w:jc w:val="left"/>
              <w:rPr>
                <w:rFonts w:ascii="宋体" w:hAnsi="宋体" w:cs="宋体" w:eastAsia="宋体" w:hint="default"/>
                <w:sz w:val="18"/>
                <w:szCs w:val="18"/>
              </w:rPr>
            </w:pPr>
            <w:r>
              <w:rPr>
                <w:rFonts w:ascii="宋体" w:hAnsi="宋体" w:cs="宋体" w:eastAsia="宋体" w:hint="default"/>
                <w:sz w:val="18"/>
                <w:szCs w:val="18"/>
              </w:rPr>
              <w:t>北京安妮全版权科技发展有限公 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14,142,718.10</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15.07%</w:t>
            </w:r>
            <w:r>
              <w:rPr>
                <w:rFonts w:ascii="Times New Roman"/>
                <w:sz w:val="18"/>
              </w:rPr>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北京版全家科技发展有限公司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3,300,000.00</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3.52%</w:t>
            </w:r>
            <w:r>
              <w:rPr>
                <w:rFonts w:ascii="Times New Roman"/>
                <w:sz w:val="18"/>
              </w:rPr>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深圳市微梦想网络技术有限公司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2,886,147.47</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3.08%</w:t>
            </w:r>
            <w:r>
              <w:rPr>
                <w:rFonts w:ascii="Times New Roman"/>
                <w:sz w:val="18"/>
              </w:rPr>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2"/>
              <w:jc w:val="left"/>
              <w:rPr>
                <w:rFonts w:ascii="宋体" w:hAnsi="宋体" w:cs="宋体" w:eastAsia="宋体" w:hint="default"/>
                <w:sz w:val="18"/>
                <w:szCs w:val="18"/>
              </w:rPr>
            </w:pPr>
            <w:r>
              <w:rPr>
                <w:rFonts w:ascii="宋体" w:hAnsi="宋体" w:cs="宋体" w:eastAsia="宋体" w:hint="default"/>
                <w:spacing w:val="-5"/>
                <w:sz w:val="18"/>
                <w:szCs w:val="18"/>
              </w:rPr>
              <w:t>庆云巨棒文化产业投资中心（有限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合伙）</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股权销售款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2,505,000.00</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2.67%</w:t>
            </w:r>
            <w:r>
              <w:rPr>
                <w:rFonts w:ascii="Times New Roman"/>
                <w:sz w:val="18"/>
              </w:rPr>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50,100.00</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90,106,021.59</w:t>
            </w:r>
          </w:p>
        </w:tc>
        <w:tc>
          <w:tcPr>
            <w:tcW w:w="9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96.03%</w:t>
            </w:r>
            <w:r>
              <w:rPr>
                <w:rFonts w:ascii="Times New Roman"/>
                <w:sz w:val="18"/>
              </w:rPr>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50,100.00</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rFonts w:ascii="Times New Roman" w:hAnsi="Times New Roman" w:cs="Times New Roman" w:eastAsia="Times New Roman" w:hint="default"/>
        </w:rPr>
        <w:t>6</w:t>
      </w:r>
      <w:r>
        <w:rPr/>
        <w:t>）涉及政府补助的应收款项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153" w:right="0"/>
        <w:jc w:val="left"/>
        <w:rPr>
          <w:b w:val="0"/>
          <w:bCs w:val="0"/>
        </w:rPr>
      </w:pP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0"/>
        <w:jc w:val="left"/>
        <w:rPr>
          <w:b w:val="0"/>
          <w:bCs w:val="0"/>
        </w:rPr>
      </w:pPr>
      <w:r>
        <w:rPr>
          <w:rFonts w:ascii="Times New Roman" w:hAnsi="Times New Roman" w:cs="Times New Roman" w:eastAsia="Times New Roman" w:hint="default"/>
        </w:rPr>
        <w:t>3</w:t>
      </w:r>
      <w:r>
        <w:rPr/>
        <w:t>、长期股权投资</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1,750,123,976.09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608,835,660.36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1,141,288,315.73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1,746,268,976.09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388,220,861.74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1,358,048,114.35</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73"/>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42,440,282.10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42,440,282.10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31,971,496.43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31,971,496.43</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1,792,564,258.19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608,835,660.36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1,183,728,597.83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1,778,240,472.52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388,220,861.74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1,390,019,610.78</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60"/>
        <w:gridCol w:w="1559"/>
        <w:gridCol w:w="1134"/>
        <w:gridCol w:w="992"/>
        <w:gridCol w:w="1276"/>
        <w:gridCol w:w="623"/>
        <w:gridCol w:w="1213"/>
        <w:gridCol w:w="1213"/>
      </w:tblGrid>
      <w:tr>
        <w:trPr>
          <w:trHeight w:val="402" w:hRule="exact"/>
        </w:trPr>
        <w:tc>
          <w:tcPr>
            <w:tcW w:w="156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559" w:type="dxa"/>
            <w:vMerge w:val="restart"/>
            <w:tcBorders>
              <w:top w:val="single" w:sz="4" w:space="0" w:color="000000"/>
              <w:left w:val="single" w:sz="4" w:space="0" w:color="000000"/>
              <w:right w:val="single" w:sz="4" w:space="0" w:color="000000"/>
            </w:tcBorders>
            <w:shd w:val="clear" w:color="auto" w:fill="D3D3D3"/>
          </w:tcPr>
          <w:p>
            <w:pPr>
              <w:pStyle w:val="TableParagraph"/>
              <w:spacing w:line="300" w:lineRule="auto" w:before="96"/>
              <w:ind w:left="653" w:right="113" w:hanging="540"/>
              <w:jc w:val="left"/>
              <w:rPr>
                <w:rFonts w:ascii="Times New Roman" w:hAnsi="Times New Roman" w:cs="Times New Roman" w:eastAsia="Times New Roman"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402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213" w:type="dxa"/>
            <w:vMerge w:val="restart"/>
            <w:tcBorders>
              <w:top w:val="single" w:sz="4" w:space="0" w:color="000000"/>
              <w:left w:val="single" w:sz="4" w:space="0" w:color="000000"/>
              <w:right w:val="single" w:sz="4" w:space="0" w:color="000000"/>
            </w:tcBorders>
            <w:shd w:val="clear" w:color="auto" w:fill="D3D3D3"/>
          </w:tcPr>
          <w:p>
            <w:pPr>
              <w:pStyle w:val="TableParagraph"/>
              <w:spacing w:line="300" w:lineRule="auto" w:before="96"/>
              <w:ind w:left="392" w:right="29" w:hanging="360"/>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账面 价值</w:t>
            </w:r>
            <w:r>
              <w:rPr>
                <w:rFonts w:ascii="Times New Roman" w:hAnsi="Times New Roman" w:cs="Times New Roman" w:eastAsia="Times New Roman" w:hint="default"/>
                <w:sz w:val="18"/>
                <w:szCs w:val="18"/>
              </w:rPr>
              <w:t>)</w:t>
            </w:r>
          </w:p>
        </w:tc>
        <w:tc>
          <w:tcPr>
            <w:tcW w:w="1213"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6"/>
              <w:ind w:left="421" w:right="60" w:hanging="360"/>
              <w:jc w:val="left"/>
              <w:rPr>
                <w:rFonts w:ascii="宋体" w:hAnsi="宋体" w:cs="宋体" w:eastAsia="宋体" w:hint="default"/>
                <w:sz w:val="18"/>
                <w:szCs w:val="18"/>
              </w:rPr>
            </w:pPr>
            <w:r>
              <w:rPr>
                <w:rFonts w:ascii="宋体" w:hAnsi="宋体" w:cs="宋体" w:eastAsia="宋体" w:hint="default"/>
                <w:sz w:val="18"/>
                <w:szCs w:val="18"/>
              </w:rPr>
              <w:t>减值准备期末 余额</w:t>
            </w:r>
          </w:p>
        </w:tc>
      </w:tr>
      <w:tr>
        <w:trPr>
          <w:trHeight w:val="401" w:hRule="exact"/>
        </w:trPr>
        <w:tc>
          <w:tcPr>
            <w:tcW w:w="1560" w:type="dxa"/>
            <w:vMerge/>
            <w:tcBorders>
              <w:left w:val="single" w:sz="4" w:space="0" w:color="000000"/>
              <w:bottom w:val="single" w:sz="4" w:space="0" w:color="000000"/>
              <w:right w:val="single" w:sz="4" w:space="0" w:color="000000"/>
            </w:tcBorders>
            <w:shd w:val="clear" w:color="auto" w:fill="D3D3D3"/>
          </w:tcPr>
          <w:p>
            <w:pPr/>
          </w:p>
        </w:tc>
        <w:tc>
          <w:tcPr>
            <w:tcW w:w="1559" w:type="dxa"/>
            <w:vMerge/>
            <w:tcBorders>
              <w:left w:val="single" w:sz="4" w:space="0" w:color="000000"/>
              <w:bottom w:val="single" w:sz="4" w:space="0" w:color="000000"/>
              <w:right w:val="single" w:sz="4" w:space="0" w:color="000000"/>
            </w:tcBorders>
            <w:shd w:val="clear" w:color="auto" w:fill="D3D3D3"/>
          </w:tcPr>
          <w:p>
            <w:pP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01"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30"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2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92" w:right="0"/>
              <w:jc w:val="left"/>
              <w:rPr>
                <w:rFonts w:ascii="宋体" w:hAnsi="宋体" w:cs="宋体" w:eastAsia="宋体" w:hint="default"/>
                <w:sz w:val="18"/>
                <w:szCs w:val="18"/>
              </w:rPr>
            </w:pPr>
            <w:r>
              <w:rPr>
                <w:rFonts w:ascii="宋体" w:hAnsi="宋体" w:cs="宋体" w:eastAsia="宋体" w:hint="default"/>
                <w:sz w:val="18"/>
                <w:szCs w:val="18"/>
              </w:rPr>
              <w:t>计提减值准备</w:t>
            </w:r>
          </w:p>
        </w:tc>
        <w:tc>
          <w:tcPr>
            <w:tcW w:w="6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13" w:type="dxa"/>
            <w:vMerge/>
            <w:tcBorders>
              <w:left w:val="single" w:sz="4" w:space="0" w:color="000000"/>
              <w:bottom w:val="single" w:sz="4" w:space="0" w:color="000000"/>
              <w:right w:val="single" w:sz="4" w:space="0" w:color="000000"/>
            </w:tcBorders>
            <w:shd w:val="clear" w:color="auto" w:fill="D3D3D3"/>
          </w:tcPr>
          <w:p>
            <w:pPr/>
          </w:p>
        </w:tc>
        <w:tc>
          <w:tcPr>
            <w:tcW w:w="1213"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北京至美数码防伪</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0" w:right="0"/>
              <w:jc w:val="left"/>
              <w:rPr>
                <w:rFonts w:ascii="Times New Roman" w:hAnsi="Times New Roman" w:cs="Times New Roman" w:eastAsia="Times New Roman" w:hint="default"/>
                <w:sz w:val="18"/>
                <w:szCs w:val="18"/>
              </w:rPr>
            </w:pPr>
            <w:r>
              <w:rPr>
                <w:rFonts w:ascii="Times New Roman"/>
                <w:sz w:val="18"/>
              </w:rPr>
              <w:t>59,495,000.00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6" w:right="0"/>
              <w:jc w:val="left"/>
              <w:rPr>
                <w:rFonts w:ascii="Times New Roman" w:hAnsi="Times New Roman" w:cs="Times New Roman" w:eastAsia="Times New Roman" w:hint="default"/>
                <w:sz w:val="18"/>
                <w:szCs w:val="18"/>
              </w:rPr>
            </w:pPr>
            <w:r>
              <w:rPr>
                <w:rFonts w:ascii="Times New Roman"/>
                <w:sz w:val="18"/>
              </w:rPr>
              <w:t>59,495,000.00</w:t>
            </w:r>
          </w:p>
        </w:tc>
        <w:tc>
          <w:tcPr>
            <w:tcW w:w="121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560"/>
        <w:gridCol w:w="1559"/>
        <w:gridCol w:w="1134"/>
        <w:gridCol w:w="992"/>
        <w:gridCol w:w="1276"/>
        <w:gridCol w:w="623"/>
        <w:gridCol w:w="1213"/>
        <w:gridCol w:w="1213"/>
      </w:tblGrid>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印务有限公司</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厦门安妮企业有限 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101,242,247.08</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101,242,247.08</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北京畅元国讯科技 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835,023,431.11</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7" w:right="0"/>
              <w:jc w:val="center"/>
              <w:rPr>
                <w:rFonts w:ascii="Times New Roman" w:hAnsi="Times New Roman" w:cs="Times New Roman" w:eastAsia="Times New Roman" w:hint="default"/>
                <w:sz w:val="18"/>
                <w:szCs w:val="18"/>
              </w:rPr>
            </w:pPr>
            <w:r>
              <w:rPr>
                <w:rFonts w:ascii="Times New Roman"/>
                <w:sz w:val="18"/>
              </w:rPr>
              <w:t>220,614,798.62</w:t>
            </w: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614,408,632.49</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523,591,367.51</w:t>
            </w: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厦门安妮知识产权 服务有限公司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202,499,254.23</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202,499,254.23</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北京市淘智惠电子 商务有限公司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2,800,000.00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3,800,000.00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深圳市微梦想网络 技术有限公司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32,638,140.49</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32,638,140.49</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85,244,292.85</w:t>
            </w: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厦门千实物业管理 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5,823,263.67</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5,823,263.67</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厦门恒千物业管理 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38,591,836.44</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38,591,836.44</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安妮（香港）有限 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29,634,941.33</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29,634,941.33</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北京联移合通科技 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50,300,000.00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50,300,000.00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厦门安普农食品有 限公司</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255,000.00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255,000.00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5"/>
              <w:jc w:val="left"/>
              <w:rPr>
                <w:rFonts w:ascii="宋体" w:hAnsi="宋体" w:cs="宋体" w:eastAsia="宋体" w:hint="default"/>
                <w:sz w:val="18"/>
                <w:szCs w:val="18"/>
              </w:rPr>
            </w:pPr>
            <w:r>
              <w:rPr>
                <w:rFonts w:ascii="宋体" w:hAnsi="宋体" w:cs="宋体" w:eastAsia="宋体" w:hint="default"/>
                <w:sz w:val="18"/>
                <w:szCs w:val="18"/>
              </w:rPr>
              <w:t>厦门安妮文化产业 开发有限公司</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2,600,000.00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2,600,000.00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1,358,048,114.35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3,855,000.00</w:t>
            </w: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7" w:right="0"/>
              <w:jc w:val="center"/>
              <w:rPr>
                <w:rFonts w:ascii="Times New Roman" w:hAnsi="Times New Roman" w:cs="Times New Roman" w:eastAsia="Times New Roman" w:hint="default"/>
                <w:sz w:val="18"/>
                <w:szCs w:val="18"/>
              </w:rPr>
            </w:pPr>
            <w:r>
              <w:rPr>
                <w:rFonts w:ascii="Times New Roman"/>
                <w:sz w:val="18"/>
              </w:rPr>
              <w:t>220,614,798.62</w:t>
            </w:r>
          </w:p>
        </w:tc>
        <w:tc>
          <w:tcPr>
            <w:tcW w:w="62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1,141,288,315.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73</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608,835,660.36</w:t>
            </w:r>
          </w:p>
        </w:tc>
      </w:tr>
    </w:tbl>
    <w:p>
      <w:pPr>
        <w:spacing w:line="240" w:lineRule="auto" w:before="2"/>
        <w:rPr>
          <w:rFonts w:ascii="宋体" w:hAnsi="宋体" w:cs="宋体" w:eastAsia="宋体" w:hint="default"/>
          <w:sz w:val="19"/>
          <w:szCs w:val="19"/>
        </w:rPr>
      </w:pPr>
    </w:p>
    <w:p>
      <w:pPr>
        <w:pStyle w:val="Heading4"/>
        <w:spacing w:line="240" w:lineRule="auto" w:before="35"/>
        <w:ind w:right="0"/>
        <w:jc w:val="left"/>
        <w:rPr>
          <w:b w:val="0"/>
          <w:bCs w:val="0"/>
        </w:rPr>
      </w:pPr>
      <w:r>
        <w:rPr/>
        <w:t>（</w:t>
      </w:r>
      <w:r>
        <w:rPr>
          <w:rFonts w:ascii="Times New Roman" w:hAnsi="Times New Roman" w:cs="Times New Roman" w:eastAsia="Times New Roman" w:hint="default"/>
        </w:rPr>
        <w:t>2</w:t>
      </w:r>
      <w:r>
        <w:rPr/>
        <w:t>）对联营、合营企业投资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309" w:lineRule="auto"/>
              <w:ind w:left="34" w:right="31"/>
              <w:jc w:val="center"/>
              <w:rPr>
                <w:rFonts w:ascii="Times New Roman" w:hAnsi="Times New Roman" w:cs="Times New Roman" w:eastAsia="Times New Roman" w:hint="default"/>
                <w:sz w:val="18"/>
                <w:szCs w:val="18"/>
              </w:rPr>
            </w:pPr>
            <w:r>
              <w:rPr>
                <w:rFonts w:ascii="宋体" w:hAnsi="宋体" w:cs="宋体" w:eastAsia="宋体" w:hint="default"/>
                <w:sz w:val="18"/>
                <w:szCs w:val="18"/>
              </w:rPr>
              <w:t>期初余额 </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309" w:lineRule="auto"/>
              <w:ind w:left="33" w:right="32"/>
              <w:jc w:val="center"/>
              <w:rPr>
                <w:rFonts w:ascii="Times New Roman" w:hAnsi="Times New Roman" w:cs="Times New Roman" w:eastAsia="Times New Roman" w:hint="default"/>
                <w:sz w:val="18"/>
                <w:szCs w:val="18"/>
              </w:rPr>
            </w:pPr>
            <w:r>
              <w:rPr>
                <w:rFonts w:ascii="宋体" w:hAnsi="宋体" w:cs="宋体" w:eastAsia="宋体" w:hint="default"/>
                <w:sz w:val="18"/>
                <w:szCs w:val="18"/>
              </w:rPr>
              <w:t>期末余额 </w:t>
            </w:r>
            <w:r>
              <w:rPr>
                <w:rFonts w:ascii="Times New Roman" w:hAnsi="Times New Roman" w:cs="Times New Roman" w:eastAsia="Times New Roman" w:hint="default"/>
                <w:sz w:val="18"/>
                <w:szCs w:val="18"/>
              </w:rPr>
              <w:t>(</w:t>
            </w:r>
            <w:r>
              <w:rPr>
                <w:rFonts w:ascii="宋体" w:hAnsi="宋体" w:cs="宋体" w:eastAsia="宋体" w:hint="default"/>
                <w:sz w:val="18"/>
                <w:szCs w:val="18"/>
              </w:rPr>
              <w:t>账面价 值</w:t>
            </w:r>
            <w:r>
              <w:rPr>
                <w:rFonts w:ascii="Times New Roman" w:hAnsi="Times New Roman" w:cs="Times New Roman" w:eastAsia="Times New Roman" w:hint="default"/>
                <w:sz w:val="18"/>
                <w:szCs w:val="18"/>
              </w:rPr>
              <w:t>)</w:t>
            </w:r>
          </w:p>
        </w:tc>
        <w:tc>
          <w:tcPr>
            <w:tcW w:w="79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3D3D3"/>
          </w:tcPr>
          <w:p>
            <w:pPr/>
          </w:p>
        </w:tc>
        <w:tc>
          <w:tcPr>
            <w:tcW w:w="798" w:type="dxa"/>
            <w:vMerge/>
            <w:tcBorders>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1"/>
              <w:jc w:val="righ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33" w:right="32"/>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3D3D3"/>
          </w:tcPr>
          <w:p>
            <w:pPr/>
          </w:p>
        </w:tc>
        <w:tc>
          <w:tcPr>
            <w:tcW w:w="798"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计易数据</w:t>
            </w:r>
          </w:p>
        </w:tc>
        <w:tc>
          <w:tcPr>
            <w:tcW w:w="798"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科技</w:t>
            </w:r>
            <w:r>
              <w:rPr>
                <w:rFonts w:ascii="Times New Roman" w:hAnsi="Times New Roman" w:cs="Times New Roman" w:eastAsia="Times New Roman" w:hint="default"/>
                <w:sz w:val="18"/>
                <w:szCs w:val="18"/>
              </w:rPr>
              <w:t>(</w:t>
            </w:r>
            <w:r>
              <w:rPr>
                <w:rFonts w:ascii="宋体" w:hAnsi="宋体" w:cs="宋体" w:eastAsia="宋体" w:hint="default"/>
                <w:sz w:val="18"/>
                <w:szCs w:val="18"/>
              </w:rPr>
              <w:t>上</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z w:val="18"/>
              </w:rPr>
              <w:t>31,971,49</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z w:val="18"/>
              </w:rPr>
              <w:t>1,050,000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w w:val="95"/>
                <w:sz w:val="18"/>
              </w:rPr>
              <w:t>-1,483,39</w:t>
            </w:r>
            <w:r>
              <w:rPr>
                <w:rFonts w:ascii="Times New Roman"/>
                <w:sz w:val="18"/>
              </w:rPr>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31,538,10</w:t>
            </w:r>
          </w:p>
        </w:tc>
        <w:tc>
          <w:tcPr>
            <w:tcW w:w="798" w:type="dxa"/>
            <w:vMerge/>
            <w:tcBorders>
              <w:left w:val="single" w:sz="4" w:space="0" w:color="000000"/>
              <w:right w:val="single" w:sz="4" w:space="0" w:color="000000"/>
            </w:tcBorders>
          </w:tcPr>
          <w:p>
            <w:pPr/>
          </w:p>
        </w:tc>
      </w:tr>
      <w:tr>
        <w:trPr>
          <w:trHeight w:val="313"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z w:val="18"/>
              </w:rPr>
              <w:t>6.43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z w:val="18"/>
              </w:rPr>
              <w:t>.00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z w:val="18"/>
              </w:rPr>
              <w:t>2.45</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z w:val="18"/>
              </w:rPr>
              <w:t>3.98</w:t>
            </w:r>
          </w:p>
        </w:tc>
        <w:tc>
          <w:tcPr>
            <w:tcW w:w="798" w:type="dxa"/>
            <w:vMerge/>
            <w:tcBorders>
              <w:left w:val="single" w:sz="4" w:space="0" w:color="000000"/>
              <w:right w:val="single" w:sz="4" w:space="0" w:color="000000"/>
            </w:tcBorders>
          </w:tcPr>
          <w:p>
            <w:pPr/>
          </w:p>
        </w:tc>
      </w:tr>
      <w:tr>
        <w:trPr>
          <w:trHeight w:val="352"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8"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82" w:top="1100" w:bottom="1180" w:left="980" w:right="0"/>
        </w:sectPr>
      </w:pPr>
    </w:p>
    <w:p>
      <w:pPr>
        <w:spacing w:line="240" w:lineRule="auto" w:before="6"/>
        <w:rPr>
          <w:rFonts w:ascii="宋体" w:hAnsi="宋体" w:cs="宋体" w:eastAsia="宋体" w:hint="default"/>
          <w:sz w:val="24"/>
          <w:szCs w:val="24"/>
        </w:rPr>
      </w:pPr>
    </w:p>
    <w:tbl>
      <w:tblPr>
        <w:tblW w:w="0" w:type="auto"/>
        <w:jc w:val="left"/>
        <w:tblInd w:w="20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颐麦科技</w:t>
            </w:r>
          </w:p>
          <w:p>
            <w:pPr>
              <w:pStyle w:val="TableParagraph"/>
              <w:spacing w:line="319" w:lineRule="auto" w:before="76"/>
              <w:ind w:left="22" w:right="41"/>
              <w:jc w:val="left"/>
              <w:rPr>
                <w:rFonts w:ascii="宋体" w:hAnsi="宋体" w:cs="宋体" w:eastAsia="宋体" w:hint="default"/>
                <w:sz w:val="18"/>
                <w:szCs w:val="18"/>
              </w:rPr>
            </w:pPr>
            <w:r>
              <w:rPr>
                <w:rFonts w:ascii="宋体" w:hAnsi="宋体" w:cs="宋体" w:eastAsia="宋体" w:hint="default"/>
                <w:sz w:val="18"/>
                <w:szCs w:val="18"/>
              </w:rPr>
              <w:t>（北京）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1" w:right="0"/>
              <w:jc w:val="left"/>
              <w:rPr>
                <w:rFonts w:ascii="Times New Roman" w:hAnsi="Times New Roman" w:cs="Times New Roman" w:eastAsia="Times New Roman" w:hint="default"/>
                <w:sz w:val="18"/>
                <w:szCs w:val="18"/>
              </w:rPr>
            </w:pPr>
            <w:r>
              <w:rPr>
                <w:rFonts w:ascii="Times New Roman"/>
                <w:sz w:val="18"/>
              </w:rPr>
              <w:t>11,000,00</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-97,821.8</w:t>
            </w:r>
            <w:r>
              <w:rPr>
                <w:rFonts w:ascii="Times New Roman"/>
                <w:sz w:val="18"/>
              </w:rPr>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10,902,17</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8.12</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31,971,49</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6.43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12,050,00</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-1,581,21</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4.33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42,440,28</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2.10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31,971,49</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6.43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12,050,00</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-1,581,21</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4.33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42,440,28</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2.10</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left="214" w:right="1113"/>
        <w:jc w:val="left"/>
        <w:rPr>
          <w:b w:val="0"/>
          <w:bCs w:val="0"/>
        </w:rPr>
      </w:pPr>
      <w:r>
        <w:rPr/>
        <w:t>（</w:t>
      </w:r>
      <w:r>
        <w:rPr>
          <w:rFonts w:ascii="Times New Roman" w:hAnsi="Times New Roman" w:cs="Times New Roman" w:eastAsia="Times New Roman" w:hint="default"/>
        </w:rPr>
        <w:t>3</w:t>
      </w:r>
      <w:r>
        <w:rPr/>
        <w:t>）其他说明</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left="214" w:right="1113"/>
        <w:jc w:val="left"/>
        <w:rPr>
          <w:b w:val="0"/>
          <w:bCs w:val="0"/>
        </w:rPr>
      </w:pPr>
      <w:r>
        <w:rPr>
          <w:rFonts w:ascii="Times New Roman" w:hAnsi="Times New Roman" w:cs="Times New Roman" w:eastAsia="Times New Roman" w:hint="default"/>
        </w:rPr>
        <w:t>4</w:t>
      </w:r>
      <w:r>
        <w:rPr/>
        <w:t>、营业收入和营业成本</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1994"/>
        <w:gridCol w:w="1837"/>
        <w:gridCol w:w="1913"/>
        <w:gridCol w:w="1913"/>
        <w:gridCol w:w="1913"/>
      </w:tblGrid>
      <w:tr>
        <w:trPr>
          <w:trHeight w:val="402" w:hRule="exact"/>
        </w:trPr>
        <w:tc>
          <w:tcPr>
            <w:tcW w:w="199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1994" w:type="dxa"/>
            <w:vMerge/>
            <w:tcBorders>
              <w:left w:val="single" w:sz="4" w:space="0" w:color="000000"/>
              <w:bottom w:val="single" w:sz="4" w:space="0" w:color="000000"/>
              <w:right w:val="single" w:sz="4" w:space="0" w:color="000000"/>
            </w:tcBorders>
            <w:shd w:val="clear" w:color="auto" w:fill="D3D3D3"/>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47,200,653.19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42,375,619.92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49,215,337.77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43,760,557.46</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2,301,224.84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1,455,892.78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8,283,628.67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3,123,038.17</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49,501,878.03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43,831,512.70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57,498,966.44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46,883,595.63</w:t>
            </w:r>
          </w:p>
        </w:tc>
      </w:tr>
    </w:tbl>
    <w:p>
      <w:pPr>
        <w:spacing w:before="51"/>
        <w:ind w:left="214" w:right="1113" w:firstLine="0"/>
        <w:jc w:val="left"/>
        <w:rPr>
          <w:rFonts w:ascii="宋体" w:hAnsi="宋体" w:cs="宋体" w:eastAsia="宋体" w:hint="default"/>
          <w:sz w:val="18"/>
          <w:szCs w:val="18"/>
        </w:rPr>
      </w:pPr>
      <w:r>
        <w:rPr>
          <w:rFonts w:ascii="宋体" w:hAnsi="宋体" w:cs="宋体" w:eastAsia="宋体" w:hint="default"/>
          <w:sz w:val="18"/>
          <w:szCs w:val="18"/>
        </w:rPr>
        <w:t>是否已执行新收入准则</w:t>
      </w:r>
    </w:p>
    <w:p>
      <w:pPr>
        <w:spacing w:line="338" w:lineRule="auto" w:before="117"/>
        <w:ind w:left="214" w:right="90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其他说明：</w:t>
      </w:r>
    </w:p>
    <w:p>
      <w:pPr>
        <w:spacing w:line="240" w:lineRule="auto" w:before="1"/>
        <w:rPr>
          <w:rFonts w:ascii="宋体" w:hAnsi="宋体" w:cs="宋体" w:eastAsia="宋体" w:hint="default"/>
          <w:sz w:val="21"/>
          <w:szCs w:val="21"/>
        </w:rPr>
      </w:pPr>
    </w:p>
    <w:p>
      <w:pPr>
        <w:pStyle w:val="Heading4"/>
        <w:spacing w:line="240" w:lineRule="auto"/>
        <w:ind w:left="214" w:right="1113"/>
        <w:jc w:val="left"/>
        <w:rPr>
          <w:b w:val="0"/>
          <w:bCs w:val="0"/>
        </w:rPr>
      </w:pPr>
      <w:r>
        <w:rPr>
          <w:rFonts w:ascii="Times New Roman" w:hAnsi="Times New Roman" w:cs="Times New Roman" w:eastAsia="Times New Roman" w:hint="default"/>
        </w:rPr>
        <w:t>5</w:t>
      </w:r>
      <w:r>
        <w:rPr/>
        <w:t>、投资收益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4826"/>
        <w:gridCol w:w="2596"/>
        <w:gridCol w:w="2432"/>
      </w:tblGrid>
      <w:tr>
        <w:trPr>
          <w:trHeight w:val="360"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9"/>
              <w:ind w:left="90" w:right="0"/>
              <w:jc w:val="center"/>
              <w:rPr>
                <w:rFonts w:ascii="宋体" w:hAnsi="宋体" w:cs="宋体" w:eastAsia="宋体" w:hint="default"/>
                <w:sz w:val="18"/>
                <w:szCs w:val="18"/>
              </w:rPr>
            </w:pPr>
            <w:r>
              <w:rPr>
                <w:rFonts w:ascii="宋体" w:hAnsi="宋体" w:cs="宋体" w:eastAsia="宋体" w:hint="default"/>
                <w:sz w:val="18"/>
                <w:szCs w:val="18"/>
              </w:rPr>
              <w:t>项目 </w:t>
            </w:r>
          </w:p>
        </w:tc>
        <w:tc>
          <w:tcPr>
            <w:tcW w:w="259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9"/>
              <w:ind w:left="842" w:right="0"/>
              <w:jc w:val="left"/>
              <w:rPr>
                <w:rFonts w:ascii="宋体" w:hAnsi="宋体" w:cs="宋体" w:eastAsia="宋体" w:hint="default"/>
                <w:sz w:val="18"/>
                <w:szCs w:val="18"/>
              </w:rPr>
            </w:pPr>
            <w:r>
              <w:rPr>
                <w:rFonts w:ascii="宋体" w:hAnsi="宋体" w:cs="宋体" w:eastAsia="宋体" w:hint="default"/>
                <w:sz w:val="18"/>
                <w:szCs w:val="18"/>
              </w:rPr>
              <w:t>本期发生额 </w:t>
            </w:r>
          </w:p>
        </w:tc>
        <w:tc>
          <w:tcPr>
            <w:tcW w:w="2432"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9"/>
              <w:ind w:left="760" w:right="0"/>
              <w:jc w:val="left"/>
              <w:rPr>
                <w:rFonts w:ascii="宋体" w:hAnsi="宋体" w:cs="宋体" w:eastAsia="宋体" w:hint="default"/>
                <w:sz w:val="18"/>
                <w:szCs w:val="18"/>
              </w:rPr>
            </w:pPr>
            <w:r>
              <w:rPr>
                <w:rFonts w:ascii="宋体" w:hAnsi="宋体" w:cs="宋体" w:eastAsia="宋体" w:hint="default"/>
                <w:sz w:val="18"/>
                <w:szCs w:val="18"/>
              </w:rPr>
              <w:t>上期发生额 </w:t>
            </w:r>
          </w:p>
        </w:tc>
      </w:tr>
      <w:tr>
        <w:trPr>
          <w:trHeight w:val="402"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596" w:type="dxa"/>
            <w:tcBorders>
              <w:top w:val="single" w:sz="4" w:space="0" w:color="000000"/>
              <w:left w:val="single" w:sz="4" w:space="0" w:color="000000"/>
              <w:bottom w:val="single" w:sz="4" w:space="0" w:color="000000"/>
              <w:right w:val="single" w:sz="4" w:space="0" w:color="000000"/>
            </w:tcBorders>
          </w:tcPr>
          <w:p>
            <w:pP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Arial" w:hAnsi="Arial" w:cs="Arial" w:eastAsia="Arial" w:hint="default"/>
                <w:sz w:val="18"/>
                <w:szCs w:val="18"/>
              </w:rPr>
            </w:pPr>
            <w:r>
              <w:rPr>
                <w:rFonts w:ascii="Arial"/>
                <w:spacing w:val="-1"/>
                <w:w w:val="80"/>
                <w:sz w:val="18"/>
              </w:rPr>
              <w:t>32,991,864.30</w:t>
            </w:r>
            <w:r>
              <w:rPr>
                <w:rFonts w:ascii="Arial"/>
                <w:spacing w:val="-1"/>
                <w:sz w:val="18"/>
              </w:rPr>
            </w:r>
          </w:p>
        </w:tc>
      </w:tr>
      <w:tr>
        <w:trPr>
          <w:trHeight w:val="402"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Arial" w:hAnsi="Arial" w:cs="Arial" w:eastAsia="Arial" w:hint="default"/>
                <w:sz w:val="18"/>
                <w:szCs w:val="18"/>
              </w:rPr>
            </w:pPr>
            <w:r>
              <w:rPr>
                <w:rFonts w:ascii="Arial"/>
                <w:spacing w:val="-1"/>
                <w:w w:val="80"/>
                <w:sz w:val="18"/>
              </w:rPr>
              <w:t>-1,581,214.33</w:t>
            </w:r>
            <w:r>
              <w:rPr>
                <w:rFonts w:ascii="Arial"/>
                <w:sz w:val="18"/>
              </w:rPr>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Arial" w:hAnsi="Arial" w:cs="Arial" w:eastAsia="Arial" w:hint="default"/>
                <w:sz w:val="18"/>
                <w:szCs w:val="18"/>
              </w:rPr>
            </w:pPr>
            <w:r>
              <w:rPr>
                <w:rFonts w:ascii="Arial"/>
                <w:spacing w:val="-1"/>
                <w:w w:val="80"/>
                <w:sz w:val="18"/>
              </w:rPr>
              <w:t>21,496.43</w:t>
            </w:r>
            <w:r>
              <w:rPr>
                <w:rFonts w:ascii="Arial"/>
                <w:sz w:val="18"/>
              </w:rPr>
            </w:r>
          </w:p>
        </w:tc>
      </w:tr>
      <w:tr>
        <w:trPr>
          <w:trHeight w:val="714"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316" w:lineRule="auto" w:before="52"/>
              <w:ind w:left="103" w:right="211"/>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处置以公允价值计量且其变动计入当期损益的金融资产取 得的投资收益</w:t>
            </w:r>
          </w:p>
        </w:tc>
        <w:tc>
          <w:tcPr>
            <w:tcW w:w="2596" w:type="dxa"/>
            <w:tcBorders>
              <w:top w:val="single" w:sz="4" w:space="0" w:color="000000"/>
              <w:left w:val="single" w:sz="4" w:space="0" w:color="000000"/>
              <w:bottom w:val="single" w:sz="4" w:space="0" w:color="000000"/>
              <w:right w:val="single" w:sz="4" w:space="0" w:color="000000"/>
            </w:tcBorders>
          </w:tcPr>
          <w:p>
            <w:pP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Arial" w:hAnsi="Arial" w:cs="Arial" w:eastAsia="Arial" w:hint="default"/>
                <w:sz w:val="18"/>
                <w:szCs w:val="18"/>
              </w:rPr>
            </w:pPr>
            <w:r>
              <w:rPr>
                <w:rFonts w:ascii="Arial"/>
                <w:spacing w:val="-1"/>
                <w:w w:val="80"/>
                <w:sz w:val="18"/>
              </w:rPr>
              <w:t>15,951,068.19</w:t>
            </w:r>
            <w:r>
              <w:rPr>
                <w:rFonts w:ascii="Arial"/>
                <w:spacing w:val="-1"/>
                <w:sz w:val="18"/>
              </w:rPr>
            </w:r>
          </w:p>
        </w:tc>
      </w:tr>
      <w:tr>
        <w:trPr>
          <w:trHeight w:val="402"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2596" w:type="dxa"/>
            <w:tcBorders>
              <w:top w:val="single" w:sz="4" w:space="0" w:color="000000"/>
              <w:left w:val="single" w:sz="4" w:space="0" w:color="000000"/>
              <w:bottom w:val="single" w:sz="4" w:space="0" w:color="000000"/>
              <w:right w:val="single" w:sz="4" w:space="0" w:color="000000"/>
            </w:tcBorders>
          </w:tcPr>
          <w:p>
            <w:pP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Arial" w:hAnsi="Arial" w:cs="Arial" w:eastAsia="Arial" w:hint="default"/>
                <w:sz w:val="18"/>
                <w:szCs w:val="18"/>
              </w:rPr>
            </w:pPr>
            <w:r>
              <w:rPr>
                <w:rFonts w:ascii="Arial"/>
                <w:spacing w:val="-1"/>
                <w:w w:val="80"/>
                <w:sz w:val="18"/>
              </w:rPr>
              <w:t>536,163.52</w:t>
            </w:r>
            <w:r>
              <w:rPr>
                <w:rFonts w:ascii="Arial"/>
                <w:spacing w:val="-1"/>
                <w:sz w:val="18"/>
              </w:rPr>
            </w:r>
          </w:p>
        </w:tc>
      </w:tr>
      <w:tr>
        <w:trPr>
          <w:trHeight w:val="402"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2596" w:type="dxa"/>
            <w:tcBorders>
              <w:top w:val="single" w:sz="4" w:space="0" w:color="000000"/>
              <w:left w:val="single" w:sz="4" w:space="0" w:color="000000"/>
              <w:bottom w:val="single" w:sz="4" w:space="0" w:color="000000"/>
              <w:right w:val="single" w:sz="4" w:space="0" w:color="000000"/>
            </w:tcBorders>
          </w:tcPr>
          <w:p>
            <w:pP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Arial" w:hAnsi="Arial" w:cs="Arial" w:eastAsia="Arial" w:hint="default"/>
                <w:sz w:val="18"/>
                <w:szCs w:val="18"/>
              </w:rPr>
            </w:pPr>
            <w:r>
              <w:rPr>
                <w:rFonts w:ascii="Arial"/>
                <w:spacing w:val="-1"/>
                <w:w w:val="80"/>
                <w:sz w:val="18"/>
              </w:rPr>
              <w:t>15,797,843.83</w:t>
            </w:r>
            <w:r>
              <w:rPr>
                <w:rFonts w:ascii="Arial"/>
                <w:spacing w:val="-1"/>
                <w:sz w:val="18"/>
              </w:rPr>
            </w:r>
          </w:p>
        </w:tc>
      </w:tr>
      <w:tr>
        <w:trPr>
          <w:trHeight w:val="402"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交易性金融资产持有期间的投资收益 </w:t>
            </w:r>
          </w:p>
        </w:tc>
        <w:tc>
          <w:tcPr>
            <w:tcW w:w="2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Arial" w:hAnsi="Arial" w:cs="Arial" w:eastAsia="Arial" w:hint="default"/>
                <w:sz w:val="18"/>
                <w:szCs w:val="18"/>
              </w:rPr>
            </w:pPr>
            <w:r>
              <w:rPr>
                <w:rFonts w:ascii="Arial"/>
                <w:spacing w:val="-1"/>
                <w:w w:val="80"/>
                <w:sz w:val="18"/>
              </w:rPr>
              <w:t>22,185,014.32</w:t>
            </w:r>
            <w:r>
              <w:rPr>
                <w:rFonts w:ascii="Arial"/>
                <w:spacing w:val="-1"/>
                <w:sz w:val="18"/>
              </w:rPr>
            </w:r>
          </w:p>
        </w:tc>
        <w:tc>
          <w:tcPr>
            <w:tcW w:w="243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处置股权投资产生的投资收益</w:t>
            </w:r>
          </w:p>
        </w:tc>
        <w:tc>
          <w:tcPr>
            <w:tcW w:w="2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Arial" w:hAnsi="Arial" w:cs="Arial" w:eastAsia="Arial" w:hint="default"/>
                <w:sz w:val="18"/>
                <w:szCs w:val="18"/>
              </w:rPr>
            </w:pPr>
            <w:r>
              <w:rPr>
                <w:rFonts w:ascii="Arial"/>
                <w:spacing w:val="-3"/>
                <w:w w:val="80"/>
                <w:sz w:val="18"/>
              </w:rPr>
              <w:t>4,911,765.00</w:t>
            </w:r>
            <w:r>
              <w:rPr>
                <w:rFonts w:ascii="Arial"/>
                <w:sz w:val="18"/>
              </w:rPr>
            </w:r>
          </w:p>
        </w:tc>
        <w:tc>
          <w:tcPr>
            <w:tcW w:w="2432"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4826" w:type="dxa"/>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40" w:lineRule="auto" w:before="29"/>
              <w:ind w:left="90" w:right="0"/>
              <w:jc w:val="center"/>
              <w:rPr>
                <w:rFonts w:ascii="宋体" w:hAnsi="宋体" w:cs="宋体" w:eastAsia="宋体" w:hint="default"/>
                <w:sz w:val="18"/>
                <w:szCs w:val="18"/>
              </w:rPr>
            </w:pPr>
            <w:r>
              <w:rPr>
                <w:rFonts w:ascii="宋体" w:hAnsi="宋体" w:cs="宋体" w:eastAsia="宋体" w:hint="default"/>
                <w:sz w:val="18"/>
                <w:szCs w:val="18"/>
              </w:rPr>
              <w:t>合计 </w:t>
            </w:r>
          </w:p>
        </w:tc>
        <w:tc>
          <w:tcPr>
            <w:tcW w:w="2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2"/>
              <w:jc w:val="right"/>
              <w:rPr>
                <w:rFonts w:ascii="Arial" w:hAnsi="Arial" w:cs="Arial" w:eastAsia="Arial" w:hint="default"/>
                <w:sz w:val="18"/>
                <w:szCs w:val="18"/>
              </w:rPr>
            </w:pPr>
            <w:r>
              <w:rPr>
                <w:rFonts w:ascii="Arial"/>
                <w:spacing w:val="-1"/>
                <w:w w:val="80"/>
                <w:sz w:val="18"/>
              </w:rPr>
              <w:t>25,515,564.99</w:t>
            </w:r>
            <w:r>
              <w:rPr>
                <w:rFonts w:ascii="Arial"/>
                <w:spacing w:val="-1"/>
                <w:sz w:val="18"/>
              </w:rPr>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2"/>
              <w:jc w:val="right"/>
              <w:rPr>
                <w:rFonts w:ascii="Arial" w:hAnsi="Arial" w:cs="Arial" w:eastAsia="Arial" w:hint="default"/>
                <w:sz w:val="18"/>
                <w:szCs w:val="18"/>
              </w:rPr>
            </w:pPr>
            <w:r>
              <w:rPr>
                <w:rFonts w:ascii="Arial"/>
                <w:spacing w:val="-1"/>
                <w:w w:val="80"/>
                <w:sz w:val="18"/>
              </w:rPr>
              <w:t>65,298,436.27</w:t>
            </w:r>
            <w:r>
              <w:rPr>
                <w:rFonts w:ascii="Arial"/>
                <w:spacing w:val="-1"/>
                <w:sz w:val="18"/>
              </w:rPr>
            </w:r>
          </w:p>
        </w:tc>
      </w:tr>
    </w:tbl>
    <w:p>
      <w:pPr>
        <w:spacing w:after="0" w:line="240" w:lineRule="auto"/>
        <w:jc w:val="right"/>
        <w:rPr>
          <w:rFonts w:ascii="Arial" w:hAnsi="Arial" w:cs="Arial" w:eastAsia="Arial" w:hint="default"/>
          <w:sz w:val="18"/>
          <w:szCs w:val="18"/>
        </w:rPr>
        <w:sectPr>
          <w:pgSz w:w="11910" w:h="16840"/>
          <w:pgMar w:header="877" w:footer="982" w:top="1100" w:bottom="1180" w:left="920" w:right="0"/>
        </w:sectPr>
      </w:pPr>
    </w:p>
    <w:p>
      <w:pPr>
        <w:spacing w:line="240" w:lineRule="auto" w:before="10"/>
        <w:rPr>
          <w:rFonts w:ascii="宋体" w:hAnsi="宋体" w:cs="宋体" w:eastAsia="宋体" w:hint="default"/>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12"/>
        <w:rPr>
          <w:rFonts w:ascii="宋体" w:hAnsi="宋体" w:cs="宋体" w:eastAsia="宋体" w:hint="default"/>
          <w:b/>
          <w:bCs/>
          <w:sz w:val="22"/>
          <w:szCs w:val="22"/>
        </w:rPr>
      </w:pPr>
    </w:p>
    <w:p>
      <w:pPr>
        <w:pStyle w:val="Heading2"/>
        <w:spacing w:line="240" w:lineRule="auto"/>
        <w:ind w:right="0"/>
        <w:jc w:val="left"/>
        <w:rPr>
          <w:b w:val="0"/>
          <w:bCs w:val="0"/>
        </w:rPr>
      </w:pPr>
      <w:r>
        <w:rPr/>
        <w:t>十八、补充资料</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1</w:t>
      </w:r>
      <w:r>
        <w:rPr/>
        <w:t>、当期非经常性损益明细表</w:t>
      </w:r>
      <w:r>
        <w:rPr>
          <w:b w:val="0"/>
          <w:bCs w:val="0"/>
        </w:rPr>
      </w:r>
    </w:p>
    <w:p>
      <w:pPr>
        <w:spacing w:line="240" w:lineRule="auto" w:before="3"/>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11,750,039.51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358" w:hRule="exact"/>
        </w:trPr>
        <w:tc>
          <w:tcPr>
            <w:tcW w:w="3324"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w:t>
            </w:r>
          </w:p>
        </w:tc>
        <w:tc>
          <w:tcPr>
            <w:tcW w:w="3059" w:type="dxa"/>
            <w:tcBorders>
              <w:top w:val="single" w:sz="4" w:space="0" w:color="000000"/>
              <w:left w:val="single" w:sz="4" w:space="0" w:color="000000"/>
              <w:bottom w:val="nil" w:sz="6" w:space="0" w:color="auto"/>
              <w:right w:val="single" w:sz="4" w:space="0" w:color="000000"/>
            </w:tcBorders>
          </w:tcPr>
          <w:p>
            <w:pPr/>
          </w:p>
        </w:tc>
        <w:tc>
          <w:tcPr>
            <w:tcW w:w="3186" w:type="dxa"/>
            <w:vMerge w:val="restart"/>
            <w:tcBorders>
              <w:top w:val="single" w:sz="4" w:space="0" w:color="000000"/>
              <w:left w:val="single" w:sz="4" w:space="0" w:color="000000"/>
              <w:right w:val="single" w:sz="4" w:space="0" w:color="000000"/>
            </w:tcBorders>
          </w:tcPr>
          <w:p>
            <w:pPr/>
          </w:p>
        </w:tc>
      </w:tr>
      <w:tr>
        <w:trPr>
          <w:trHeight w:val="316" w:hRule="exact"/>
        </w:trPr>
        <w:tc>
          <w:tcPr>
            <w:tcW w:w="332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切相关，按照国家统一标准定额或定量享</w:t>
            </w:r>
          </w:p>
        </w:tc>
        <w:tc>
          <w:tcPr>
            <w:tcW w:w="305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1,988,581.54</w:t>
            </w:r>
          </w:p>
        </w:tc>
        <w:tc>
          <w:tcPr>
            <w:tcW w:w="3186" w:type="dxa"/>
            <w:vMerge/>
            <w:tcBorders>
              <w:left w:val="single" w:sz="4" w:space="0" w:color="000000"/>
              <w:right w:val="single" w:sz="4" w:space="0" w:color="000000"/>
            </w:tcBorders>
          </w:tcPr>
          <w:p>
            <w:pPr/>
          </w:p>
        </w:tc>
      </w:tr>
      <w:tr>
        <w:trPr>
          <w:trHeight w:val="352" w:hRule="exact"/>
        </w:trPr>
        <w:tc>
          <w:tcPr>
            <w:tcW w:w="3324"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7"/>
              <w:ind w:left="22" w:right="0"/>
              <w:jc w:val="left"/>
              <w:rPr>
                <w:rFonts w:ascii="宋体" w:hAnsi="宋体" w:cs="宋体" w:eastAsia="宋体" w:hint="default"/>
                <w:sz w:val="18"/>
                <w:szCs w:val="18"/>
              </w:rPr>
            </w:pPr>
            <w:r>
              <w:rPr>
                <w:rFonts w:ascii="宋体" w:hAnsi="宋体" w:cs="宋体" w:eastAsia="宋体" w:hint="default"/>
                <w:sz w:val="18"/>
                <w:szCs w:val="18"/>
              </w:rPr>
              <w:t>受的政府补助除外）</w:t>
            </w:r>
          </w:p>
        </w:tc>
        <w:tc>
          <w:tcPr>
            <w:tcW w:w="3059" w:type="dxa"/>
            <w:tcBorders>
              <w:top w:val="nil" w:sz="6" w:space="0" w:color="auto"/>
              <w:left w:val="single" w:sz="9" w:space="0" w:color="D3D3D3"/>
              <w:bottom w:val="single" w:sz="4" w:space="0" w:color="000000"/>
              <w:right w:val="single" w:sz="4" w:space="0" w:color="000000"/>
            </w:tcBorders>
          </w:tcPr>
          <w:p>
            <w:pPr/>
          </w:p>
        </w:tc>
        <w:tc>
          <w:tcPr>
            <w:tcW w:w="3186" w:type="dxa"/>
            <w:vMerge/>
            <w:tcBorders>
              <w:left w:val="single" w:sz="4" w:space="0" w:color="000000"/>
              <w:bottom w:val="single" w:sz="4" w:space="0" w:color="000000"/>
              <w:right w:val="single" w:sz="4" w:space="0" w:color="000000"/>
            </w:tcBorders>
          </w:tcPr>
          <w:p>
            <w:pPr/>
          </w:p>
        </w:tc>
      </w:tr>
      <w:tr>
        <w:trPr>
          <w:trHeight w:val="358" w:hRule="exact"/>
        </w:trPr>
        <w:tc>
          <w:tcPr>
            <w:tcW w:w="3324"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w:t>
            </w:r>
          </w:p>
        </w:tc>
        <w:tc>
          <w:tcPr>
            <w:tcW w:w="3059" w:type="dxa"/>
            <w:tcBorders>
              <w:top w:val="single" w:sz="4" w:space="0" w:color="000000"/>
              <w:left w:val="single" w:sz="4" w:space="0" w:color="000000"/>
              <w:bottom w:val="nil" w:sz="6" w:space="0" w:color="auto"/>
              <w:right w:val="single" w:sz="4" w:space="0" w:color="000000"/>
            </w:tcBorders>
          </w:tcPr>
          <w:p>
            <w:pPr/>
          </w:p>
        </w:tc>
        <w:tc>
          <w:tcPr>
            <w:tcW w:w="3186" w:type="dxa"/>
            <w:vMerge w:val="restart"/>
            <w:tcBorders>
              <w:top w:val="single" w:sz="4" w:space="0" w:color="000000"/>
              <w:left w:val="single" w:sz="4" w:space="0" w:color="000000"/>
              <w:right w:val="single" w:sz="4" w:space="0" w:color="000000"/>
            </w:tcBorders>
          </w:tcPr>
          <w:p>
            <w:pPr/>
          </w:p>
        </w:tc>
      </w:tr>
      <w:tr>
        <w:trPr>
          <w:trHeight w:val="312" w:hRule="exact"/>
        </w:trPr>
        <w:tc>
          <w:tcPr>
            <w:tcW w:w="332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值业务外，持有交易性金融资产、衍生金</w:t>
            </w:r>
          </w:p>
        </w:tc>
        <w:tc>
          <w:tcPr>
            <w:tcW w:w="3059" w:type="dxa"/>
            <w:tcBorders>
              <w:top w:val="nil" w:sz="6" w:space="0" w:color="auto"/>
              <w:left w:val="single" w:sz="4" w:space="0" w:color="000000"/>
              <w:bottom w:val="nil" w:sz="6" w:space="0" w:color="auto"/>
              <w:right w:val="single" w:sz="4" w:space="0" w:color="000000"/>
            </w:tcBorders>
          </w:tcPr>
          <w:p>
            <w:pPr/>
          </w:p>
        </w:tc>
        <w:tc>
          <w:tcPr>
            <w:tcW w:w="3186" w:type="dxa"/>
            <w:vMerge/>
            <w:tcBorders>
              <w:left w:val="single" w:sz="4" w:space="0" w:color="000000"/>
              <w:right w:val="single" w:sz="4" w:space="0" w:color="000000"/>
            </w:tcBorders>
          </w:tcPr>
          <w:p>
            <w:pPr/>
          </w:p>
        </w:tc>
      </w:tr>
      <w:tr>
        <w:trPr>
          <w:trHeight w:val="312" w:hRule="exact"/>
        </w:trPr>
        <w:tc>
          <w:tcPr>
            <w:tcW w:w="332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融资产、交易性金融负债、衍生金融负债</w:t>
            </w:r>
          </w:p>
        </w:tc>
        <w:tc>
          <w:tcPr>
            <w:tcW w:w="3059" w:type="dxa"/>
            <w:tcBorders>
              <w:top w:val="nil" w:sz="6" w:space="0" w:color="auto"/>
              <w:left w:val="single" w:sz="4" w:space="0" w:color="000000"/>
              <w:bottom w:val="nil" w:sz="6" w:space="0" w:color="auto"/>
              <w:right w:val="single" w:sz="4" w:space="0" w:color="000000"/>
            </w:tcBorders>
          </w:tcPr>
          <w:p>
            <w:pPr/>
          </w:p>
        </w:tc>
        <w:tc>
          <w:tcPr>
            <w:tcW w:w="3186" w:type="dxa"/>
            <w:vMerge/>
            <w:tcBorders>
              <w:left w:val="single" w:sz="4" w:space="0" w:color="000000"/>
              <w:right w:val="single" w:sz="4" w:space="0" w:color="000000"/>
            </w:tcBorders>
          </w:tcPr>
          <w:p>
            <w:pPr/>
          </w:p>
        </w:tc>
      </w:tr>
      <w:tr>
        <w:trPr>
          <w:trHeight w:val="316" w:hRule="exact"/>
        </w:trPr>
        <w:tc>
          <w:tcPr>
            <w:tcW w:w="332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产生的公允价值变动损益，以及处置交易</w:t>
            </w:r>
          </w:p>
        </w:tc>
        <w:tc>
          <w:tcPr>
            <w:tcW w:w="305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23,104,319.87</w:t>
            </w:r>
          </w:p>
        </w:tc>
        <w:tc>
          <w:tcPr>
            <w:tcW w:w="3186" w:type="dxa"/>
            <w:vMerge/>
            <w:tcBorders>
              <w:left w:val="single" w:sz="4" w:space="0" w:color="000000"/>
              <w:right w:val="single" w:sz="4" w:space="0" w:color="000000"/>
            </w:tcBorders>
          </w:tcPr>
          <w:p>
            <w:pPr/>
          </w:p>
        </w:tc>
      </w:tr>
      <w:tr>
        <w:trPr>
          <w:trHeight w:val="308" w:hRule="exact"/>
        </w:trPr>
        <w:tc>
          <w:tcPr>
            <w:tcW w:w="332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性金融资产、衍生金融资产、交易性金融</w:t>
            </w:r>
          </w:p>
        </w:tc>
        <w:tc>
          <w:tcPr>
            <w:tcW w:w="3059" w:type="dxa"/>
            <w:tcBorders>
              <w:top w:val="nil" w:sz="6" w:space="0" w:color="auto"/>
              <w:left w:val="single" w:sz="4" w:space="0" w:color="000000"/>
              <w:bottom w:val="nil" w:sz="6" w:space="0" w:color="auto"/>
              <w:right w:val="single" w:sz="4" w:space="0" w:color="000000"/>
            </w:tcBorders>
          </w:tcPr>
          <w:p>
            <w:pPr/>
          </w:p>
        </w:tc>
        <w:tc>
          <w:tcPr>
            <w:tcW w:w="3186" w:type="dxa"/>
            <w:vMerge/>
            <w:tcBorders>
              <w:left w:val="single" w:sz="4" w:space="0" w:color="000000"/>
              <w:right w:val="single" w:sz="4" w:space="0" w:color="000000"/>
            </w:tcBorders>
          </w:tcPr>
          <w:p>
            <w:pPr/>
          </w:p>
        </w:tc>
      </w:tr>
      <w:tr>
        <w:trPr>
          <w:trHeight w:val="313" w:hRule="exact"/>
        </w:trPr>
        <w:tc>
          <w:tcPr>
            <w:tcW w:w="332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负债、衍生金融负债和其他债权投资取得</w:t>
            </w:r>
          </w:p>
        </w:tc>
        <w:tc>
          <w:tcPr>
            <w:tcW w:w="3059" w:type="dxa"/>
            <w:tcBorders>
              <w:top w:val="nil" w:sz="6" w:space="0" w:color="auto"/>
              <w:left w:val="single" w:sz="4" w:space="0" w:color="000000"/>
              <w:bottom w:val="nil" w:sz="6" w:space="0" w:color="auto"/>
              <w:right w:val="single" w:sz="4" w:space="0" w:color="000000"/>
            </w:tcBorders>
          </w:tcPr>
          <w:p>
            <w:pPr/>
          </w:p>
        </w:tc>
        <w:tc>
          <w:tcPr>
            <w:tcW w:w="3186" w:type="dxa"/>
            <w:vMerge/>
            <w:tcBorders>
              <w:left w:val="single" w:sz="4" w:space="0" w:color="000000"/>
              <w:right w:val="single" w:sz="4" w:space="0" w:color="000000"/>
            </w:tcBorders>
          </w:tcPr>
          <w:p>
            <w:pPr/>
          </w:p>
        </w:tc>
      </w:tr>
      <w:tr>
        <w:trPr>
          <w:trHeight w:val="356" w:hRule="exact"/>
        </w:trPr>
        <w:tc>
          <w:tcPr>
            <w:tcW w:w="3324"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的投资收益</w:t>
            </w:r>
          </w:p>
        </w:tc>
        <w:tc>
          <w:tcPr>
            <w:tcW w:w="3059" w:type="dxa"/>
            <w:tcBorders>
              <w:top w:val="nil" w:sz="6" w:space="0" w:color="auto"/>
              <w:left w:val="single" w:sz="9" w:space="0" w:color="D3D3D3"/>
              <w:bottom w:val="single" w:sz="4" w:space="0" w:color="000000"/>
              <w:right w:val="single" w:sz="4" w:space="0" w:color="000000"/>
            </w:tcBorders>
          </w:tcPr>
          <w:p>
            <w:pPr/>
          </w:p>
        </w:tc>
        <w:tc>
          <w:tcPr>
            <w:tcW w:w="3186" w:type="dxa"/>
            <w:vMerge/>
            <w:tcBorders>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227,160,283.89</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175,226.47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少数股东权益影响额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26.20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263,827,972.14</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7"/>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r>
        <w:rPr>
          <w:rFonts w:ascii="宋体" w:hAnsi="宋体" w:cs="宋体" w:eastAsia="宋体" w:hint="default"/>
          <w:sz w:val="18"/>
          <w:szCs w:val="18"/>
        </w:rPr>
      </w:r>
    </w:p>
    <w:p>
      <w:pPr>
        <w:spacing w:line="302" w:lineRule="auto" w:before="63"/>
        <w:ind w:left="154" w:right="1117"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说明原因。</w:t>
      </w:r>
    </w:p>
    <w:p>
      <w:pPr>
        <w:spacing w:before="69"/>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rFonts w:ascii="Times New Roman" w:hAnsi="Times New Roman" w:cs="Times New Roman" w:eastAsia="Times New Roman" w:hint="default"/>
        </w:rPr>
        <w:t>2</w:t>
      </w:r>
      <w:r>
        <w:rPr/>
        <w:t>、净资产收益率及每股收益</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662"/>
        <w:gridCol w:w="3080"/>
        <w:gridCol w:w="1913"/>
        <w:gridCol w:w="1913"/>
      </w:tblGrid>
      <w:tr>
        <w:trPr>
          <w:trHeight w:val="206" w:hRule="exact"/>
        </w:trPr>
        <w:tc>
          <w:tcPr>
            <w:tcW w:w="2662" w:type="dxa"/>
            <w:tcBorders>
              <w:top w:val="single" w:sz="4" w:space="0" w:color="000000"/>
              <w:left w:val="single" w:sz="4" w:space="0" w:color="000000"/>
              <w:bottom w:val="nil" w:sz="6" w:space="0" w:color="auto"/>
              <w:right w:val="single" w:sz="4" w:space="0" w:color="000000"/>
            </w:tcBorders>
            <w:shd w:val="clear" w:color="auto" w:fill="D3D3D3"/>
          </w:tcPr>
          <w:p>
            <w:pPr/>
          </w:p>
        </w:tc>
        <w:tc>
          <w:tcPr>
            <w:tcW w:w="3080" w:type="dxa"/>
            <w:tcBorders>
              <w:top w:val="single" w:sz="4" w:space="0" w:color="000000"/>
              <w:left w:val="single" w:sz="4" w:space="0" w:color="000000"/>
              <w:bottom w:val="nil" w:sz="6" w:space="0" w:color="auto"/>
              <w:right w:val="single" w:sz="4" w:space="0" w:color="000000"/>
            </w:tcBorders>
            <w:shd w:val="clear" w:color="auto" w:fill="D3D3D3"/>
          </w:tcPr>
          <w:p>
            <w:pPr/>
          </w:p>
        </w:tc>
        <w:tc>
          <w:tcPr>
            <w:tcW w:w="3826"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6" w:hRule="exact"/>
        </w:trPr>
        <w:tc>
          <w:tcPr>
            <w:tcW w:w="2662" w:type="dxa"/>
            <w:vMerge w:val="restart"/>
            <w:tcBorders>
              <w:top w:val="nil" w:sz="6" w:space="0" w:color="auto"/>
              <w:left w:val="single" w:sz="4" w:space="0" w:color="000000"/>
              <w:right w:val="single" w:sz="4" w:space="0" w:color="000000"/>
            </w:tcBorders>
            <w:shd w:val="clear" w:color="auto" w:fill="D3D3D3"/>
          </w:tcPr>
          <w:p>
            <w:pPr>
              <w:pStyle w:val="TableParagraph"/>
              <w:spacing w:line="240" w:lineRule="auto" w:before="51"/>
              <w:ind w:left="875"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0" w:type="dxa"/>
            <w:vMerge w:val="restart"/>
            <w:tcBorders>
              <w:top w:val="nil" w:sz="6" w:space="0" w:color="auto"/>
              <w:left w:val="single" w:sz="4" w:space="0" w:color="000000"/>
              <w:right w:val="single" w:sz="4" w:space="0" w:color="000000"/>
            </w:tcBorders>
            <w:shd w:val="clear" w:color="auto" w:fill="D3D3D3"/>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3D3D3"/>
          </w:tcPr>
          <w:p>
            <w:pPr/>
          </w:p>
        </w:tc>
      </w:tr>
      <w:tr>
        <w:trPr>
          <w:trHeight w:val="196" w:hRule="exact"/>
        </w:trPr>
        <w:tc>
          <w:tcPr>
            <w:tcW w:w="2662" w:type="dxa"/>
            <w:vMerge/>
            <w:tcBorders>
              <w:left w:val="single" w:sz="4" w:space="0" w:color="000000"/>
              <w:bottom w:val="nil" w:sz="6" w:space="0" w:color="auto"/>
              <w:right w:val="single" w:sz="4" w:space="0" w:color="000000"/>
            </w:tcBorders>
            <w:shd w:val="clear" w:color="auto" w:fill="D3D3D3"/>
          </w:tcPr>
          <w:p>
            <w:pPr/>
          </w:p>
        </w:tc>
        <w:tc>
          <w:tcPr>
            <w:tcW w:w="3080" w:type="dxa"/>
            <w:vMerge/>
            <w:tcBorders>
              <w:left w:val="single" w:sz="4" w:space="0" w:color="000000"/>
              <w:bottom w:val="nil" w:sz="6" w:space="0" w:color="auto"/>
              <w:right w:val="single" w:sz="4" w:space="0" w:color="000000"/>
            </w:tcBorders>
            <w:shd w:val="clear" w:color="auto" w:fill="D3D3D3"/>
          </w:tcPr>
          <w:p>
            <w:pPr/>
          </w:p>
        </w:tc>
        <w:tc>
          <w:tcPr>
            <w:tcW w:w="19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2662" w:type="dxa"/>
            <w:tcBorders>
              <w:top w:val="nil" w:sz="6" w:space="0" w:color="auto"/>
              <w:left w:val="single" w:sz="4" w:space="0" w:color="000000"/>
              <w:bottom w:val="single" w:sz="4" w:space="0" w:color="000000"/>
              <w:right w:val="single" w:sz="4" w:space="0" w:color="000000"/>
            </w:tcBorders>
            <w:shd w:val="clear" w:color="auto" w:fill="D3D3D3"/>
          </w:tcPr>
          <w:p>
            <w:pPr/>
          </w:p>
        </w:tc>
        <w:tc>
          <w:tcPr>
            <w:tcW w:w="3080" w:type="dxa"/>
            <w:tcBorders>
              <w:top w:val="nil" w:sz="6" w:space="0" w:color="auto"/>
              <w:left w:val="single" w:sz="4" w:space="0" w:color="000000"/>
              <w:bottom w:val="single" w:sz="4" w:space="0" w:color="000000"/>
              <w:right w:val="single" w:sz="4" w:space="0" w:color="000000"/>
            </w:tcBorders>
            <w:shd w:val="clear" w:color="auto" w:fill="D3D3D3"/>
          </w:tcPr>
          <w:p>
            <w:pPr/>
          </w:p>
        </w:tc>
        <w:tc>
          <w:tcPr>
            <w:tcW w:w="1913" w:type="dxa"/>
            <w:vMerge/>
            <w:tcBorders>
              <w:left w:val="single" w:sz="4" w:space="0" w:color="000000"/>
              <w:bottom w:val="single" w:sz="4" w:space="0" w:color="000000"/>
              <w:right w:val="single" w:sz="4" w:space="0" w:color="000000"/>
            </w:tcBorders>
            <w:shd w:val="clear" w:color="auto" w:fill="D3D3D3"/>
          </w:tcPr>
          <w:p>
            <w:pPr/>
          </w:p>
        </w:tc>
        <w:tc>
          <w:tcPr>
            <w:tcW w:w="1913"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1.08%</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0.0388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0.0388</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-10.75%</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-0.3866</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-0.3866</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2" w:top="1100" w:bottom="1180" w:left="980" w:right="0"/>
        </w:sectPr>
      </w:pPr>
    </w:p>
    <w:p>
      <w:pPr>
        <w:spacing w:line="240" w:lineRule="auto" w:before="10"/>
        <w:rPr>
          <w:rFonts w:ascii="宋体" w:hAnsi="宋体" w:cs="宋体" w:eastAsia="宋体" w:hint="default"/>
          <w:b/>
          <w:bCs/>
          <w:sz w:val="20"/>
          <w:szCs w:val="20"/>
        </w:rPr>
      </w:pPr>
    </w:p>
    <w:p>
      <w:pPr>
        <w:pStyle w:val="Heading4"/>
        <w:spacing w:line="240" w:lineRule="auto" w:before="35"/>
        <w:ind w:right="0"/>
        <w:jc w:val="left"/>
        <w:rPr>
          <w:b w:val="0"/>
          <w:bCs w:val="0"/>
        </w:rPr>
      </w:pPr>
      <w:r>
        <w:rPr>
          <w:rFonts w:ascii="Times New Roman" w:hAnsi="Times New Roman" w:cs="Times New Roman" w:eastAsia="Times New Roman" w:hint="default"/>
        </w:rPr>
        <w:t>3</w:t>
      </w:r>
      <w:r>
        <w:rPr/>
        <w:t>、境内外会计准则下会计数据差异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59" w:lineRule="auto"/>
        <w:ind w:right="0"/>
        <w:jc w:val="left"/>
        <w:rPr>
          <w:b w:val="0"/>
          <w:bCs w:val="0"/>
        </w:rPr>
      </w:pP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0"/>
        <w:jc w:val="left"/>
        <w:rPr>
          <w:b w:val="0"/>
          <w:bCs w:val="0"/>
        </w:rPr>
      </w:pPr>
      <w:r>
        <w:rPr>
          <w:rFonts w:ascii="Times New Roman" w:hAnsi="Times New Roman" w:cs="Times New Roman" w:eastAsia="Times New Roman" w:hint="default"/>
        </w:rPr>
        <w:t>4</w:t>
      </w:r>
      <w:r>
        <w:rPr/>
        <w:t>、其他</w:t>
      </w:r>
      <w:r>
        <w:rPr>
          <w:b w:val="0"/>
          <w:bCs w:val="0"/>
        </w:rPr>
      </w:r>
    </w:p>
    <w:p>
      <w:pPr>
        <w:spacing w:after="0" w:line="240" w:lineRule="auto"/>
        <w:jc w:val="left"/>
        <w:sectPr>
          <w:pgSz w:w="11910" w:h="16840"/>
          <w:pgMar w:header="877" w:footer="982" w:top="1100" w:bottom="1180" w:left="980" w:right="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1"/>
        <w:spacing w:line="240" w:lineRule="auto"/>
        <w:ind w:left="3286" w:right="0"/>
        <w:jc w:val="left"/>
        <w:rPr>
          <w:b w:val="0"/>
          <w:bCs w:val="0"/>
        </w:rPr>
      </w:pPr>
      <w:bookmarkStart w:name="_TOC_250000" w:id="13"/>
      <w:r>
        <w:rPr/>
        <w:t>第十三节</w:t>
      </w:r>
      <w:r>
        <w:rPr>
          <w:spacing w:val="-9"/>
        </w:rPr>
        <w:t> </w:t>
      </w:r>
      <w:r>
        <w:rPr/>
        <w:t>备查文件目录</w:t>
      </w:r>
      <w:bookmarkEnd w:id="13"/>
      <w:r>
        <w:rPr>
          <w:b w:val="0"/>
          <w:bCs w:val="0"/>
        </w:rPr>
      </w:r>
    </w:p>
    <w:p>
      <w:pPr>
        <w:spacing w:line="240" w:lineRule="auto" w:before="6"/>
        <w:rPr>
          <w:rFonts w:ascii="宋体" w:hAnsi="宋体" w:cs="宋体" w:eastAsia="宋体" w:hint="default"/>
          <w:b/>
          <w:bCs/>
          <w:sz w:val="42"/>
          <w:szCs w:val="42"/>
        </w:rPr>
      </w:pPr>
    </w:p>
    <w:p>
      <w:pPr>
        <w:spacing w:line="316" w:lineRule="auto" w:before="0"/>
        <w:ind w:left="153" w:right="2471" w:firstLine="0"/>
        <w:jc w:val="left"/>
        <w:rPr>
          <w:rFonts w:ascii="宋体" w:hAnsi="宋体" w:cs="宋体" w:eastAsia="宋体" w:hint="default"/>
          <w:sz w:val="18"/>
          <w:szCs w:val="18"/>
        </w:rPr>
      </w:pPr>
      <w:r>
        <w:rPr>
          <w:rFonts w:ascii="宋体" w:hAnsi="宋体" w:cs="宋体" w:eastAsia="宋体" w:hint="default"/>
          <w:sz w:val="18"/>
          <w:szCs w:val="18"/>
        </w:rPr>
        <w:t>一、载有公司负责人、主管会计工作负责人、会计机构负责人（会计主管人员）签名并盖章的财务报表。 二、载有会计师事务所盖章、注册会计师签名并盖章的审计报告原件。 三、报告期内在中国证监会指定网站上公开披露过的所有公司文件的正本及公告的原稿。</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6"/>
          <w:szCs w:val="26"/>
        </w:rPr>
      </w:pPr>
    </w:p>
    <w:p>
      <w:pPr>
        <w:pStyle w:val="Heading2"/>
        <w:spacing w:line="477" w:lineRule="auto"/>
        <w:ind w:left="6881" w:right="1733" w:hanging="119"/>
        <w:jc w:val="left"/>
        <w:rPr>
          <w:b w:val="0"/>
          <w:bCs w:val="0"/>
        </w:rPr>
      </w:pPr>
      <w:r>
        <w:rPr/>
        <w:t>厦门安妮股份有限公司</w:t>
      </w:r>
      <w:r>
        <w:rPr>
          <w:spacing w:val="1"/>
          <w:w w:val="99"/>
        </w:rPr>
        <w:t> </w:t>
      </w:r>
      <w:r>
        <w:rPr/>
        <w:t>法定代表人：张杰</w:t>
      </w:r>
      <w:r>
        <w:rPr>
          <w:b w:val="0"/>
          <w:bCs w:val="0"/>
        </w:rPr>
      </w:r>
    </w:p>
    <w:p>
      <w:pPr>
        <w:pStyle w:val="Heading2"/>
        <w:spacing w:line="240" w:lineRule="auto" w:before="72"/>
        <w:ind w:left="6659" w:right="0"/>
        <w:jc w:val="left"/>
        <w:rPr>
          <w:b w:val="0"/>
          <w:bCs w:val="0"/>
        </w:rPr>
      </w:pPr>
      <w:r>
        <w:rPr/>
        <w:t>二〇二〇年四月二十八日</w:t>
      </w:r>
      <w:r>
        <w:rPr>
          <w:b w:val="0"/>
          <w:bCs w:val="0"/>
        </w:rPr>
      </w:r>
    </w:p>
    <w:sectPr>
      <w:pgSz w:w="11910" w:h="16840"/>
      <w:pgMar w:header="877" w:footer="982" w:top="1100" w:bottom="118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963592" type="#_x0000_t75" stroked="false">
          <v:imagedata r:id="rId1" o:title=""/>
        </v:shape>
      </w:pict>
    </w:r>
    <w:r>
      <w:rPr/>
      <w:pict>
        <v:shape style="position:absolute;margin-left:533.119873pt;margin-top:795.457642pt;width:6.5pt;height:11pt;mso-position-horizontal-relative:page;mso-position-vertical-relative:page;z-index:-96356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963544" type="#_x0000_t75" stroked="false">
          <v:imagedata r:id="rId1" o:title=""/>
        </v:shape>
      </w:pict>
    </w:r>
    <w:r>
      <w:rPr/>
      <w:pict>
        <v:shape style="position:absolute;margin-left:527.619873pt;margin-top:781.897522pt;width:13pt;height:11pt;mso-position-horizontal-relative:page;mso-position-vertical-relative:page;z-index:-9635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40295pt;margin-top:570.334656pt;width:42.060646pt;height:18.943344pt;mso-position-horizontal-relative:page;mso-position-vertical-relative:page;z-index:-963472" type="#_x0000_t75" stroked="false">
          <v:imagedata r:id="rId1" o:title=""/>
        </v:shape>
      </w:pict>
    </w:r>
    <w:r>
      <w:rPr/>
      <w:pict>
        <v:shape style="position:absolute;margin-left:758.910522pt;margin-top:535.297913pt;width:13pt;height:11pt;mso-position-horizontal-relative:page;mso-position-vertical-relative:page;z-index:-9634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963352" type="#_x0000_t75" stroked="false">
          <v:imagedata r:id="rId1" o:title=""/>
        </v:shape>
      </w:pict>
    </w:r>
    <w:r>
      <w:rPr/>
      <w:pict>
        <v:shape style="position:absolute;margin-left:527.619873pt;margin-top:781.897522pt;width:13pt;height:11pt;mso-position-horizontal-relative:page;mso-position-vertical-relative:page;z-index:-9633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40295pt;margin-top:570.334656pt;width:42.060646pt;height:18.943344pt;mso-position-horizontal-relative:page;mso-position-vertical-relative:page;z-index:-963280" type="#_x0000_t75" stroked="false">
          <v:imagedata r:id="rId1" o:title=""/>
        </v:shape>
      </w:pict>
    </w:r>
    <w:r>
      <w:rPr/>
      <w:pict>
        <v:shape style="position:absolute;margin-left:758.910522pt;margin-top:535.297913pt;width:13pt;height:11pt;mso-position-horizontal-relative:page;mso-position-vertical-relative:page;z-index:-9632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963184" type="#_x0000_t75" stroked="false">
          <v:imagedata r:id="rId1" o:title=""/>
        </v:shape>
      </w:pict>
    </w:r>
    <w:r>
      <w:rPr/>
      <w:pict>
        <v:shape style="position:absolute;margin-left:523.119873pt;margin-top:781.897522pt;width:17.5pt;height:11pt;mso-position-horizontal-relative:page;mso-position-vertical-relative:page;z-index:-9631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40295pt;margin-top:570.334656pt;width:42.060646pt;height:18.943344pt;mso-position-horizontal-relative:page;mso-position-vertical-relative:page;z-index:-963112" type="#_x0000_t75" stroked="false">
          <v:imagedata r:id="rId1" o:title=""/>
        </v:shape>
      </w:pict>
    </w:r>
    <w:r>
      <w:rPr/>
      <w:pict>
        <v:shape style="position:absolute;margin-left:754.410522pt;margin-top:535.297913pt;width:17.5pt;height:11pt;mso-position-horizontal-relative:page;mso-position-vertical-relative:page;z-index:-9630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963016" type="#_x0000_t75" stroked="false">
          <v:imagedata r:id="rId1" o:title=""/>
        </v:shape>
      </w:pict>
    </w:r>
    <w:r>
      <w:rPr/>
      <w:pict>
        <v:shape style="position:absolute;margin-left:523.119873pt;margin-top:781.897522pt;width:17.5pt;height:11pt;mso-position-horizontal-relative:page;mso-position-vertical-relative:page;z-index:-9629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62.119995pt;margin-top:36.325325pt;width:177.5pt;height:11.5pt;mso-position-horizontal-relative:page;mso-position-vertical-relative:page;z-index:-9636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10522pt;margin-top:42.865623pt;width:177.5pt;height:11.5pt;mso-position-horizontal-relative:page;mso-position-vertical-relative:page;z-index:-9634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10522pt;margin-top:42.865623pt;width:177.5pt;height:11.5pt;mso-position-horizontal-relative:page;mso-position-vertical-relative:page;z-index:-9634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4.95pt;height:.1pt;mso-position-horizontal-relative:page;mso-position-vertical-relative:page;z-index:-963400" coordorigin="1104,1112" coordsize="9699,2">
          <v:shape style="position:absolute;left:1104;top:1112;width:9699;height:2" coordorigin="1104,1112" coordsize="9699,0" path="m1104,1112l10802,1112e" filled="false" stroked="true" strokeweight=".72003pt" strokecolor="#000000">
            <v:path arrowok="t"/>
          </v:shape>
          <w10:wrap type="none"/>
        </v:group>
      </w:pict>
    </w:r>
    <w:r>
      <w:rPr/>
      <w:pict>
        <v:shape style="position:absolute;margin-left:362.119995pt;margin-top:42.865326pt;width:177.5pt;height:11.5pt;mso-position-horizontal-relative:page;mso-position-vertical-relative:page;z-index:-9633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10522pt;margin-top:42.865623pt;width:177.5pt;height:11.5pt;mso-position-horizontal-relative:page;mso-position-vertical-relative:page;z-index:-9633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年年度报告全文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4.95pt;height:.1pt;mso-position-horizontal-relative:page;mso-position-vertical-relative:page;z-index:-963232" coordorigin="1104,1112" coordsize="9699,2">
          <v:shape style="position:absolute;left:1104;top:1112;width:9699;height:2" coordorigin="1104,1112" coordsize="9699,0" path="m1104,1112l10802,1112e" filled="false" stroked="true" strokeweight=".72003pt" strokecolor="#000000">
            <v:path arrowok="t"/>
          </v:shape>
          <w10:wrap type="none"/>
        </v:group>
      </w:pict>
    </w:r>
    <w:r>
      <w:rPr/>
      <w:pict>
        <v:shape style="position:absolute;margin-left:362.119995pt;margin-top:42.865326pt;width:177.5pt;height:11.5pt;mso-position-horizontal-relative:page;mso-position-vertical-relative:page;z-index:-9632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年年度报告全文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10522pt;margin-top:42.865623pt;width:177.5pt;height:11.5pt;mso-position-horizontal-relative:page;mso-position-vertical-relative:page;z-index:-9631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年年度报告全文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4.95pt;height:.1pt;mso-position-horizontal-relative:page;mso-position-vertical-relative:page;z-index:-963064" coordorigin="1104,1112" coordsize="9699,2">
          <v:shape style="position:absolute;left:1104;top:1112;width:9699;height:2" coordorigin="1104,1112" coordsize="9699,0" path="m1104,1112l10802,1112e" filled="false" stroked="true" strokeweight=".72003pt" strokecolor="#000000">
            <v:path arrowok="t"/>
          </v:shape>
          <w10:wrap type="none"/>
        </v:group>
      </w:pict>
    </w:r>
    <w:r>
      <w:rPr/>
      <w:pict>
        <v:shape style="position:absolute;margin-left:362.119995pt;margin-top:42.865326pt;width:177.5pt;height:11.5pt;mso-position-horizontal-relative:page;mso-position-vertical-relative:page;z-index:-9630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54"/>
    </w:pPr>
    <w:rPr>
      <w:rFonts w:ascii="宋体" w:hAnsi="宋体" w:eastAsia="宋体"/>
      <w:b/>
      <w:bCs/>
      <w:sz w:val="24"/>
      <w:szCs w:val="24"/>
    </w:rPr>
  </w:style>
  <w:style w:styleId="BodyText" w:type="paragraph">
    <w:name w:val="Body Text"/>
    <w:basedOn w:val="Normal"/>
    <w:uiPriority w:val="1"/>
    <w:qFormat/>
    <w:pPr>
      <w:spacing w:before="46"/>
      <w:ind w:left="154"/>
    </w:pPr>
    <w:rPr>
      <w:rFonts w:ascii="宋体" w:hAnsi="宋体" w:eastAsia="宋体"/>
      <w:sz w:val="21"/>
      <w:szCs w:val="21"/>
    </w:rPr>
  </w:style>
  <w:style w:styleId="Heading1" w:type="paragraph">
    <w:name w:val="Heading 1"/>
    <w:basedOn w:val="Normal"/>
    <w:uiPriority w:val="1"/>
    <w:qFormat/>
    <w:pPr>
      <w:spacing w:before="1"/>
      <w:ind w:left="2634"/>
      <w:outlineLvl w:val="1"/>
    </w:pPr>
    <w:rPr>
      <w:rFonts w:ascii="宋体" w:hAnsi="宋体" w:eastAsia="宋体"/>
      <w:b/>
      <w:bCs/>
      <w:sz w:val="32"/>
      <w:szCs w:val="32"/>
    </w:rPr>
  </w:style>
  <w:style w:styleId="Heading2" w:type="paragraph">
    <w:name w:val="Heading 2"/>
    <w:basedOn w:val="Normal"/>
    <w:uiPriority w:val="1"/>
    <w:qFormat/>
    <w:pPr>
      <w:ind w:left="154"/>
      <w:outlineLvl w:val="2"/>
    </w:pPr>
    <w:rPr>
      <w:rFonts w:ascii="宋体" w:hAnsi="宋体" w:eastAsia="宋体"/>
      <w:b/>
      <w:bCs/>
      <w:sz w:val="24"/>
      <w:szCs w:val="24"/>
    </w:rPr>
  </w:style>
  <w:style w:styleId="Heading3" w:type="paragraph">
    <w:name w:val="Heading 3"/>
    <w:basedOn w:val="Normal"/>
    <w:uiPriority w:val="1"/>
    <w:qFormat/>
    <w:pPr>
      <w:ind w:left="574"/>
      <w:outlineLvl w:val="3"/>
    </w:pPr>
    <w:rPr>
      <w:rFonts w:ascii="黑体" w:hAnsi="黑体" w:eastAsia="黑体"/>
      <w:sz w:val="24"/>
      <w:szCs w:val="24"/>
    </w:rPr>
  </w:style>
  <w:style w:styleId="Heading4" w:type="paragraph">
    <w:name w:val="Heading 4"/>
    <w:basedOn w:val="Normal"/>
    <w:uiPriority w:val="1"/>
    <w:qFormat/>
    <w:pPr>
      <w:ind w:left="154"/>
      <w:outlineLvl w:val="4"/>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anne.com.cn/" TargetMode="External"/><Relationship Id="rId10" Type="http://schemas.openxmlformats.org/officeDocument/2006/relationships/hyperlink" Target="mailto:anne@anne.com.cn" TargetMode="External"/><Relationship Id="rId11" Type="http://schemas.openxmlformats.org/officeDocument/2006/relationships/hyperlink" Target="mailto:chenwenjian@anne.com.cn" TargetMode="External"/><Relationship Id="rId12" Type="http://schemas.openxmlformats.org/officeDocument/2006/relationships/hyperlink" Target="mailto:xierong@anne.com.cn" TargetMode="External"/><Relationship Id="rId13" Type="http://schemas.openxmlformats.org/officeDocument/2006/relationships/hyperlink" Target="http://www.cninfo.com.cn/"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eader" Target="header5.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image" Target="media/image11.jpeg"/><Relationship Id="rId32" Type="http://schemas.openxmlformats.org/officeDocument/2006/relationships/header" Target="header7.xml"/><Relationship Id="rId33" Type="http://schemas.openxmlformats.org/officeDocument/2006/relationships/footer" Target="footer7.xml"/><Relationship Id="rId34" Type="http://schemas.openxmlformats.org/officeDocument/2006/relationships/header" Target="header8.xml"/><Relationship Id="rId35"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itle>&lt;4D6963726F736F667420576F7264202D2032303139C4EAC4EAB6C8B1A8B8E6C8ABCEC4&gt;</dc:title>
  <dcterms:created xsi:type="dcterms:W3CDTF">2020-05-19T22:11:31Z</dcterms:created>
  <dcterms:modified xsi:type="dcterms:W3CDTF">2020-05-19T22:11:31Z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2020-04-28T00:00:00Z</vt:filetime>
  </property>
  <property fmtid="{D5CDD505-2E9C-101B-9397-08002B2CF9AE}" pid="3" name="Creator">
    <vt:lpwstr>PScript5.dll Version 5.2.2</vt:lpwstr>
  </property>
  <property fmtid="{D5CDD505-2E9C-101B-9397-08002B2CF9AE}" pid="4" name="LastSaved">
    <vt:filetime>2020-05-19T00:00:00Z</vt:filetime>
  </property>
</Properties>
</file>