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786" w:lineRule="exact"/>
        <w:ind w:left="43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795343" cy="49949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95343" cy="499491"/>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8"/>
        <w:rPr>
          <w:rFonts w:ascii="Times New Roman" w:hAnsi="Times New Roman" w:cs="Times New Roman" w:eastAsia="Times New Roman" w:hint="default"/>
          <w:sz w:val="12"/>
          <w:szCs w:val="12"/>
        </w:rPr>
      </w:pPr>
    </w:p>
    <w:p>
      <w:pPr>
        <w:spacing w:line="460" w:lineRule="exact" w:before="0"/>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成都卫士通信息产业股份有限公司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22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241" w:right="22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公司负责人李成刚、主管会计工作负责人罗伟及会计机构负责人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罗伟声明：保证年度报告中财务报告的真实、准确、完整。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月</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1"/>
          <w:w w:val="99"/>
          <w:sz w:val="28"/>
          <w:szCs w:val="28"/>
        </w:rPr>
        <w:t>司总股本为基数，向全体股东</w:t>
      </w:r>
      <w:r>
        <w:rPr>
          <w:rFonts w:ascii="宋体" w:hAnsi="宋体" w:cs="宋体" w:eastAsia="宋体" w:hint="default"/>
          <w:b/>
          <w:bCs/>
          <w:w w:val="99"/>
          <w:sz w:val="28"/>
          <w:szCs w:val="28"/>
        </w:rPr>
        <w:t>每</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0.1</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1"/>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sz w:val="28"/>
          <w:szCs w:val="28"/>
        </w:rPr>
      </w:r>
    </w:p>
    <w:p>
      <w:pPr>
        <w:spacing w:line="472"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股（含税），不以公积金转增股本。</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pacing w:val="4"/>
          <w:w w:val="95"/>
          <w:sz w:val="28"/>
          <w:szCs w:val="28"/>
        </w:rPr>
        <w:t>本报告中所涉及的未来计划、发展战略等前瞻性描述不构成公司对投资者</w:t>
      </w:r>
      <w:r>
        <w:rPr>
          <w:rFonts w:ascii="宋体" w:hAnsi="宋体" w:cs="宋体" w:eastAsia="宋体" w:hint="default"/>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241" w:right="224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9</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28</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35</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41</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45</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47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130</w:t>
            </w:r>
          </w:hyperlink>
        </w:p>
        <w:p>
          <w:pPr/>
          <w:r>
            <w:fldChar w:fldCharType="end"/>
          </w:r>
        </w:p>
      </w:sdtContent>
    </w:sdt>
    <w:p>
      <w:pPr>
        <w:spacing w:after="0"/>
        <w:sectPr>
          <w:pgSz w:w="11910" w:h="16840"/>
          <w:pgMar w:header="747" w:footer="982" w:top="1060" w:bottom="1180" w:left="980" w:right="980"/>
        </w:sectPr>
      </w:pPr>
    </w:p>
    <w:p>
      <w:pPr>
        <w:spacing w:before="946"/>
        <w:ind w:left="2241" w:right="22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控股股东、三十所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实际控制人、中国电科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审计机构、中审亚太</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中审亚太会计师事务所有限公司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241" w:right="2238"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年度报告中所设定的经营计划和经营目标，为公司的内部管理控制指标，</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不代表公司盈利预测，能否实现取决于宏观经济环境、市场情况、行业发展状</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况与公司管理团队的努力等多种因素，存在很大的不确定性，请投资者注意投</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37.88031pt;margin-top:269.760010pt;width:397.05pt;height:19.6pt;mso-position-horizontal-relative:page;mso-position-vertical-relative:page;z-index:-859888"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240"/>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2"/>
        <w:gridCol w:w="2953"/>
        <w:gridCol w:w="2157"/>
        <w:gridCol w:w="2177"/>
      </w:tblGrid>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卫士通</w:t>
            </w:r>
          </w:p>
        </w:tc>
        <w:tc>
          <w:tcPr>
            <w:tcW w:w="2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002268</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卫士通</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Westone </w:t>
            </w:r>
            <w:r>
              <w:rPr>
                <w:rFonts w:ascii="Times New Roman"/>
                <w:sz w:val="18"/>
              </w:rPr>
              <w:t>Information Industry</w:t>
            </w:r>
            <w:r>
              <w:rPr>
                <w:rFonts w:ascii="Times New Roman"/>
                <w:spacing w:val="4"/>
                <w:sz w:val="18"/>
              </w:rPr>
              <w:t> </w:t>
            </w:r>
            <w:r>
              <w:rPr>
                <w:rFonts w:ascii="Times New Roman"/>
                <w:sz w:val="18"/>
              </w:rPr>
              <w:t>Inc.</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Westone</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610095</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610095</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www.westone.com.cn</w:t>
              </w:r>
            </w:hyperlink>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westone_dm@163.com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028-62386166</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028-62386030</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westone_dm@163.com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westone_zd@163.com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left="254"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1738"/>
        <w:gridCol w:w="1594"/>
        <w:gridCol w:w="1914"/>
        <w:gridCol w:w="1842"/>
        <w:gridCol w:w="1560"/>
        <w:gridCol w:w="1061"/>
      </w:tblGrid>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5" w:right="104" w:hanging="630"/>
              <w:jc w:val="left"/>
              <w:rPr>
                <w:rFonts w:ascii="宋体" w:hAnsi="宋体" w:cs="宋体" w:eastAsia="宋体" w:hint="default"/>
                <w:sz w:val="18"/>
                <w:szCs w:val="18"/>
              </w:rPr>
            </w:pPr>
            <w:r>
              <w:rPr>
                <w:rFonts w:ascii="宋体" w:hAnsi="宋体" w:cs="宋体" w:eastAsia="宋体" w:hint="default"/>
                <w:sz w:val="18"/>
                <w:szCs w:val="18"/>
              </w:rPr>
              <w:t>企业法人营业执照注 册号</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成都市工商行政管理局</w:t>
            </w:r>
          </w:p>
        </w:tc>
        <w:tc>
          <w:tcPr>
            <w:tcW w:w="18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（高新字）</w:t>
            </w:r>
            <w:r>
              <w:rPr>
                <w:rFonts w:ascii="Times New Roman" w:hAnsi="Times New Roman" w:cs="Times New Roman" w:eastAsia="Times New Roman" w:hint="default"/>
                <w:sz w:val="18"/>
                <w:szCs w:val="18"/>
              </w:rPr>
              <w:t>28934581</w:t>
            </w:r>
          </w:p>
        </w:tc>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110"/>
              <w:jc w:val="center"/>
              <w:rPr>
                <w:rFonts w:ascii="Times New Roman" w:hAnsi="Times New Roman" w:cs="Times New Roman" w:eastAsia="Times New Roman" w:hint="default"/>
                <w:sz w:val="18"/>
                <w:szCs w:val="18"/>
              </w:rPr>
            </w:pPr>
            <w:r>
              <w:rPr>
                <w:rFonts w:ascii="Times New Roman"/>
                <w:sz w:val="18"/>
              </w:rPr>
              <w:t>51019870927392X</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70927392-X</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成都市工商行政管理局</w:t>
            </w:r>
          </w:p>
        </w:tc>
        <w:tc>
          <w:tcPr>
            <w:tcW w:w="18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510109000045289</w:t>
            </w:r>
          </w:p>
        </w:tc>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110"/>
              <w:jc w:val="center"/>
              <w:rPr>
                <w:rFonts w:ascii="Times New Roman" w:hAnsi="Times New Roman" w:cs="Times New Roman" w:eastAsia="Times New Roman" w:hint="default"/>
                <w:sz w:val="18"/>
                <w:szCs w:val="18"/>
              </w:rPr>
            </w:pPr>
            <w:r>
              <w:rPr>
                <w:rFonts w:ascii="Times New Roman"/>
                <w:sz w:val="18"/>
              </w:rPr>
              <w:t>51019870927392X</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70927392-X</w:t>
            </w:r>
          </w:p>
        </w:tc>
      </w:tr>
      <w:tr>
        <w:trPr>
          <w:trHeight w:val="402" w:hRule="exact"/>
        </w:trPr>
        <w:tc>
          <w:tcPr>
            <w:tcW w:w="33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77" w:type="dxa"/>
            <w:gridSpan w:val="4"/>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3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left="254" w:right="0"/>
        <w:jc w:val="left"/>
        <w:rPr>
          <w:b w:val="0"/>
          <w:bCs w:val="0"/>
        </w:rPr>
      </w:pPr>
      <w:r>
        <w:rPr/>
        <w:pict>
          <v:shape style="position:absolute;margin-left:183.300003pt;margin-top:-52.064053pt;width:351.5pt;height:19.650pt;mso-position-horizontal-relative:page;mso-position-vertical-relative:paragraph;z-index:-859864" type="#_x0000_t202" filled="false" stroked="false">
            <v:textbox inset="0,0,0,0">
              <w:txbxContent>
                <w:p>
                  <w:pPr>
                    <w:pStyle w:val="BodyText"/>
                    <w:spacing w:line="240" w:lineRule="auto" w:before="51"/>
                    <w:ind w:left="0" w:right="0"/>
                    <w:jc w:val="left"/>
                  </w:pPr>
                  <w:r>
                    <w:rPr/>
                    <w:t>（如有）</w:t>
                  </w:r>
                </w:p>
              </w:txbxContent>
            </v:textbox>
            <w10:wrap type="none"/>
          </v:shape>
        </w:pict>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662"/>
        <w:gridCol w:w="6905"/>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中审亚太会计师事务所有限公司</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北京市海淀区复兴路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号天行建商务大厦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张平、黄秀娟</w:t>
            </w:r>
          </w:p>
        </w:tc>
      </w:tr>
    </w:tbl>
    <w:p>
      <w:pPr>
        <w:pStyle w:val="BodyText"/>
        <w:spacing w:line="240" w:lineRule="auto" w:before="51"/>
        <w:ind w:left="254" w:right="0"/>
        <w:jc w:val="left"/>
      </w:pPr>
      <w:r>
        <w:rPr/>
        <w:t>公司聘请的报告期内履行持续督导职责的保荐机构</w:t>
      </w:r>
    </w:p>
    <w:p>
      <w:pPr>
        <w:pStyle w:val="BodyText"/>
        <w:spacing w:line="338" w:lineRule="auto" w:before="117"/>
        <w:ind w:left="2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8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19"/>
        <w:gridCol w:w="1238"/>
        <w:gridCol w:w="1738"/>
        <w:gridCol w:w="1985"/>
        <w:gridCol w:w="1489"/>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317,429,705.97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508,358,984.73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378,125,589.41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17,872,345.54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86,496,177.37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65,105,204.03</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2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8,828,568.67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75,440,408.83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61,683,829.28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67,536,136.81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13,968,770.34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383.48%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94,031,878.24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830,258,353.02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779,183,169.35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673,428,571.82</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归属于上市公司股东的净资产（归属于 </w:t>
            </w:r>
            <w:r>
              <w:rPr>
                <w:rFonts w:ascii="宋体" w:hAnsi="宋体" w:cs="宋体" w:eastAsia="宋体" w:hint="default"/>
                <w:spacing w:val="-6"/>
                <w:sz w:val="18"/>
                <w:szCs w:val="18"/>
              </w:rPr>
              <w:t>上市公司股东的所有者权益）（元）</w:t>
            </w:r>
          </w:p>
        </w:tc>
        <w:tc>
          <w:tcPr>
            <w:tcW w:w="12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523,987,882.72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514,766,990.18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455,153,397.95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1"/>
        <w:gridCol w:w="1276"/>
        <w:gridCol w:w="1417"/>
        <w:gridCol w:w="1054"/>
        <w:gridCol w:w="1710"/>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-15,990.98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1,852,870.63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-67,245.54</w:t>
            </w:r>
          </w:p>
        </w:tc>
        <w:tc>
          <w:tcPr>
            <w:tcW w:w="171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14,460,207.31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12,454,656.94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4,854,919.51</w:t>
            </w:r>
          </w:p>
        </w:tc>
        <w:tc>
          <w:tcPr>
            <w:tcW w:w="171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-20,539.48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155,777.41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108,080.45</w:t>
            </w:r>
          </w:p>
        </w:tc>
        <w:tc>
          <w:tcPr>
            <w:tcW w:w="171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2,601,529.29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1,713,618.11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530,410.20</w:t>
            </w:r>
          </w:p>
        </w:tc>
        <w:tc>
          <w:tcPr>
            <w:tcW w:w="171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2,778,370.69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1,693,918.33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943,969.47</w:t>
            </w:r>
          </w:p>
        </w:tc>
        <w:tc>
          <w:tcPr>
            <w:tcW w:w="171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9,043,776.87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11,055,768.54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3,421,374.75</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975" w:right="101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0" w:firstLine="373"/>
        <w:jc w:val="left"/>
      </w:pPr>
      <w:r>
        <w:rPr/>
        <w:t>报告期内我国宏观经济上行压力较大，市场需求不足，加之公司控股股东三十所根据政策要求，对安全保密产品的技 </w:t>
      </w:r>
      <w:r>
        <w:rPr>
          <w:spacing w:val="-2"/>
        </w:rPr>
        <w:t>术体制进行升级换代，暂停部分产品的研制和生产，卫士通公司集成该类产品的集成业务受到影响，导致公司</w:t>
      </w:r>
      <w:r>
        <w:rPr>
          <w:rFonts w:ascii="Times New Roman" w:hAnsi="Times New Roman" w:cs="Times New Roman" w:eastAsia="Times New Roman" w:hint="default"/>
          <w:spacing w:val="-2"/>
        </w:rPr>
        <w:t>2012</w:t>
      </w:r>
      <w:r>
        <w:rPr>
          <w:spacing w:val="-2"/>
        </w:rPr>
        <w:t>年度经营</w:t>
      </w:r>
      <w:r>
        <w:rPr>
          <w:spacing w:val="-62"/>
        </w:rPr>
        <w:t> </w:t>
      </w:r>
      <w:r>
        <w:rPr>
          <w:spacing w:val="-2"/>
        </w:rPr>
        <w:t>业绩出现较大幅度下降。但是公司经营层在董事会的领导下，团结和带领广大员工，围绕公司发展规划，积极采取措施应对</w:t>
      </w:r>
      <w:r>
        <w:rPr>
          <w:spacing w:val="-66"/>
        </w:rPr>
        <w:t> </w:t>
      </w:r>
      <w:r>
        <w:rPr>
          <w:spacing w:val="-66"/>
        </w:rPr>
      </w:r>
      <w:r>
        <w:rPr>
          <w:spacing w:val="-2"/>
        </w:rPr>
        <w:t>挑战，取得了一定的成果。在市场开拓方面，坚持以集成业务带动自有产品的销售模式，同时加强对优势行业的深耕，保持</w:t>
      </w:r>
      <w:r>
        <w:rPr>
          <w:spacing w:val="-66"/>
        </w:rPr>
        <w:t> </w:t>
      </w:r>
      <w:r>
        <w:rPr>
          <w:spacing w:val="-66"/>
        </w:rPr>
      </w:r>
      <w:r>
        <w:rPr>
          <w:spacing w:val="-2"/>
        </w:rPr>
        <w:t>了公司在信息安全产品主流提供商中的优势地位；在内部管理方面，加强制度和流程的规范性；在科研工作上，坚持在优化</w:t>
      </w:r>
      <w:r>
        <w:rPr>
          <w:spacing w:val="-66"/>
        </w:rPr>
        <w:t> </w:t>
      </w:r>
      <w:r>
        <w:rPr>
          <w:spacing w:val="-66"/>
        </w:rPr>
      </w:r>
      <w:r>
        <w:rPr>
          <w:spacing w:val="-2"/>
        </w:rPr>
        <w:t>传统拳头产品的同时加强对一系列具有市场竞争力和战略扩张前景意义的新产品的研发投入，同时与国内外知名</w:t>
      </w:r>
      <w:r>
        <w:rPr>
          <w:rFonts w:ascii="Times New Roman" w:hAnsi="Times New Roman" w:cs="Times New Roman" w:eastAsia="Times New Roman" w:hint="default"/>
          <w:spacing w:val="-2"/>
        </w:rPr>
        <w:t>IT</w:t>
      </w:r>
      <w:r>
        <w:rPr>
          <w:spacing w:val="-2"/>
        </w:rPr>
        <w:t>厂商积极</w:t>
      </w:r>
      <w:r>
        <w:rPr>
          <w:spacing w:val="-52"/>
        </w:rPr>
        <w:t> </w:t>
      </w:r>
      <w:r>
        <w:rPr/>
        <w:t>开展合作，为新产品、新业务拓展以及业务转型打下较好的基础。</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2"/>
        <w:jc w:val="left"/>
      </w:pPr>
      <w:r>
        <w:rPr>
          <w:spacing w:val="-1"/>
        </w:rPr>
        <w:t>报告期内实现营业收入</w:t>
      </w:r>
      <w:r>
        <w:rPr>
          <w:rFonts w:ascii="Times New Roman" w:hAnsi="Times New Roman" w:cs="Times New Roman" w:eastAsia="Times New Roman" w:hint="default"/>
          <w:spacing w:val="-1"/>
        </w:rPr>
        <w:t>31,742.97</w:t>
      </w:r>
      <w:r>
        <w:rPr>
          <w:spacing w:val="-1"/>
        </w:rPr>
        <w:t>万元，比上年下降</w:t>
      </w:r>
      <w:r>
        <w:rPr>
          <w:rFonts w:ascii="Times New Roman" w:hAnsi="Times New Roman" w:cs="Times New Roman" w:eastAsia="Times New Roman" w:hint="default"/>
          <w:spacing w:val="-1"/>
        </w:rPr>
        <w:t>37.56%</w:t>
      </w:r>
      <w:r>
        <w:rPr>
          <w:spacing w:val="-1"/>
        </w:rPr>
        <w:t>；实现归属于上市公司股东的净利润</w:t>
      </w:r>
      <w:r>
        <w:rPr>
          <w:rFonts w:ascii="Times New Roman" w:hAnsi="Times New Roman" w:cs="Times New Roman" w:eastAsia="Times New Roman" w:hint="default"/>
          <w:spacing w:val="-1"/>
        </w:rPr>
        <w:t>1,787.23</w:t>
      </w:r>
      <w:r>
        <w:rPr>
          <w:spacing w:val="-1"/>
        </w:rPr>
        <w:t>万元，比上年下</w:t>
      </w:r>
      <w:r>
        <w:rPr/>
        <w:t> 降</w:t>
      </w:r>
      <w:r>
        <w:rPr>
          <w:rFonts w:ascii="Times New Roman" w:hAnsi="Times New Roman" w:cs="Times New Roman" w:eastAsia="Times New Roman" w:hint="default"/>
        </w:rPr>
        <w:t>79.34%</w:t>
      </w:r>
      <w:r>
        <w:rPr/>
        <w:t>；每股收益为</w:t>
      </w:r>
      <w:r>
        <w:rPr>
          <w:rFonts w:ascii="Times New Roman" w:hAnsi="Times New Roman" w:cs="Times New Roman" w:eastAsia="Times New Roman" w:hint="default"/>
        </w:rPr>
        <w:t>0.1035</w:t>
      </w:r>
      <w:r>
        <w:rPr/>
        <w:t>元，比上年减少</w:t>
      </w:r>
      <w:r>
        <w:rPr>
          <w:rFonts w:ascii="Times New Roman" w:hAnsi="Times New Roman" w:cs="Times New Roman" w:eastAsia="Times New Roman" w:hint="default"/>
        </w:rPr>
        <w:t>79.33%</w:t>
      </w:r>
      <w:r>
        <w:rPr/>
        <w:t>；总资产为</w:t>
      </w:r>
      <w:r>
        <w:rPr>
          <w:rFonts w:ascii="Times New Roman" w:hAnsi="Times New Roman" w:cs="Times New Roman" w:eastAsia="Times New Roman" w:hint="default"/>
        </w:rPr>
        <w:t>83,025.84</w:t>
      </w:r>
      <w:r>
        <w:rPr/>
        <w:t>万元，比上年末增长</w:t>
      </w:r>
      <w:r>
        <w:rPr>
          <w:rFonts w:ascii="Times New Roman" w:hAnsi="Times New Roman" w:cs="Times New Roman" w:eastAsia="Times New Roman" w:hint="default"/>
        </w:rPr>
        <w:t>6.55%</w:t>
      </w:r>
      <w:r>
        <w:rPr/>
        <w:t>。 公司回顾总结前期披露的发展战略和经营计划在报告期内的进展情况</w:t>
      </w:r>
    </w:p>
    <w:p>
      <w:pPr>
        <w:pStyle w:val="BodyText"/>
        <w:spacing w:line="240" w:lineRule="auto" w:before="56"/>
        <w:ind w:left="371" w:right="90"/>
        <w:jc w:val="left"/>
      </w:pPr>
      <w:r>
        <w:rPr/>
        <w:t>（</w:t>
      </w:r>
      <w:r>
        <w:rPr>
          <w:rFonts w:ascii="Times New Roman" w:hAnsi="Times New Roman" w:cs="Times New Roman" w:eastAsia="Times New Roman" w:hint="default"/>
        </w:rPr>
        <w:t>1</w:t>
      </w:r>
      <w:r>
        <w:rPr/>
        <w:t>）深入拓展系统集成业务</w:t>
      </w:r>
    </w:p>
    <w:p>
      <w:pPr>
        <w:pStyle w:val="BodyText"/>
        <w:spacing w:line="307" w:lineRule="auto" w:before="63"/>
        <w:ind w:right="90" w:firstLine="360"/>
        <w:jc w:val="left"/>
      </w:pPr>
      <w:r>
        <w:rPr>
          <w:rFonts w:ascii="Times New Roman" w:hAnsi="Times New Roman" w:cs="Times New Roman" w:eastAsia="Times New Roman" w:hint="default"/>
        </w:rPr>
        <w:t>2012</w:t>
      </w:r>
      <w:r>
        <w:rPr/>
        <w:t>年，公司深挖信息安全业务市场潜力，进行业务转型，重点着眼安全集成与服务的同时，大力发展系统集成业务， </w:t>
      </w:r>
      <w:r>
        <w:rPr>
          <w:spacing w:val="-1"/>
        </w:rPr>
        <w:t>同时继续深化安全集成业务发展的有关战略，全力发展以集成带动自主产品销售的模式，在等级</w:t>
      </w:r>
      <w:r>
        <w:rPr>
          <w:rFonts w:ascii="Times New Roman" w:hAnsi="Times New Roman" w:cs="Times New Roman" w:eastAsia="Times New Roman" w:hint="default"/>
          <w:spacing w:val="-1"/>
        </w:rPr>
        <w:t>/</w:t>
      </w:r>
      <w:r>
        <w:rPr>
          <w:spacing w:val="-1"/>
        </w:rPr>
        <w:t>分级保护市场及电子政务、</w:t>
      </w:r>
      <w:r>
        <w:rPr>
          <w:spacing w:val="-79"/>
        </w:rPr>
        <w:t> </w:t>
      </w:r>
      <w:r>
        <w:rPr>
          <w:spacing w:val="-2"/>
        </w:rPr>
        <w:t>军工、电子商务领域加大拓展力度，依托公司领先的信息安全整体解决方案和服务能力、完整的主流信息安全产品线、完善</w:t>
      </w:r>
      <w:r>
        <w:rPr>
          <w:spacing w:val="-66"/>
        </w:rPr>
        <w:t> </w:t>
      </w:r>
      <w:r>
        <w:rPr>
          <w:spacing w:val="-66"/>
        </w:rPr>
      </w:r>
      <w:r>
        <w:rPr/>
        <w:t>的营销和服务体系，取得了不错的成绩，巩固了公司在该领域的优势地位。</w:t>
      </w:r>
    </w:p>
    <w:p>
      <w:pPr>
        <w:pStyle w:val="BodyText"/>
        <w:spacing w:line="316" w:lineRule="auto" w:before="26"/>
        <w:ind w:right="189" w:firstLine="360"/>
        <w:jc w:val="both"/>
      </w:pPr>
      <w:r>
        <w:rPr>
          <w:spacing w:val="-2"/>
        </w:rPr>
        <w:t>随着信息技术的快速发展，用户需求已从单一的产品向整体方案一揽子工程转变，公司及时把握这一趋势，积极进行业</w:t>
      </w:r>
      <w:r>
        <w:rPr/>
        <w:t> </w:t>
      </w:r>
      <w:r>
        <w:rPr>
          <w:spacing w:val="-2"/>
        </w:rPr>
        <w:t>务转型，凭借深厚的安全集成与服务经验，不断扩大系统集成业务，成功签订海澜之家更新项目、青海教育信息化项目和中</w:t>
      </w:r>
      <w:r>
        <w:rPr>
          <w:spacing w:val="-66"/>
        </w:rPr>
        <w:t> </w:t>
      </w:r>
      <w:r>
        <w:rPr>
          <w:spacing w:val="-66"/>
        </w:rPr>
      </w:r>
      <w:r>
        <w:rPr/>
        <w:t>国石油天然气科研产业化项目信息化系统工程等合同，进一步拓展了公司的系统集成业务领域。</w:t>
      </w:r>
    </w:p>
    <w:p>
      <w:pPr>
        <w:pStyle w:val="BodyText"/>
        <w:spacing w:line="300" w:lineRule="auto" w:before="19"/>
        <w:ind w:left="424" w:right="90" w:firstLine="30"/>
        <w:jc w:val="left"/>
      </w:pPr>
      <w:r>
        <w:rPr/>
        <w:t>（</w:t>
      </w:r>
      <w:r>
        <w:rPr>
          <w:rFonts w:ascii="Times New Roman" w:hAnsi="Times New Roman" w:cs="Times New Roman" w:eastAsia="Times New Roman" w:hint="default"/>
        </w:rPr>
        <w:t>2</w:t>
      </w:r>
      <w:r>
        <w:rPr/>
        <w:t>）自主核心产品领域继续扩大 </w:t>
      </w:r>
      <w:r>
        <w:rPr>
          <w:spacing w:val="-2"/>
        </w:rPr>
        <w:t>公司长期在商用密码等信息安全核心技术应用领域进行技术研究和拓展，具有深厚的技术实力积累。经过十多年的发展，</w:t>
      </w:r>
    </w:p>
    <w:p>
      <w:pPr>
        <w:pStyle w:val="BodyText"/>
        <w:spacing w:line="300" w:lineRule="auto" w:before="31"/>
        <w:ind w:right="188"/>
        <w:jc w:val="both"/>
      </w:pPr>
      <w:r>
        <w:rPr>
          <w:spacing w:val="-2"/>
        </w:rPr>
        <w:t>公司在加密、认证、授权、桌面管理、终端安全、文档安全、商用</w:t>
      </w:r>
      <w:r>
        <w:rPr>
          <w:rFonts w:ascii="Times New Roman" w:hAnsi="Times New Roman" w:cs="Times New Roman" w:eastAsia="Times New Roman" w:hint="default"/>
          <w:spacing w:val="-2"/>
        </w:rPr>
        <w:t>VPN</w:t>
      </w:r>
      <w:r>
        <w:rPr>
          <w:spacing w:val="-2"/>
        </w:rPr>
        <w:t>、综合安全网关、防火墙等领域形成了一系列具有自</w:t>
      </w:r>
      <w:r>
        <w:rPr>
          <w:spacing w:val="-67"/>
        </w:rPr>
        <w:t> </w:t>
      </w:r>
      <w:r>
        <w:rPr>
          <w:spacing w:val="-67"/>
        </w:rPr>
      </w:r>
      <w:r>
        <w:rPr/>
        <w:t>主知识产权和品牌的产品和系统。公司自主核心产品主要包括主机及商用密码机、</w:t>
      </w:r>
      <w:r>
        <w:rPr>
          <w:rFonts w:ascii="Times New Roman" w:hAnsi="Times New Roman" w:cs="Times New Roman" w:eastAsia="Times New Roman" w:hint="default"/>
        </w:rPr>
        <w:t>CA</w:t>
      </w:r>
      <w:r>
        <w:rPr/>
        <w:t>及授权类产品、一</w:t>
      </w:r>
      <w:r>
        <w:rPr>
          <w:rFonts w:ascii="Times New Roman" w:hAnsi="Times New Roman" w:cs="Times New Roman" w:eastAsia="Times New Roman" w:hint="default"/>
        </w:rPr>
        <w:t>key</w:t>
      </w:r>
      <w:r>
        <w:rPr/>
        <w:t>通产品、商用</w:t>
      </w:r>
      <w:r>
        <w:rPr>
          <w:spacing w:val="16"/>
        </w:rPr>
        <w:t> </w:t>
      </w:r>
      <w:r>
        <w:rPr>
          <w:spacing w:val="16"/>
        </w:rPr>
      </w:r>
      <w:r>
        <w:rPr>
          <w:rFonts w:ascii="Times New Roman" w:hAnsi="Times New Roman" w:cs="Times New Roman" w:eastAsia="Times New Roman" w:hint="default"/>
          <w:spacing w:val="-2"/>
        </w:rPr>
        <w:t>VPN</w:t>
      </w:r>
      <w:r>
        <w:rPr>
          <w:spacing w:val="-2"/>
        </w:rPr>
        <w:t>、中华卫士防火墙和综合安全网关产品等。公司</w:t>
      </w:r>
      <w:r>
        <w:rPr>
          <w:rFonts w:ascii="Times New Roman" w:hAnsi="Times New Roman" w:cs="Times New Roman" w:eastAsia="Times New Roman" w:hint="default"/>
          <w:spacing w:val="-2"/>
        </w:rPr>
        <w:t>2012</w:t>
      </w:r>
      <w:r>
        <w:rPr>
          <w:spacing w:val="-2"/>
        </w:rPr>
        <w:t>年在安全数据库、安全中间件等基础类安全产品、下一代防火墙等</w:t>
      </w:r>
      <w:r>
        <w:rPr>
          <w:spacing w:val="-62"/>
        </w:rPr>
        <w:t> </w:t>
      </w:r>
      <w:r>
        <w:rPr>
          <w:spacing w:val="-62"/>
        </w:rPr>
      </w:r>
      <w:r>
        <w:rPr>
          <w:spacing w:val="-1"/>
        </w:rPr>
        <w:t>网络与边界安全类产品方面进行了研发和技术储备。同时，公司在企业信息化市场如</w:t>
      </w:r>
      <w:r>
        <w:rPr>
          <w:rFonts w:ascii="Times New Roman" w:hAnsi="Times New Roman" w:cs="Times New Roman" w:eastAsia="Times New Roman" w:hint="default"/>
          <w:spacing w:val="-1"/>
        </w:rPr>
        <w:t>“</w:t>
      </w:r>
      <w:r>
        <w:rPr>
          <w:spacing w:val="-1"/>
        </w:rPr>
        <w:t>数字城市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数字企业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智慧园区</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1"/>
        </w:rPr>
        <w:t> </w:t>
      </w:r>
      <w:r>
        <w:rPr/>
        <w:t>等领域积极开拓。</w:t>
      </w:r>
    </w:p>
    <w:p>
      <w:pPr>
        <w:pStyle w:val="BodyText"/>
        <w:spacing w:line="300" w:lineRule="auto" w:before="31"/>
        <w:ind w:left="514" w:right="180"/>
        <w:jc w:val="left"/>
      </w:pPr>
      <w:r>
        <w:rPr/>
        <w:t>（</w:t>
      </w:r>
      <w:r>
        <w:rPr>
          <w:rFonts w:ascii="Times New Roman" w:hAnsi="Times New Roman" w:cs="Times New Roman" w:eastAsia="Times New Roman" w:hint="default"/>
        </w:rPr>
        <w:t>3</w:t>
      </w:r>
      <w:r>
        <w:rPr/>
        <w:t>）积极拓展新业务领域 目前，公司是中国云计算技术与产业联盟单位，</w:t>
      </w:r>
      <w:r>
        <w:rPr>
          <w:rFonts w:ascii="Times New Roman" w:hAnsi="Times New Roman" w:cs="Times New Roman" w:eastAsia="Times New Roman" w:hint="default"/>
        </w:rPr>
        <w:t>2011</w:t>
      </w:r>
      <w:r>
        <w:rPr/>
        <w:t>年卫士通牵头云计算安全组内</w:t>
      </w:r>
      <w:r>
        <w:rPr>
          <w:rFonts w:ascii="Times New Roman" w:hAnsi="Times New Roman" w:cs="Times New Roman" w:eastAsia="Times New Roman" w:hint="default"/>
        </w:rPr>
        <w:t>5</w:t>
      </w:r>
      <w:r>
        <w:rPr/>
        <w:t>家成员单位开展行业调研，编制研</w:t>
      </w:r>
    </w:p>
    <w:p>
      <w:pPr>
        <w:pStyle w:val="BodyText"/>
        <w:spacing w:line="309" w:lineRule="auto" w:before="13"/>
        <w:ind w:right="188"/>
        <w:jc w:val="both"/>
      </w:pPr>
      <w:r>
        <w:rPr/>
        <w:t>究报告，开展试点工程。</w:t>
      </w:r>
      <w:r>
        <w:rPr>
          <w:rFonts w:ascii="Times New Roman" w:hAnsi="Times New Roman" w:cs="Times New Roman" w:eastAsia="Times New Roman" w:hint="default"/>
        </w:rPr>
        <w:t>2012</w:t>
      </w:r>
      <w:r>
        <w:rPr/>
        <w:t>年，工作组加强了组织建设，成员单位增加到</w:t>
      </w:r>
      <w:r>
        <w:rPr>
          <w:rFonts w:ascii="Times New Roman" w:hAnsi="Times New Roman" w:cs="Times New Roman" w:eastAsia="Times New Roman" w:hint="default"/>
        </w:rPr>
        <w:t>7</w:t>
      </w:r>
      <w:r>
        <w:rPr/>
        <w:t>家以上，同时发挥工作组成员单位的作用和优</w:t>
      </w:r>
      <w:r>
        <w:rPr>
          <w:spacing w:val="-83"/>
        </w:rPr>
        <w:t> </w:t>
      </w:r>
      <w:r>
        <w:rPr>
          <w:spacing w:val="-83"/>
        </w:rPr>
      </w:r>
      <w:r>
        <w:rPr>
          <w:spacing w:val="-2"/>
        </w:rPr>
        <w:t>势，继续开展面向特定行业、企业或家庭用户的试点示范工程，通过试点示范工程形成相应标准规范，为制定行业及国家标</w:t>
      </w:r>
      <w:r>
        <w:rPr>
          <w:spacing w:val="-66"/>
        </w:rPr>
        <w:t> </w:t>
      </w:r>
      <w:r>
        <w:rPr>
          <w:spacing w:val="-66"/>
        </w:rPr>
      </w:r>
      <w:r>
        <w:rPr/>
        <w:t>准积累经验。</w:t>
      </w:r>
    </w:p>
    <w:p>
      <w:pPr>
        <w:pStyle w:val="BodyText"/>
        <w:spacing w:line="300" w:lineRule="auto" w:before="24"/>
        <w:ind w:right="189" w:firstLine="360"/>
        <w:jc w:val="both"/>
      </w:pPr>
      <w:r>
        <w:rPr>
          <w:spacing w:val="-2"/>
        </w:rPr>
        <w:t>报告期内，为了解决传统</w:t>
      </w:r>
      <w:r>
        <w:rPr>
          <w:rFonts w:ascii="Times New Roman" w:hAnsi="Times New Roman" w:cs="Times New Roman" w:eastAsia="Times New Roman" w:hint="default"/>
          <w:spacing w:val="-2"/>
        </w:rPr>
        <w:t>IT</w:t>
      </w:r>
      <w:r>
        <w:rPr>
          <w:spacing w:val="-2"/>
        </w:rPr>
        <w:t>架构下的数据分散、数据防护困难、系统维护复杂等问题，公司推出了安全桌面云这一基于</w:t>
      </w:r>
      <w:r>
        <w:rPr/>
        <w:t> </w:t>
      </w:r>
      <w:r>
        <w:rPr>
          <w:spacing w:val="-2"/>
        </w:rPr>
        <w:t>云计算和虚拟化的</w:t>
      </w:r>
      <w:r>
        <w:rPr>
          <w:rFonts w:ascii="Times New Roman" w:hAnsi="Times New Roman" w:cs="Times New Roman" w:eastAsia="Times New Roman" w:hint="default"/>
          <w:spacing w:val="-2"/>
        </w:rPr>
        <w:t>IT</w:t>
      </w:r>
      <w:r>
        <w:rPr>
          <w:spacing w:val="-2"/>
        </w:rPr>
        <w:t>安全解决方案，使用该解决方案，客户可以方便的实现业务数据大集中、数据的高安全性、应用系统高</w:t>
      </w:r>
      <w:r>
        <w:rPr>
          <w:spacing w:val="-52"/>
        </w:rPr>
        <w:t> </w:t>
      </w:r>
      <w:r>
        <w:rPr>
          <w:spacing w:val="-52"/>
        </w:rPr>
      </w:r>
      <w:r>
        <w:rPr/>
        <w:t>可靠性以及控制</w:t>
      </w:r>
      <w:r>
        <w:rPr>
          <w:rFonts w:ascii="Times New Roman" w:hAnsi="Times New Roman" w:cs="Times New Roman" w:eastAsia="Times New Roman" w:hint="default"/>
        </w:rPr>
        <w:t>IT</w:t>
      </w:r>
      <w:r>
        <w:rPr/>
        <w:t>管理和维护成本等目标。</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7" w:lineRule="auto" w:before="44"/>
        <w:ind w:left="153" w:right="188" w:firstLine="360"/>
        <w:jc w:val="both"/>
      </w:pPr>
      <w:r>
        <w:rPr>
          <w:spacing w:val="-2"/>
        </w:rPr>
        <w:t>卫士通控股子公司摩宝网络科技公司目前为用户提供移动支付平台业务，是西南地区首家获得全国范围内《支付业务许</w:t>
      </w:r>
      <w:r>
        <w:rPr/>
        <w:t> </w:t>
      </w:r>
      <w:r>
        <w:rPr>
          <w:spacing w:val="-1"/>
        </w:rPr>
        <w:t>可证》的企业。对于个人用户，</w:t>
      </w:r>
      <w:r>
        <w:rPr>
          <w:rFonts w:ascii="Times New Roman" w:hAnsi="Times New Roman" w:cs="Times New Roman" w:eastAsia="Times New Roman" w:hint="default"/>
          <w:spacing w:val="-1"/>
        </w:rPr>
        <w:t>Mo</w:t>
      </w:r>
      <w:r>
        <w:rPr>
          <w:spacing w:val="-1"/>
        </w:rPr>
        <w:t>宝支付支持全国各大银行的网银支付，用户也可以先充值到</w:t>
      </w:r>
      <w:r>
        <w:rPr>
          <w:rFonts w:ascii="Times New Roman" w:hAnsi="Times New Roman" w:cs="Times New Roman" w:eastAsia="Times New Roman" w:hint="default"/>
          <w:spacing w:val="-1"/>
        </w:rPr>
        <w:t>Mo</w:t>
      </w:r>
      <w:r>
        <w:rPr>
          <w:spacing w:val="-1"/>
        </w:rPr>
        <w:t>宝账户，享受更加便捷的</w:t>
      </w:r>
      <w:r>
        <w:rPr>
          <w:spacing w:val="-82"/>
        </w:rPr>
        <w:t> </w:t>
      </w:r>
      <w:r>
        <w:rPr>
          <w:spacing w:val="-82"/>
        </w:rPr>
      </w:r>
      <w:r>
        <w:rPr>
          <w:rFonts w:ascii="Times New Roman" w:hAnsi="Times New Roman" w:cs="Times New Roman" w:eastAsia="Times New Roman" w:hint="default"/>
        </w:rPr>
        <w:t>Mo</w:t>
      </w:r>
      <w:r>
        <w:rPr/>
        <w:t>宝账户余额支付体验；针对企业用户，</w:t>
      </w:r>
      <w:r>
        <w:rPr>
          <w:rFonts w:ascii="Times New Roman" w:hAnsi="Times New Roman" w:cs="Times New Roman" w:eastAsia="Times New Roman" w:hint="default"/>
        </w:rPr>
        <w:t>Mo</w:t>
      </w:r>
      <w:r>
        <w:rPr/>
        <w:t>宝支付构建全新的综合支付平台，业务覆盖</w:t>
      </w:r>
      <w:r>
        <w:rPr>
          <w:rFonts w:ascii="Times New Roman" w:hAnsi="Times New Roman" w:cs="Times New Roman" w:eastAsia="Times New Roman" w:hint="default"/>
        </w:rPr>
        <w:t>B2B</w:t>
      </w:r>
      <w:r>
        <w:rPr/>
        <w:t>、</w:t>
      </w:r>
      <w:r>
        <w:rPr>
          <w:rFonts w:ascii="Times New Roman" w:hAnsi="Times New Roman" w:cs="Times New Roman" w:eastAsia="Times New Roman" w:hint="default"/>
        </w:rPr>
        <w:t>B2C</w:t>
      </w:r>
      <w:r>
        <w:rPr/>
        <w:t>和</w:t>
      </w:r>
      <w:r>
        <w:rPr>
          <w:rFonts w:ascii="Times New Roman" w:hAnsi="Times New Roman" w:cs="Times New Roman" w:eastAsia="Times New Roman" w:hint="default"/>
        </w:rPr>
        <w:t>C2C</w:t>
      </w:r>
      <w:r>
        <w:rPr/>
        <w:t>各领域，提供线</w:t>
      </w:r>
      <w:r>
        <w:rPr>
          <w:spacing w:val="-59"/>
        </w:rPr>
        <w:t> </w:t>
      </w:r>
      <w:r>
        <w:rPr>
          <w:spacing w:val="-59"/>
        </w:rPr>
      </w:r>
      <w:r>
        <w:rPr/>
        <w:t>上和线下支付及清算服务。</w:t>
      </w:r>
    </w:p>
    <w:p>
      <w:pPr>
        <w:pStyle w:val="BodyText"/>
        <w:spacing w:line="300" w:lineRule="auto" w:before="26"/>
        <w:ind w:left="444" w:right="90" w:firstLine="69"/>
        <w:jc w:val="left"/>
      </w:pPr>
      <w:r>
        <w:rPr/>
        <w:t>（</w:t>
      </w:r>
      <w:r>
        <w:rPr>
          <w:rFonts w:ascii="Times New Roman" w:hAnsi="Times New Roman" w:cs="Times New Roman" w:eastAsia="Times New Roman" w:hint="default"/>
        </w:rPr>
        <w:t>4</w:t>
      </w:r>
      <w:r>
        <w:rPr/>
        <w:t>）完成募投项目结题 </w:t>
      </w:r>
      <w:r>
        <w:rPr>
          <w:spacing w:val="-1"/>
        </w:rPr>
        <w:t>报告期内公司通过积极加大研发投入，加快募投项目建设进度，顺利完成募投项目结题。经公司第五届董事会第十次会</w:t>
      </w:r>
    </w:p>
    <w:p>
      <w:pPr>
        <w:pStyle w:val="BodyText"/>
        <w:spacing w:line="300" w:lineRule="auto" w:before="31"/>
        <w:ind w:left="153" w:right="90"/>
        <w:jc w:val="left"/>
      </w:pPr>
      <w:r>
        <w:rPr>
          <w:spacing w:val="-4"/>
        </w:rPr>
        <w:t>议及公司</w:t>
      </w:r>
      <w:r>
        <w:rPr>
          <w:rFonts w:ascii="Times New Roman" w:hAnsi="Times New Roman" w:cs="Times New Roman" w:eastAsia="Times New Roman" w:hint="default"/>
          <w:spacing w:val="-4"/>
        </w:rPr>
        <w:t>2012</w:t>
      </w:r>
      <w:r>
        <w:rPr>
          <w:spacing w:val="-4"/>
        </w:rPr>
        <w:t>年第一次临时股东大会审议通过，将节余募集资金永久补充流动资金，提高了资金的使用效率。截至报告期末，</w:t>
      </w:r>
      <w:r>
        <w:rPr>
          <w:spacing w:val="-36"/>
        </w:rPr>
        <w:t> </w:t>
      </w:r>
      <w:r>
        <w:rPr>
          <w:spacing w:val="-36"/>
        </w:rPr>
      </w:r>
      <w:r>
        <w:rPr/>
        <w:t>部分项目尾款尚未支付，公司将按照工程进度支付。</w:t>
      </w:r>
    </w:p>
    <w:p>
      <w:pPr>
        <w:pStyle w:val="BodyText"/>
        <w:spacing w:line="240" w:lineRule="auto" w:before="72"/>
        <w:ind w:left="153" w:right="9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说明</w:t>
      </w:r>
    </w:p>
    <w:p>
      <w:pPr>
        <w:pStyle w:val="BodyText"/>
        <w:spacing w:line="319" w:lineRule="auto" w:before="115"/>
        <w:ind w:left="153" w:right="90" w:firstLine="290"/>
        <w:jc w:val="left"/>
      </w:pPr>
      <w:r>
        <w:rPr>
          <w:spacing w:val="-1"/>
        </w:rPr>
        <w:t>报告期营业收入</w:t>
      </w:r>
      <w:r>
        <w:rPr>
          <w:rFonts w:ascii="Times New Roman" w:hAnsi="Times New Roman" w:cs="Times New Roman" w:eastAsia="Times New Roman" w:hint="default"/>
          <w:spacing w:val="-1"/>
        </w:rPr>
        <w:t>31,742.97</w:t>
      </w:r>
      <w:r>
        <w:rPr>
          <w:spacing w:val="-1"/>
        </w:rPr>
        <w:t>万元，较上年减少</w:t>
      </w:r>
      <w:r>
        <w:rPr>
          <w:rFonts w:ascii="Times New Roman" w:hAnsi="Times New Roman" w:cs="Times New Roman" w:eastAsia="Times New Roman" w:hint="default"/>
          <w:spacing w:val="-1"/>
        </w:rPr>
        <w:t>19,092.93</w:t>
      </w:r>
      <w:r>
        <w:rPr>
          <w:spacing w:val="-1"/>
        </w:rPr>
        <w:t>万元，下降</w:t>
      </w:r>
      <w:r>
        <w:rPr>
          <w:rFonts w:ascii="Times New Roman" w:hAnsi="Times New Roman" w:cs="Times New Roman" w:eastAsia="Times New Roman" w:hint="default"/>
          <w:spacing w:val="-1"/>
        </w:rPr>
        <w:t>37.56%</w:t>
      </w:r>
      <w:r>
        <w:rPr>
          <w:spacing w:val="-1"/>
        </w:rPr>
        <w:t>，主要是受国家宏观经济上行压力较大及集成业</w:t>
      </w:r>
      <w:r>
        <w:rPr/>
        <w:t> </w:t>
      </w:r>
      <w:r>
        <w:rPr>
          <w:spacing w:val="-2"/>
        </w:rPr>
        <w:t>务变动的影响。从产品销售结构来看，系统产品的比重小幅下降，安全服务与集成业务的比重略有上升，达到主营业务收入</w:t>
      </w:r>
      <w:r>
        <w:rPr>
          <w:spacing w:val="-66"/>
        </w:rPr>
        <w:t> </w:t>
      </w:r>
      <w:r>
        <w:rPr>
          <w:spacing w:val="-66"/>
        </w:rPr>
      </w:r>
      <w:r>
        <w:rPr/>
        <w:t>的</w:t>
      </w:r>
      <w:r>
        <w:rPr>
          <w:rFonts w:ascii="Times New Roman" w:hAnsi="Times New Roman" w:cs="Times New Roman" w:eastAsia="Times New Roman" w:hint="default"/>
        </w:rPr>
        <w:t>34.95%</w:t>
      </w:r>
      <w:r>
        <w:rPr/>
        <w:t>，主要系公司着力打造安全集成与服务业务；从区域销售情况看，各区域销售收入均有所下滑。 公司实物销售收入是否大于劳务收入</w:t>
      </w:r>
    </w:p>
    <w:p>
      <w:pPr>
        <w:pStyle w:val="BodyText"/>
        <w:spacing w:line="338" w:lineRule="auto" w:before="58"/>
        <w:ind w:right="78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40" w:lineRule="auto" w:before="42"/>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right="8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63,487,122.62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bl>
    <w:p>
      <w:pPr>
        <w:pStyle w:val="BodyText"/>
        <w:spacing w:line="240" w:lineRule="auto" w:before="51"/>
        <w:ind w:right="9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26,133,076.87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中国航空综合技术研究所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11,444,444.45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四川省电力公司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10,155,821.47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海澜之家服饰股份有限公司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8,407,626.02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中国石油天然气集团公司管材研究所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7,346,153.81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63,487,122.62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0"/>
        <w:jc w:val="left"/>
      </w:pPr>
      <w:r>
        <w:rPr/>
        <w:t>行业分类</w:t>
      </w:r>
    </w:p>
    <w:p>
      <w:pPr>
        <w:pStyle w:val="BodyText"/>
        <w:spacing w:line="240" w:lineRule="auto" w:before="117"/>
        <w:ind w:left="0" w:right="191"/>
        <w:jc w:val="right"/>
      </w:pPr>
      <w:r>
        <w:rPr/>
        <w:t>单位：元</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131,865,701.70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210,668,192.50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-37.41%</w:t>
            </w:r>
          </w:p>
        </w:tc>
      </w:tr>
    </w:tbl>
    <w:p>
      <w:pPr>
        <w:pStyle w:val="BodyText"/>
        <w:spacing w:line="240" w:lineRule="auto" w:before="51"/>
        <w:ind w:right="0"/>
        <w:jc w:val="left"/>
      </w:pPr>
      <w:r>
        <w:rPr/>
        <w:t>产品分类</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单机产品</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30,621,900.46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62,383,320.66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系统产品</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2,935,447.38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9,153,564.45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85,222,646.29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117,593,387.06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13,085,707.57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21,537,920.33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131,865,701.70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210,668,192.50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-37.41%</w:t>
            </w:r>
          </w:p>
        </w:tc>
      </w:tr>
    </w:tbl>
    <w:p>
      <w:pPr>
        <w:pStyle w:val="BodyText"/>
        <w:spacing w:line="240" w:lineRule="auto" w:before="51"/>
        <w:ind w:right="0"/>
        <w:jc w:val="left"/>
      </w:pPr>
      <w:r>
        <w:rPr/>
        <w:t>说明</w:t>
      </w:r>
    </w:p>
    <w:p>
      <w:pPr>
        <w:pStyle w:val="BodyText"/>
        <w:spacing w:line="300" w:lineRule="auto" w:before="115"/>
        <w:ind w:left="153" w:right="216"/>
        <w:jc w:val="left"/>
      </w:pPr>
      <w:r>
        <w:rPr/>
        <w:t>报告期发生营业成本</w:t>
      </w:r>
      <w:r>
        <w:rPr>
          <w:rFonts w:ascii="Times New Roman" w:hAnsi="Times New Roman" w:cs="Times New Roman" w:eastAsia="Times New Roman" w:hint="default"/>
        </w:rPr>
        <w:t>13,193.56</w:t>
      </w:r>
      <w:r>
        <w:rPr/>
        <w:t>万元，较上年下降</w:t>
      </w:r>
      <w:r>
        <w:rPr>
          <w:rFonts w:ascii="Times New Roman" w:hAnsi="Times New Roman" w:cs="Times New Roman" w:eastAsia="Times New Roman" w:hint="default"/>
        </w:rPr>
        <w:t>37.39%</w:t>
      </w:r>
      <w:r>
        <w:rPr/>
        <w:t>，主要系公司本期营业收入减少，相应的营业成本减少；本期销售 毛利率与上年基本持平。</w:t>
      </w:r>
    </w:p>
    <w:p>
      <w:pPr>
        <w:pStyle w:val="BodyText"/>
        <w:spacing w:line="240" w:lineRule="auto" w:before="72"/>
        <w:ind w:left="153"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34,863,751.69</w:t>
            </w:r>
          </w:p>
        </w:tc>
      </w:tr>
      <w:tr>
        <w:trPr>
          <w:trHeight w:val="402"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21.42%</w:t>
            </w:r>
          </w:p>
        </w:tc>
      </w:tr>
    </w:tbl>
    <w:p>
      <w:pPr>
        <w:pStyle w:val="BodyText"/>
        <w:spacing w:line="240" w:lineRule="auto" w:before="51"/>
        <w:ind w:right="0"/>
        <w:jc w:val="left"/>
      </w:pPr>
      <w:r>
        <w:rPr/>
        <w:pict>
          <v:shape style="position:absolute;margin-left:263.579712pt;margin-top:-20.117973pt;width:271.3pt;height:19.650pt;mso-position-horizontal-relative:page;mso-position-vertical-relative:paragraph;z-index:-859840" type="#_x0000_t202" filled="false" stroked="false">
            <v:textbox inset="0,0,0,0">
              <w:txbxContent>
                <w:p>
                  <w:pPr>
                    <w:pStyle w:val="BodyText"/>
                    <w:spacing w:line="240" w:lineRule="auto" w:before="51"/>
                    <w:ind w:left="0" w:right="0"/>
                    <w:jc w:val="left"/>
                  </w:pPr>
                  <w:r>
                    <w:rPr/>
                    <w:t>）</w:t>
                  </w:r>
                </w:p>
              </w:txbxContent>
            </v:textbox>
            <w10:wrap type="none"/>
          </v:shape>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金航数码科技有限公司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10,934,461.53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南京中铁信息工程有限公司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7,042,735.04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四川华西建筑装饰工程有限公司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6,575,449.16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西安市睿控创合电子科技有限公司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5,982,905.98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云南爱迪科技有限公司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4,328,199.98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34,863,751.69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21.42%</w:t>
            </w:r>
          </w:p>
        </w:tc>
      </w:tr>
    </w:tbl>
    <w:p>
      <w:pPr>
        <w:spacing w:line="240" w:lineRule="auto" w:before="2"/>
        <w:rPr>
          <w:rFonts w:ascii="宋体" w:hAnsi="宋体" w:cs="宋体" w:eastAsia="宋体" w:hint="default"/>
          <w:sz w:val="19"/>
          <w:szCs w:val="19"/>
        </w:rPr>
      </w:pPr>
    </w:p>
    <w:p>
      <w:pPr>
        <w:spacing w:line="518" w:lineRule="auto" w:before="35"/>
        <w:ind w:left="154" w:right="5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b/>
          <w:bCs/>
          <w:spacing w:val="1"/>
          <w:w w:val="99"/>
          <w:sz w:val="21"/>
          <w:szCs w:val="21"/>
        </w:rPr>
        <w:t> </w:t>
      </w:r>
      <w:r>
        <w:rPr>
          <w:rFonts w:ascii="宋体" w:hAnsi="宋体" w:cs="宋体" w:eastAsia="宋体" w:hint="default"/>
          <w:spacing w:val="-1"/>
          <w:sz w:val="18"/>
          <w:szCs w:val="18"/>
        </w:rPr>
        <w:t>本报告期所得税费用</w:t>
      </w:r>
      <w:r>
        <w:rPr>
          <w:rFonts w:ascii="Times New Roman" w:hAnsi="Times New Roman" w:cs="Times New Roman" w:eastAsia="Times New Roman" w:hint="default"/>
          <w:spacing w:val="-1"/>
          <w:sz w:val="20"/>
          <w:szCs w:val="20"/>
        </w:rPr>
        <w:t>2,988,329.31</w:t>
      </w:r>
      <w:r>
        <w:rPr>
          <w:rFonts w:ascii="宋体" w:hAnsi="宋体" w:cs="宋体" w:eastAsia="宋体" w:hint="default"/>
          <w:spacing w:val="-1"/>
          <w:sz w:val="20"/>
          <w:szCs w:val="20"/>
        </w:rPr>
        <w:t>元，较上年下降</w:t>
      </w:r>
      <w:r>
        <w:rPr>
          <w:rFonts w:ascii="Times New Roman" w:hAnsi="Times New Roman" w:cs="Times New Roman" w:eastAsia="Times New Roman" w:hint="default"/>
          <w:spacing w:val="-1"/>
          <w:sz w:val="20"/>
          <w:szCs w:val="20"/>
        </w:rPr>
        <w:t>83.54%</w:t>
      </w:r>
      <w:r>
        <w:rPr>
          <w:rFonts w:ascii="宋体" w:hAnsi="宋体" w:cs="宋体" w:eastAsia="宋体" w:hint="default"/>
          <w:spacing w:val="-1"/>
          <w:sz w:val="20"/>
          <w:szCs w:val="20"/>
        </w:rPr>
        <w:t>，</w:t>
      </w:r>
      <w:r>
        <w:rPr>
          <w:rFonts w:ascii="宋体" w:hAnsi="宋体" w:cs="宋体" w:eastAsia="宋体" w:hint="default"/>
          <w:spacing w:val="-1"/>
          <w:sz w:val="18"/>
          <w:szCs w:val="18"/>
        </w:rPr>
        <w:t>主要系本期利润下降及递延所得税资产增加所致。</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pStyle w:val="BodyText"/>
        <w:spacing w:line="300" w:lineRule="auto" w:before="77"/>
        <w:ind w:right="0"/>
        <w:jc w:val="left"/>
      </w:pPr>
      <w:r>
        <w:rPr>
          <w:spacing w:val="-2"/>
        </w:rPr>
        <w:t>公司本年研发支出</w:t>
      </w:r>
      <w:r>
        <w:rPr>
          <w:rFonts w:ascii="Times New Roman" w:hAnsi="Times New Roman" w:cs="Times New Roman" w:eastAsia="Times New Roman" w:hint="default"/>
          <w:spacing w:val="-2"/>
        </w:rPr>
        <w:t>5136.44</w:t>
      </w:r>
      <w:r>
        <w:rPr>
          <w:spacing w:val="-2"/>
        </w:rPr>
        <w:t>万元，占净资产的比例</w:t>
      </w:r>
      <w:r>
        <w:rPr>
          <w:rFonts w:ascii="Times New Roman" w:hAnsi="Times New Roman" w:cs="Times New Roman" w:eastAsia="Times New Roman" w:hint="default"/>
          <w:spacing w:val="-2"/>
        </w:rPr>
        <w:t>8.56%</w:t>
      </w:r>
      <w:r>
        <w:rPr>
          <w:spacing w:val="-2"/>
        </w:rPr>
        <w:t>，较上年下降</w:t>
      </w:r>
      <w:r>
        <w:rPr>
          <w:rFonts w:ascii="Times New Roman" w:hAnsi="Times New Roman" w:cs="Times New Roman" w:eastAsia="Times New Roman" w:hint="default"/>
          <w:spacing w:val="-2"/>
        </w:rPr>
        <w:t>15.14%</w:t>
      </w:r>
      <w:r>
        <w:rPr>
          <w:spacing w:val="-2"/>
        </w:rPr>
        <w:t>；研发支出占营业收入的比例</w:t>
      </w:r>
      <w:r>
        <w:rPr>
          <w:rFonts w:ascii="Times New Roman" w:hAnsi="Times New Roman" w:cs="Times New Roman" w:eastAsia="Times New Roman" w:hint="default"/>
          <w:spacing w:val="-2"/>
        </w:rPr>
        <w:t>16.18%</w:t>
      </w:r>
      <w:r>
        <w:rPr>
          <w:spacing w:val="-2"/>
        </w:rPr>
        <w:t>，较上年增</w:t>
      </w:r>
      <w:r>
        <w:rPr>
          <w:spacing w:val="-47"/>
        </w:rPr>
        <w:t> </w:t>
      </w:r>
      <w:r>
        <w:rPr>
          <w:spacing w:val="-47"/>
        </w:rPr>
      </w:r>
      <w:r>
        <w:rPr/>
        <w:t>长</w:t>
      </w:r>
      <w:r>
        <w:rPr>
          <w:rFonts w:ascii="Times New Roman" w:hAnsi="Times New Roman" w:cs="Times New Roman" w:eastAsia="Times New Roman" w:hint="default"/>
        </w:rPr>
        <w:t>32.42%</w:t>
      </w:r>
      <w:r>
        <w:rPr/>
        <w:t>，主要由于本年营业收入较上年下降了</w:t>
      </w:r>
      <w:r>
        <w:rPr>
          <w:rFonts w:ascii="Times New Roman" w:hAnsi="Times New Roman" w:cs="Times New Roman" w:eastAsia="Times New Roman" w:hint="default"/>
        </w:rPr>
        <w:t>37.56%</w:t>
      </w:r>
      <w:r>
        <w:rPr/>
        <w:t>。</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949"/>
        <w:gridCol w:w="2392"/>
        <w:gridCol w:w="2392"/>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429,368,952.71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542,659,123.45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361,832,815.90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528,690,353.11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67,536,136.81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13,968,770.34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383.48%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40,652,565.85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31,113,476.73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-40,647,700.85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-31,113,476.73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57,377,391.00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7,013,321.52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26,638,983.54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-7,013,321.52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30,738,407.46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-122.82%</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19,875,114.44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13,593,701.07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46.21%</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、经营活动现金流量净额比上年增加</w:t>
      </w:r>
      <w:r>
        <w:rPr>
          <w:rFonts w:ascii="Times New Roman" w:hAnsi="Times New Roman" w:cs="Times New Roman" w:eastAsia="Times New Roman" w:hint="default"/>
        </w:rPr>
        <w:t>383.48%</w:t>
      </w:r>
      <w:r>
        <w:rPr/>
        <w:t>，主要系本年业务量缩减商品采购大幅减少所致；</w:t>
      </w:r>
    </w:p>
    <w:p>
      <w:pPr>
        <w:pStyle w:val="BodyText"/>
        <w:spacing w:line="302" w:lineRule="auto" w:before="101"/>
        <w:ind w:right="0"/>
        <w:jc w:val="left"/>
      </w:pPr>
      <w:r>
        <w:rPr>
          <w:rFonts w:ascii="Times New Roman" w:hAnsi="Times New Roman" w:cs="Times New Roman" w:eastAsia="Times New Roman" w:hint="default"/>
          <w:spacing w:val="-1"/>
        </w:rPr>
        <w:t>2</w:t>
      </w:r>
      <w:r>
        <w:rPr>
          <w:spacing w:val="-1"/>
        </w:rPr>
        <w:t>、投资活动现金流量净额比上年增加</w:t>
      </w:r>
      <w:r>
        <w:rPr>
          <w:rFonts w:ascii="Times New Roman" w:hAnsi="Times New Roman" w:cs="Times New Roman" w:eastAsia="Times New Roman" w:hint="default"/>
          <w:spacing w:val="-1"/>
        </w:rPr>
        <w:t>30.64%</w:t>
      </w:r>
      <w:r>
        <w:rPr>
          <w:spacing w:val="-1"/>
        </w:rPr>
        <w:t>，主要系本年购买控股子公司四川卫士通信息安全平台技术有限公司和成都摩</w:t>
      </w:r>
      <w:r>
        <w:rPr>
          <w:spacing w:val="-43"/>
        </w:rPr>
        <w:t> </w:t>
      </w:r>
      <w:r>
        <w:rPr>
          <w:spacing w:val="-43"/>
        </w:rPr>
      </w:r>
      <w:r>
        <w:rPr/>
        <w:t>宝网络科技有限公司少数股东股权所致；</w:t>
      </w:r>
    </w:p>
    <w:p>
      <w:pPr>
        <w:pStyle w:val="BodyText"/>
        <w:spacing w:line="240" w:lineRule="auto" w:before="69"/>
        <w:ind w:right="0"/>
        <w:jc w:val="left"/>
      </w:pPr>
      <w:r>
        <w:rPr>
          <w:rFonts w:ascii="Times New Roman" w:hAnsi="Times New Roman" w:cs="Times New Roman" w:eastAsia="Times New Roman" w:hint="default"/>
        </w:rPr>
        <w:t>3</w:t>
      </w:r>
      <w:r>
        <w:rPr/>
        <w:t>、筹资活动现金流量净额比上年减少</w:t>
      </w:r>
      <w:r>
        <w:rPr>
          <w:rFonts w:ascii="Times New Roman" w:hAnsi="Times New Roman" w:cs="Times New Roman" w:eastAsia="Times New Roman" w:hint="default"/>
        </w:rPr>
        <w:t>122.82%</w:t>
      </w:r>
      <w:r>
        <w:rPr/>
        <w:t>，主要系上年控股子公司成都摩宝网络科技有限公司增资扩股所致。</w:t>
      </w:r>
    </w:p>
    <w:p>
      <w:pPr>
        <w:pStyle w:val="BodyText"/>
        <w:spacing w:line="338" w:lineRule="auto" w:before="103"/>
        <w:ind w:right="3830"/>
        <w:jc w:val="left"/>
      </w:pPr>
      <w:r>
        <w:rPr>
          <w:rFonts w:ascii="Times New Roman" w:hAnsi="Times New Roman" w:cs="Times New Roman" w:eastAsia="Times New Roman" w:hint="default"/>
        </w:rPr>
        <w:t>4</w:t>
      </w:r>
      <w:r>
        <w:rPr/>
        <w:t>、本年现金净流量增加主要系经营活动产生的现金流量净额增加。 报告期内公司经营活动的现金流量与本年度净利润存在重大差异的原因说明</w:t>
      </w:r>
    </w:p>
    <w:p>
      <w:pPr>
        <w:pStyle w:val="BodyText"/>
        <w:spacing w:line="319"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公司本年经营活动现金流量净额</w:t>
      </w:r>
      <w:r>
        <w:rPr>
          <w:rFonts w:ascii="Times New Roman" w:hAnsi="Times New Roman" w:cs="Times New Roman" w:eastAsia="Times New Roman" w:hint="default"/>
          <w:spacing w:val="-2"/>
        </w:rPr>
        <w:t>67,536,136.81</w:t>
      </w:r>
      <w:r>
        <w:rPr>
          <w:spacing w:val="-2"/>
        </w:rPr>
        <w:t>元，本年实现净利润</w:t>
      </w:r>
      <w:r>
        <w:rPr>
          <w:rFonts w:ascii="Times New Roman" w:hAnsi="Times New Roman" w:cs="Times New Roman" w:eastAsia="Times New Roman" w:hint="default"/>
          <w:spacing w:val="-2"/>
        </w:rPr>
        <w:t>9,702,295.98</w:t>
      </w:r>
      <w:r>
        <w:rPr>
          <w:spacing w:val="-2"/>
        </w:rPr>
        <w:t>元，差异较大，主要原因是本年资产减值准备</w:t>
      </w:r>
      <w:r>
        <w:rPr>
          <w:spacing w:val="-40"/>
        </w:rPr>
        <w:t> </w:t>
      </w:r>
      <w:r>
        <w:rPr>
          <w:spacing w:val="-40"/>
        </w:rPr>
      </w:r>
      <w:r>
        <w:rPr>
          <w:rFonts w:ascii="Times New Roman" w:hAnsi="Times New Roman" w:cs="Times New Roman" w:eastAsia="Times New Roman" w:hint="default"/>
        </w:rPr>
        <w:t>19,901,861.52</w:t>
      </w:r>
      <w:r>
        <w:rPr/>
        <w:t>元以及经营性应付项目</w:t>
      </w:r>
      <w:r>
        <w:rPr>
          <w:rFonts w:ascii="Times New Roman" w:hAnsi="Times New Roman" w:cs="Times New Roman" w:eastAsia="Times New Roman" w:hint="default"/>
        </w:rPr>
        <w:t>53,077,548.80</w:t>
      </w:r>
      <w:r>
        <w:rPr/>
        <w:t>元减少了现金流出。</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317,100,862.23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131,865,701.70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单机产品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169,481,274.83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30,621,900.46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21,777,193.83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2,935,447.38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110,840,476.16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85,222,646.29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15,001,917.41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13,085,707.57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8,528,417.62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2,521,245.57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108,076,773.15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46,385,313.41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54,040,387.38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24,647,406.30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17,589,282.39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3,272,565.54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8,470,798.30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1,924,774.01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17,400,235.73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9,753,714.50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101,994,093.79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43,276,415.50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1,000,873.87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84,266.87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0"/>
        <w:gridCol w:w="1195"/>
        <w:gridCol w:w="1063"/>
        <w:gridCol w:w="799"/>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2" w:right="-3" w:firstLine="61"/>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389,451,547.71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368,222,224.69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-0.35%</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209,237,427.53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186,153,514.15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75,811,403.60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79,092,671.13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系对深圳市虹安信息技术有限公司 的股权投资本期全额计提了减值准 备，减少长期股权投资账面价值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113,671,147.07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25,583,923.84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10.41%</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主要系公司南区办公楼完工转固所 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70,508,336.33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系公司南区办公楼完工转固所致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5,531,679.47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主要系本期购入业务所需办公网络 软件所致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10,619,556.98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7,439,750.64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主要系期末坏账准备计提和存货跌 价准备增加所致</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r>
        <w:rPr/>
        <w:pict>
          <v:shape style="position:absolute;margin-left:381.479095pt;margin-top:702.299988pt;width:153.450pt;height:66.45pt;mso-position-horizontal-relative:page;mso-position-vertical-relative:page;z-index:-859816" type="#_x0000_t202" filled="false" stroked="false">
            <v:textbox inset="0,0,0,0">
              <w:txbxContent>
                <w:p>
                  <w:pPr>
                    <w:pStyle w:val="BodyText"/>
                    <w:spacing w:line="636" w:lineRule="auto" w:before="51"/>
                    <w:ind w:left="178" w:right="1986" w:hanging="179"/>
                    <w:jc w:val="left"/>
                  </w:pPr>
                  <w:r>
                    <w:rPr/>
                    <w:t>计算机硬件、 信息查询、</w:t>
                  </w:r>
                </w:p>
              </w:txbxContent>
            </v:textbox>
            <w10:wrap type="none"/>
          </v:shape>
        </w:pict>
      </w:r>
      <w:r>
        <w:rPr/>
        <w:pict>
          <v:group style="position:absolute;margin-left:432.600006pt;margin-top:702.299988pt;width:102.3pt;height:66.45pt;mso-position-horizontal-relative:page;mso-position-vertical-relative:page;z-index:-859792" coordorigin="8652,14046" coordsize="2046,1329">
            <v:group style="position:absolute;left:8652;top:14046;width:2046;height:1329" coordorigin="8652,14046" coordsize="2046,1329">
              <v:shape style="position:absolute;left:8652;top:14046;width:2046;height:1329" coordorigin="8652,14046" coordsize="2046,1329" path="m8652,15374l10698,15374,10698,14046,8652,14046,8652,15374xe" filled="true" fillcolor="#ffffff" stroked="false">
                <v:path arrowok="t"/>
                <v:fill type="solid"/>
              </v:shape>
            </v:group>
            <v:group style="position:absolute;left:8675;top:14514;width:2001;height:393" coordorigin="8675,14514" coordsize="2001,393">
              <v:shape style="position:absolute;left:8675;top:14514;width:2001;height:393" coordorigin="8675,14514" coordsize="2001,393" path="m8675,14906l10675,14906,10675,14514,8675,14514,8675,14906xe" filled="true" fillcolor="#ffffff" stroked="false">
                <v:path arrowok="t"/>
                <v:fill type="solid"/>
              </v:shape>
            </v:group>
            <w10:wrap type="none"/>
          </v:group>
        </w:pict>
      </w:r>
    </w:p>
    <w:p>
      <w:pPr>
        <w:pStyle w:val="Heading4"/>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21,194,382.63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30,273,626.05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主要系本期利润减少企业所得税相 应减少所致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3,007,746.85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1,385,465.14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0.18%</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主要系本期应付未付的股利增加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14,792,788.47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6,373,654.54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主要原因系应付未付的房租费及代 收款增加所致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49,915,095.47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9,528,802.78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主要系本期收到的政府补助增加且 大部分未转入营业外收入所致</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3" w:right="0"/>
        <w:jc w:val="left"/>
      </w:pPr>
      <w:r>
        <w:rPr/>
        <w:t>品牌与业务：作为信息安全第一股、信息安全行业专家、商密资质最全、行业用户</w:t>
      </w:r>
      <w:r>
        <w:rPr>
          <w:rFonts w:ascii="Times New Roman" w:hAnsi="Times New Roman" w:cs="Times New Roman" w:eastAsia="Times New Roman" w:hint="default"/>
        </w:rPr>
        <w:t>/</w:t>
      </w:r>
      <w:r>
        <w:rPr/>
        <w:t>等分保建设的成功案例多、客户关系良</w:t>
      </w:r>
      <w:r>
        <w:rPr>
          <w:spacing w:val="-49"/>
        </w:rPr>
        <w:t> </w:t>
      </w:r>
      <w:r>
        <w:rPr>
          <w:spacing w:val="-49"/>
        </w:rPr>
      </w:r>
      <w:r>
        <w:rPr/>
        <w:t>好的国有控股上市公司，持续保持国内最大的安全集成商的产业制高点地位，更多牵头</w:t>
      </w:r>
      <w:r>
        <w:rPr>
          <w:rFonts w:ascii="Times New Roman" w:hAnsi="Times New Roman" w:cs="Times New Roman" w:eastAsia="Times New Roman" w:hint="default"/>
        </w:rPr>
        <w:t>/</w:t>
      </w:r>
      <w:r>
        <w:rPr/>
        <w:t>参与行业标准制定，进一步打造并</w:t>
      </w:r>
      <w:r>
        <w:rPr>
          <w:spacing w:val="-49"/>
        </w:rPr>
        <w:t> </w:t>
      </w:r>
      <w:r>
        <w:rPr>
          <w:spacing w:val="-49"/>
        </w:rPr>
      </w:r>
      <w:r>
        <w:rPr/>
        <w:t>巩固在标准级的核心竞争力。</w:t>
      </w:r>
      <w:r>
        <w:rPr/>
        <w:t> </w:t>
      </w:r>
      <w:r>
        <w:rPr>
          <w:spacing w:val="-2"/>
        </w:rPr>
        <w:t>产品与技术：安全产品种类全（丰富）、以商用密码为主的核心产品具有竞争优势、传统业务群体（如政府、军工）整体方</w:t>
      </w:r>
      <w:r>
        <w:rPr>
          <w:spacing w:val="-67"/>
        </w:rPr>
        <w:t> </w:t>
      </w:r>
      <w:r>
        <w:rPr>
          <w:spacing w:val="-67"/>
        </w:rPr>
      </w:r>
      <w:r>
        <w:rPr/>
        <w:t>案及规划设计经验丰富。</w:t>
      </w:r>
    </w:p>
    <w:p>
      <w:pPr>
        <w:pStyle w:val="BodyText"/>
        <w:spacing w:line="240" w:lineRule="auto" w:before="24"/>
        <w:ind w:right="0"/>
        <w:jc w:val="left"/>
      </w:pPr>
      <w:r>
        <w:rPr/>
        <w:t>市场运作：较强的销售与售后服务保障体系，为进一步开拓市场打下基础。</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6"/>
        <w:gridCol w:w="353"/>
        <w:gridCol w:w="3190"/>
        <w:gridCol w:w="1135"/>
        <w:gridCol w:w="2056"/>
      </w:tblGrid>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8" w:right="31" w:hanging="466"/>
              <w:jc w:val="left"/>
              <w:rPr>
                <w:rFonts w:ascii="宋体" w:hAnsi="宋体" w:cs="宋体" w:eastAsia="宋体" w:hint="default"/>
                <w:sz w:val="18"/>
                <w:szCs w:val="18"/>
              </w:rPr>
            </w:pPr>
            <w:r>
              <w:rPr>
                <w:rFonts w:ascii="宋体" w:hAnsi="宋体" w:cs="宋体" w:eastAsia="宋体" w:hint="default"/>
                <w:sz w:val="18"/>
                <w:szCs w:val="18"/>
              </w:rPr>
              <w:t>上市公司占被投资公司权 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t>深圳市虹安信息安全技术有限公司</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计算机软、硬件产品研发、生产、销售及相关技术支持，信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息技术咨询服务。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1338"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101"/>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 司</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pacing w:val="-6"/>
                <w:sz w:val="18"/>
                <w:szCs w:val="18"/>
              </w:rPr>
              <w:t>计算机软件的研制、开发、生产、销售、租赁；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网络产品及应用电子技术的研制、开发、销售、租赁服务； </w:t>
            </w:r>
            <w:r>
              <w:rPr>
                <w:rFonts w:ascii="宋体" w:hAnsi="宋体" w:cs="宋体" w:eastAsia="宋体" w:hint="default"/>
                <w:spacing w:val="-8"/>
                <w:sz w:val="18"/>
                <w:szCs w:val="18"/>
              </w:rPr>
              <w:t>经济与技术咨询服务（国家有专项规定的除外）；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发布、征信服务（国家有专项规定的除外）。</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18,607.29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1,336.46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13,587.11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18,607.29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日，已累计支出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13,587.11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万元，其中超募资金补充流动</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9,708.82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万元。公司募投项目已于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日全部结题，经公司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临时股东大会决议通过，公司将结余募集资金及利息收入共计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5,343.00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万元用于永久补充流动资金，尚需支付募投项目尾</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万元继续存放于募集资金专户中。</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网络安全系列产品产 业化技术改造项目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4,063.44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7,859.57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通</w:t>
            </w:r>
            <w:r>
              <w:rPr>
                <w:rFonts w:ascii="Times New Roman" w:hAnsi="Times New Roman" w:cs="Times New Roman" w:eastAsia="Times New Roman" w:hint="default"/>
                <w:sz w:val="18"/>
                <w:szCs w:val="18"/>
              </w:rPr>
              <w:t>"</w:t>
            </w:r>
            <w:r>
              <w:rPr>
                <w:rFonts w:ascii="宋体" w:hAnsi="宋体" w:cs="宋体" w:eastAsia="宋体" w:hint="default"/>
                <w:sz w:val="18"/>
                <w:szCs w:val="18"/>
              </w:rPr>
              <w:t>综合安全</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防护系统升级技术改</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3,300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93" w:right="0"/>
              <w:jc w:val="center"/>
              <w:rPr>
                <w:rFonts w:ascii="Times New Roman" w:hAnsi="Times New Roman" w:cs="Times New Roman" w:eastAsia="Times New Roman" w:hint="default"/>
                <w:sz w:val="18"/>
                <w:szCs w:val="18"/>
              </w:rPr>
            </w:pPr>
            <w:r>
              <w:rPr>
                <w:rFonts w:ascii="Times New Roman"/>
                <w:sz w:val="18"/>
              </w:rPr>
              <w:t>1,938.22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376.67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1,923.18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99.22%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95" w:right="0"/>
              <w:jc w:val="center"/>
              <w:rPr>
                <w:rFonts w:ascii="Times New Roman" w:hAnsi="Times New Roman" w:cs="Times New Roman" w:eastAsia="Times New Roman" w:hint="default"/>
                <w:sz w:val="18"/>
                <w:szCs w:val="18"/>
              </w:rPr>
            </w:pPr>
            <w:r>
              <w:rPr>
                <w:rFonts w:ascii="Times New Roman"/>
                <w:sz w:val="18"/>
              </w:rPr>
              <w:t>5,483.52</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电子政务安全信息交 换系统改造项目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2,012.1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2,101.89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金融安全技术防护系 统技术改造项目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1,858.28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4,416.21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9,872.04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1,336.46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9,708.82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19,861.19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3,878.29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3,878.29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18,607.29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13,750.33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1,336.46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13,587.11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19,861.19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报告期内公司控股股东三十所根据政策要求，对安全保密产品的技术体制进行升级换代，暂停部分 产品的研制和生产，公司集成该类产品的相关业务受到影响，尤其对电子政务安全信息交换系统改 造项目收入影响较大，故该项目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年度未达到预计收益。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年第三次临时股东大会决议通过，公司于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万元全部补 充流动资金。</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2" w:right="23" w:firstLine="630"/>
              <w:jc w:val="both"/>
              <w:rPr>
                <w:rFonts w:ascii="宋体" w:hAnsi="宋体" w:cs="宋体" w:eastAsia="宋体" w:hint="default"/>
                <w:sz w:val="18"/>
                <w:szCs w:val="18"/>
              </w:rPr>
            </w:pPr>
            <w:r>
              <w:rPr>
                <w:rFonts w:ascii="宋体" w:hAnsi="宋体" w:cs="宋体" w:eastAsia="宋体" w:hint="default"/>
                <w:sz w:val="18"/>
                <w:szCs w:val="18"/>
              </w:rPr>
              <w:t>由于公司所处信息安全行业技术发展及产品更新较快，公司募投项目可研报告编写于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年公司上市以前，原拟采购的部分设备、软件、开发工具等已不能适应公司目前的科研生产要求， 公司经过审慎的调研、论证，在不影响募投项目开展的情况下，放弃了对一些适用性差的设备、软 件、开发工具等的采购，减少了募集资金支出；在项目实施过程中，由于技术进步，部分电子设备 价格下降，也节余了部分募集资金支出；同时，公司从项目的实际情况出发，本着合理、有效的原 则谨慎使用募集资金，严格控制支出，节约了成本和费用。因此，募集资金在项目实施完成后出现 结余，结余募集资金及利息收入合计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1"/>
              <w:ind w:left="22" w:right="24"/>
              <w:jc w:val="left"/>
              <w:rPr>
                <w:rFonts w:ascii="宋体" w:hAnsi="宋体" w:cs="宋体" w:eastAsia="宋体" w:hint="default"/>
                <w:sz w:val="18"/>
                <w:szCs w:val="18"/>
              </w:rPr>
            </w:pPr>
            <w:r>
              <w:rPr>
                <w:rFonts w:ascii="宋体" w:hAnsi="宋体" w:cs="宋体" w:eastAsia="宋体" w:hint="default"/>
                <w:sz w:val="18"/>
                <w:szCs w:val="18"/>
              </w:rPr>
              <w:t>第一次临时股东大会决议通过，公司将节余募集资金及利息收入共计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5,343.00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 动资金。</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目前尚余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万元募投项目尾款未使用，继续存放于前述募集资金专户中。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主要子公司、参股公司情况</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5"/>
        <w:gridCol w:w="1076"/>
        <w:gridCol w:w="942"/>
        <w:gridCol w:w="943"/>
        <w:gridCol w:w="943"/>
        <w:gridCol w:w="944"/>
        <w:gridCol w:w="942"/>
        <w:gridCol w:w="943"/>
        <w:gridCol w:w="809"/>
        <w:gridCol w:w="1078"/>
      </w:tblGrid>
      <w:tr>
        <w:trPr>
          <w:trHeight w:val="714" w:hRule="exact"/>
        </w:trPr>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7"/>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7"/>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943" w:type="dxa"/>
            <w:tcBorders>
              <w:top w:val="single" w:sz="4" w:space="0" w:color="000000"/>
              <w:left w:val="single" w:sz="4" w:space="0" w:color="000000"/>
              <w:bottom w:val="nil" w:sz="6" w:space="0" w:color="auto"/>
              <w:right w:val="single" w:sz="4" w:space="0" w:color="000000"/>
            </w:tcBorders>
            <w:shd w:val="clear" w:color="auto" w:fill="C7EDCC"/>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通信息安 全技术有</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9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产品开发、 </w:t>
            </w:r>
            <w:r>
              <w:rPr>
                <w:rFonts w:ascii="宋体" w:hAnsi="宋体" w:cs="宋体" w:eastAsia="宋体" w:hint="default"/>
                <w:spacing w:val="-3"/>
                <w:sz w:val="18"/>
                <w:szCs w:val="18"/>
              </w:rPr>
              <w:t>销售、集成</w:t>
            </w:r>
          </w:p>
        </w:tc>
        <w:tc>
          <w:tcPr>
            <w:tcW w:w="9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349,450,94</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5.88</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73,611,714.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169,786,31</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4.65</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5" w:right="0"/>
              <w:jc w:val="left"/>
              <w:rPr>
                <w:rFonts w:ascii="Times New Roman" w:hAnsi="Times New Roman" w:cs="Times New Roman" w:eastAsia="Times New Roman" w:hint="default"/>
                <w:sz w:val="18"/>
                <w:szCs w:val="18"/>
              </w:rPr>
            </w:pPr>
            <w:r>
              <w:rPr>
                <w:rFonts w:ascii="Times New Roman"/>
                <w:sz w:val="18"/>
              </w:rPr>
              <w:t>14,258,56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4.06</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13,025,194.0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351" w:hRule="exact"/>
        </w:trPr>
        <w:tc>
          <w:tcPr>
            <w:tcW w:w="94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943" w:type="dxa"/>
            <w:tcBorders>
              <w:top w:val="nil" w:sz="6" w:space="0" w:color="auto"/>
              <w:left w:val="single" w:sz="4" w:space="0" w:color="000000"/>
              <w:bottom w:val="single" w:sz="4" w:space="0" w:color="000000"/>
              <w:right w:val="single" w:sz="4" w:space="0" w:color="000000"/>
            </w:tcBorders>
            <w:shd w:val="clear" w:color="auto" w:fill="C7EDCC"/>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943" w:type="dxa"/>
            <w:tcBorders>
              <w:top w:val="single" w:sz="4" w:space="0" w:color="000000"/>
              <w:left w:val="single" w:sz="4" w:space="0" w:color="000000"/>
              <w:bottom w:val="nil" w:sz="6" w:space="0" w:color="auto"/>
              <w:right w:val="single" w:sz="4" w:space="0" w:color="000000"/>
            </w:tcBorders>
            <w:shd w:val="clear" w:color="auto" w:fill="C7EDCC"/>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豪赛网络 安全技术</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9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产品开发、 </w:t>
            </w:r>
            <w:r>
              <w:rPr>
                <w:rFonts w:ascii="宋体" w:hAnsi="宋体" w:cs="宋体" w:eastAsia="宋体" w:hint="default"/>
                <w:spacing w:val="-3"/>
                <w:sz w:val="18"/>
                <w:szCs w:val="18"/>
              </w:rPr>
              <w:t>销售、集成</w:t>
            </w:r>
          </w:p>
        </w:tc>
        <w:tc>
          <w:tcPr>
            <w:tcW w:w="9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127,749,03</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6.52</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13,573,825.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28,163,688.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5" w:right="0"/>
              <w:jc w:val="left"/>
              <w:rPr>
                <w:rFonts w:ascii="Times New Roman" w:hAnsi="Times New Roman" w:cs="Times New Roman" w:eastAsia="Times New Roman" w:hint="default"/>
                <w:sz w:val="18"/>
                <w:szCs w:val="18"/>
              </w:rPr>
            </w:pPr>
            <w:r>
              <w:rPr>
                <w:rFonts w:ascii="Times New Roman"/>
                <w:sz w:val="18"/>
              </w:rPr>
              <w:t>-2,952,07</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9.65</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-1,921,499.81</w:t>
            </w:r>
          </w:p>
        </w:tc>
      </w:tr>
      <w:tr>
        <w:trPr>
          <w:trHeight w:val="351" w:hRule="exact"/>
        </w:trPr>
        <w:tc>
          <w:tcPr>
            <w:tcW w:w="94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943" w:type="dxa"/>
            <w:tcBorders>
              <w:top w:val="nil" w:sz="6" w:space="0" w:color="auto"/>
              <w:left w:val="single" w:sz="4" w:space="0" w:color="000000"/>
              <w:bottom w:val="single" w:sz="4" w:space="0" w:color="000000"/>
              <w:right w:val="single" w:sz="4" w:space="0" w:color="000000"/>
            </w:tcBorders>
            <w:shd w:val="clear" w:color="auto" w:fill="C7EDCC"/>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943" w:type="dxa"/>
            <w:tcBorders>
              <w:top w:val="single" w:sz="4" w:space="0" w:color="000000"/>
              <w:left w:val="single" w:sz="4" w:space="0" w:color="000000"/>
              <w:bottom w:val="nil" w:sz="6" w:space="0" w:color="auto"/>
              <w:right w:val="single" w:sz="4" w:space="0" w:color="000000"/>
            </w:tcBorders>
            <w:shd w:val="clear" w:color="auto" w:fill="C7EDCC"/>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通网络安 全有限公</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9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产品开发、 </w:t>
            </w:r>
            <w:r>
              <w:rPr>
                <w:rFonts w:ascii="宋体" w:hAnsi="宋体" w:cs="宋体" w:eastAsia="宋体" w:hint="default"/>
                <w:spacing w:val="-3"/>
                <w:sz w:val="18"/>
                <w:szCs w:val="18"/>
              </w:rPr>
              <w:t>销售、集成</w:t>
            </w:r>
          </w:p>
        </w:tc>
        <w:tc>
          <w:tcPr>
            <w:tcW w:w="9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28,037,471.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7,765,302.2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23,199,366.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5" w:right="0"/>
              <w:jc w:val="left"/>
              <w:rPr>
                <w:rFonts w:ascii="Times New Roman" w:hAnsi="Times New Roman" w:cs="Times New Roman" w:eastAsia="Times New Roman" w:hint="default"/>
                <w:sz w:val="18"/>
                <w:szCs w:val="18"/>
              </w:rPr>
            </w:pPr>
            <w:r>
              <w:rPr>
                <w:rFonts w:ascii="Times New Roman"/>
                <w:sz w:val="18"/>
              </w:rPr>
              <w:t>-3,076,36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9.39</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-2,777,093.54</w:t>
            </w:r>
          </w:p>
        </w:tc>
      </w:tr>
      <w:tr>
        <w:trPr>
          <w:trHeight w:val="351" w:hRule="exact"/>
        </w:trPr>
        <w:tc>
          <w:tcPr>
            <w:tcW w:w="94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943" w:type="dxa"/>
            <w:tcBorders>
              <w:top w:val="nil" w:sz="6" w:space="0" w:color="auto"/>
              <w:left w:val="single" w:sz="4" w:space="0" w:color="000000"/>
              <w:bottom w:val="single" w:sz="4" w:space="0" w:color="000000"/>
              <w:right w:val="single" w:sz="4" w:space="0" w:color="000000"/>
            </w:tcBorders>
            <w:shd w:val="clear" w:color="auto" w:fill="C7EDCC"/>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9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四川卫士 通信息安 全平台技 术有限公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9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
              <w:jc w:val="left"/>
              <w:rPr>
                <w:rFonts w:ascii="宋体" w:hAnsi="宋体" w:cs="宋体" w:eastAsia="宋体" w:hint="default"/>
                <w:sz w:val="18"/>
                <w:szCs w:val="18"/>
              </w:rPr>
            </w:pPr>
            <w:r>
              <w:rPr>
                <w:rFonts w:ascii="宋体" w:hAnsi="宋体" w:cs="宋体" w:eastAsia="宋体" w:hint="default"/>
                <w:sz w:val="18"/>
                <w:szCs w:val="18"/>
              </w:rPr>
              <w:t>信息安全 产品开发、 </w:t>
            </w:r>
            <w:r>
              <w:rPr>
                <w:rFonts w:ascii="宋体" w:hAnsi="宋体" w:cs="宋体" w:eastAsia="宋体" w:hint="default"/>
                <w:spacing w:val="-3"/>
                <w:sz w:val="18"/>
                <w:szCs w:val="18"/>
              </w:rPr>
              <w:t>销售、集成</w:t>
            </w:r>
            <w:r>
              <w:rPr>
                <w:rFonts w:ascii="宋体" w:hAnsi="宋体" w:cs="宋体" w:eastAsia="宋体" w:hint="default"/>
                <w:sz w:val="18"/>
                <w:szCs w:val="18"/>
              </w:rPr>
              <w:t> 及服务</w:t>
            </w:r>
          </w:p>
        </w:tc>
        <w:tc>
          <w:tcPr>
            <w:tcW w:w="9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119,555,39</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4.60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91,866,525.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76,345,633.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18,532,91</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4.84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18,374,486.2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9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0"/>
              <w:jc w:val="both"/>
              <w:rPr>
                <w:rFonts w:ascii="宋体" w:hAnsi="宋体" w:cs="宋体" w:eastAsia="宋体" w:hint="default"/>
                <w:sz w:val="18"/>
                <w:szCs w:val="18"/>
              </w:rPr>
            </w:pPr>
            <w:r>
              <w:rPr>
                <w:rFonts w:ascii="宋体" w:hAnsi="宋体" w:cs="宋体" w:eastAsia="宋体" w:hint="default"/>
                <w:sz w:val="18"/>
                <w:szCs w:val="18"/>
              </w:rPr>
              <w:t>成都摩宝 网络科技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现代服务 业</w:t>
            </w:r>
          </w:p>
        </w:tc>
        <w:tc>
          <w:tcPr>
            <w:tcW w:w="9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计算机领 域内的技 术开发与 服务</w:t>
            </w:r>
          </w:p>
        </w:tc>
        <w:tc>
          <w:tcPr>
            <w:tcW w:w="9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101,160,00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82,307,172.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65,056,991.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652,278.73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-21,313,8</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85.19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-17,439,753.6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360" w:lineRule="auto" w:before="51"/>
        <w:ind w:left="153" w:right="7071"/>
        <w:jc w:val="left"/>
      </w:pPr>
      <w:r>
        <w:rPr/>
        <w:t>主要子公司、参股公司情况说明 报告期内取得和处置子公司的情况</w:t>
      </w:r>
    </w:p>
    <w:p>
      <w:pPr>
        <w:pStyle w:val="BodyText"/>
        <w:spacing w:line="240" w:lineRule="auto" w:before="2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沈阳卫士通网络安全有限责 任公司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公司战略部署调整</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该子公司规模较小，对集团公 司生产和业绩的影响较小</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七、公司未来发展的展望</w:t>
      </w:r>
      <w:r>
        <w:rPr>
          <w:b w:val="0"/>
          <w:bCs w:val="0"/>
        </w:rPr>
      </w:r>
    </w:p>
    <w:p>
      <w:pPr>
        <w:pStyle w:val="BodyText"/>
        <w:spacing w:line="560" w:lineRule="atLeast" w:before="35"/>
        <w:ind w:left="469" w:right="2615" w:hanging="316"/>
        <w:jc w:val="left"/>
      </w:pPr>
      <w:r>
        <w:rPr>
          <w:rFonts w:ascii="Times New Roman" w:hAnsi="Times New Roman" w:cs="Times New Roman" w:eastAsia="Times New Roman" w:hint="default"/>
          <w:b/>
          <w:bCs/>
        </w:rPr>
        <w:t>1</w:t>
      </w:r>
      <w:r>
        <w:rPr>
          <w:rFonts w:ascii="宋体" w:hAnsi="宋体" w:cs="宋体" w:eastAsia="宋体" w:hint="default"/>
          <w:b/>
          <w:bCs/>
        </w:rPr>
        <w:t>、行业发展趋势</w:t>
      </w:r>
      <w:r>
        <w:rPr>
          <w:rFonts w:ascii="宋体" w:hAnsi="宋体" w:cs="宋体" w:eastAsia="宋体" w:hint="default"/>
          <w:b/>
          <w:bCs/>
          <w:w w:val="99"/>
        </w:rPr>
        <w:t> </w:t>
      </w:r>
      <w:r>
        <w:rPr/>
        <w:t>通过分析过去几年的市场状况，可以看出，我国信息安全市场具有下列几个主要特点：</w:t>
      </w:r>
    </w:p>
    <w:p>
      <w:pPr>
        <w:spacing w:before="76"/>
        <w:ind w:left="70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b/>
          <w:bCs/>
          <w:sz w:val="18"/>
          <w:szCs w:val="18"/>
        </w:rPr>
        <w:t>政策</w:t>
      </w:r>
      <w:r>
        <w:rPr>
          <w:rFonts w:ascii="宋体" w:hAnsi="宋体" w:cs="宋体" w:eastAsia="宋体" w:hint="default"/>
          <w:sz w:val="18"/>
          <w:szCs w:val="18"/>
        </w:rPr>
      </w:r>
    </w:p>
    <w:p>
      <w:pPr>
        <w:pStyle w:val="BodyText"/>
        <w:tabs>
          <w:tab w:pos="1353" w:val="left" w:leader="none"/>
        </w:tabs>
        <w:spacing w:line="300" w:lineRule="auto" w:before="76"/>
        <w:ind w:left="829" w:right="148" w:firstLine="164"/>
        <w:jc w:val="left"/>
      </w:pPr>
      <w:r>
        <w:rPr>
          <w:rFonts w:ascii="Times New Roman" w:hAnsi="Times New Roman" w:cs="Times New Roman" w:eastAsia="Times New Roman" w:hint="default"/>
        </w:rPr>
        <w:t>1)</w:t>
        <w:tab/>
      </w:r>
      <w:r>
        <w:rPr/>
        <w:t>政府会继续加大对信息安全产业的扶持力度 </w:t>
      </w:r>
      <w:r>
        <w:rPr>
          <w:spacing w:val="-1"/>
        </w:rPr>
        <w:t>党的十八大已将信息安全推到了国家安全的高度，十二五规划也将信息安全当作了非常重要的内容，信息安全保障</w:t>
      </w:r>
    </w:p>
    <w:p>
      <w:pPr>
        <w:pStyle w:val="BodyText"/>
        <w:spacing w:line="316" w:lineRule="auto" w:before="31"/>
        <w:ind w:left="514" w:right="0"/>
        <w:jc w:val="left"/>
      </w:pPr>
      <w:r>
        <w:rPr>
          <w:spacing w:val="-2"/>
        </w:rPr>
        <w:t>体系成为推进社会信息化的重要环节。面对复杂多变的国际形势，我国无论是从增强国家信息安全，还是支持国内信息</w:t>
      </w:r>
      <w:r>
        <w:rPr>
          <w:spacing w:val="-70"/>
        </w:rPr>
        <w:t> </w:t>
      </w:r>
      <w:r>
        <w:rPr>
          <w:spacing w:val="-70"/>
        </w:rPr>
      </w:r>
      <w:r>
        <w:rPr/>
        <w:t>产业发展新增长点考虑，都需要建立独立自主的信息安全产业。这也为我国信息安全产业提供了新的发展机遇。</w:t>
      </w:r>
    </w:p>
    <w:p>
      <w:pPr>
        <w:pStyle w:val="BodyText"/>
        <w:spacing w:line="240" w:lineRule="auto" w:before="19"/>
        <w:ind w:left="994" w:right="0"/>
        <w:jc w:val="left"/>
      </w:pPr>
      <w:r>
        <w:rPr/>
        <w:t>2)  全国人大通过了《关于加强网络信息保护的决定》</w:t>
      </w:r>
    </w:p>
    <w:p>
      <w:pPr>
        <w:spacing w:after="0" w:line="240" w:lineRule="auto"/>
        <w:jc w:val="left"/>
        <w:sectPr>
          <w:footerReference w:type="default" r:id="rId13"/>
          <w:pgSz w:w="11910" w:h="16840"/>
          <w:pgMar w:footer="982" w:header="747" w:top="1060" w:bottom="1180" w:left="980" w:right="980"/>
          <w:pgNumType w:start="17"/>
        </w:sectPr>
      </w:pPr>
    </w:p>
    <w:p>
      <w:pPr>
        <w:spacing w:line="240" w:lineRule="auto" w:before="12"/>
        <w:rPr>
          <w:rFonts w:ascii="宋体" w:hAnsi="宋体" w:cs="宋体" w:eastAsia="宋体" w:hint="default"/>
          <w:sz w:val="25"/>
          <w:szCs w:val="25"/>
        </w:rPr>
      </w:pPr>
    </w:p>
    <w:p>
      <w:pPr>
        <w:pStyle w:val="BodyText"/>
        <w:spacing w:line="304" w:lineRule="auto" w:before="44"/>
        <w:ind w:left="513" w:right="91" w:firstLine="36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日，全国人大常委会第三十次会议表决通过了《关于加强网络信息保护的决定》，文件明确将政府、企业、 个人信息数据上升到极其重要的法律保护位置，文件明确规定了</w:t>
      </w:r>
      <w:r>
        <w:rPr>
          <w:rFonts w:ascii="Times New Roman" w:hAnsi="Times New Roman" w:cs="Times New Roman" w:eastAsia="Times New Roman" w:hint="default"/>
        </w:rPr>
        <w:t>“</w:t>
      </w:r>
      <w:r>
        <w:rPr/>
        <w:t>网络服务提供者和其他企业事业单位应当采取技术措</w:t>
      </w:r>
      <w:r>
        <w:rPr>
          <w:spacing w:val="-77"/>
        </w:rPr>
        <w:t> </w:t>
      </w:r>
      <w:r>
        <w:rPr>
          <w:spacing w:val="-77"/>
        </w:rPr>
      </w:r>
      <w:r>
        <w:rPr/>
        <w:t>施和其他必要措施，确保信息安全</w:t>
      </w:r>
      <w:r>
        <w:rPr>
          <w:rFonts w:ascii="Times New Roman" w:hAnsi="Times New Roman" w:cs="Times New Roman" w:eastAsia="Times New Roman" w:hint="default"/>
        </w:rPr>
        <w:t>”</w:t>
      </w:r>
      <w:r>
        <w:rPr/>
        <w:t>，并对威胁信息安全保护的行为依据法律法规处理。信息安全保障的核心是国产软</w:t>
      </w:r>
      <w:r>
        <w:rPr>
          <w:spacing w:val="-77"/>
        </w:rPr>
        <w:t> </w:t>
      </w:r>
      <w:r>
        <w:rPr>
          <w:spacing w:val="-77"/>
        </w:rPr>
      </w:r>
      <w:r>
        <w:rPr>
          <w:spacing w:val="-2"/>
        </w:rPr>
        <w:t>硬件的本土化替代进口产品，国内软硬件水平已经具有能够支撑面向未来和新管理体制电子政务系统的能力，同时形成</w:t>
      </w:r>
      <w:r>
        <w:rPr>
          <w:spacing w:val="-68"/>
        </w:rPr>
        <w:t> </w:t>
      </w:r>
      <w:r>
        <w:rPr>
          <w:spacing w:val="-68"/>
        </w:rPr>
      </w:r>
      <w:r>
        <w:rPr/>
        <w:t>完整产业链，未来有望在</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末全面进行关键领域进口替代，空间巨大。</w:t>
      </w:r>
    </w:p>
    <w:p>
      <w:pPr>
        <w:pStyle w:val="BodyText"/>
        <w:spacing w:line="316" w:lineRule="auto" w:before="9"/>
        <w:ind w:left="874" w:right="182" w:firstLine="120"/>
        <w:jc w:val="left"/>
      </w:pPr>
      <w:r>
        <w:rPr/>
        <w:t>3) 十八大提出了推动信息化和工业化的深度融合 </w:t>
      </w:r>
      <w:r>
        <w:rPr>
          <w:spacing w:val="-1"/>
        </w:rPr>
        <w:t>党的十八大报告在论述</w:t>
      </w:r>
      <w:r>
        <w:rPr>
          <w:rFonts w:ascii="Times New Roman" w:hAnsi="Times New Roman" w:cs="Times New Roman" w:eastAsia="Times New Roman" w:hint="default"/>
          <w:spacing w:val="-1"/>
        </w:rPr>
        <w:t>“</w:t>
      </w:r>
      <w:r>
        <w:rPr>
          <w:spacing w:val="-1"/>
        </w:rPr>
        <w:t>四化</w:t>
      </w:r>
      <w:r>
        <w:rPr>
          <w:rFonts w:ascii="Times New Roman" w:hAnsi="Times New Roman" w:cs="Times New Roman" w:eastAsia="Times New Roman" w:hint="default"/>
          <w:spacing w:val="-1"/>
        </w:rPr>
        <w:t>”</w:t>
      </w:r>
      <w:r>
        <w:rPr>
          <w:spacing w:val="-1"/>
        </w:rPr>
        <w:t>同步发展时，首先提出要</w:t>
      </w:r>
      <w:r>
        <w:rPr>
          <w:rFonts w:ascii="Times New Roman" w:hAnsi="Times New Roman" w:cs="Times New Roman" w:eastAsia="Times New Roman" w:hint="default"/>
          <w:spacing w:val="-1"/>
        </w:rPr>
        <w:t>“</w:t>
      </w:r>
      <w:r>
        <w:rPr>
          <w:spacing w:val="-1"/>
        </w:rPr>
        <w:t>推动信息化和工业化深度融合</w:t>
      </w:r>
      <w:r>
        <w:rPr>
          <w:rFonts w:ascii="Times New Roman" w:hAnsi="Times New Roman" w:cs="Times New Roman" w:eastAsia="Times New Roman" w:hint="default"/>
          <w:spacing w:val="-1"/>
        </w:rPr>
        <w:t>”</w:t>
      </w:r>
      <w:r>
        <w:rPr>
          <w:spacing w:val="-1"/>
        </w:rPr>
        <w:t>。两化融合理念虽然早在党</w:t>
      </w:r>
    </w:p>
    <w:p>
      <w:pPr>
        <w:pStyle w:val="BodyText"/>
        <w:spacing w:line="314" w:lineRule="auto"/>
        <w:ind w:left="514" w:right="189"/>
        <w:jc w:val="both"/>
      </w:pPr>
      <w:r>
        <w:rPr>
          <w:spacing w:val="-2"/>
        </w:rPr>
        <w:t>的十七大报告中就已提出，并在十七届五中全会上进一步表述为两化深度融合，但在此次的十八大报告中，两化融合被</w:t>
      </w:r>
      <w:r>
        <w:rPr>
          <w:spacing w:val="-70"/>
        </w:rPr>
        <w:t> </w:t>
      </w:r>
      <w:r>
        <w:rPr>
          <w:spacing w:val="-70"/>
        </w:rPr>
      </w:r>
      <w:r>
        <w:rPr>
          <w:spacing w:val="-2"/>
        </w:rPr>
        <w:t>放在了工业化、信息化、农业现代化、城镇化同步发展这样一个有机体系中。因此，在未来几年国内会加快对传统产业</w:t>
      </w:r>
      <w:r>
        <w:rPr>
          <w:spacing w:val="-69"/>
        </w:rPr>
        <w:t> </w:t>
      </w:r>
      <w:r>
        <w:rPr>
          <w:spacing w:val="-69"/>
        </w:rPr>
      </w:r>
      <w:r>
        <w:rPr>
          <w:spacing w:val="-2"/>
        </w:rPr>
        <w:t>进行技术改造，用最新的信息技术改造传统产业，在新兴产业中实现工业技术与信息技术一体化。如国家电网响应国家</w:t>
      </w:r>
      <w:r>
        <w:rPr>
          <w:spacing w:val="-70"/>
        </w:rPr>
        <w:t> </w:t>
      </w:r>
      <w:r>
        <w:rPr>
          <w:spacing w:val="-70"/>
        </w:rPr>
      </w:r>
      <w:r>
        <w:rPr>
          <w:spacing w:val="-2"/>
        </w:rPr>
        <w:t>发改委的</w:t>
      </w:r>
      <w:r>
        <w:rPr>
          <w:rFonts w:ascii="Times New Roman" w:hAnsi="Times New Roman" w:cs="Times New Roman" w:eastAsia="Times New Roman" w:hint="default"/>
          <w:spacing w:val="-2"/>
        </w:rPr>
        <w:t>2012</w:t>
      </w:r>
      <w:r>
        <w:rPr>
          <w:spacing w:val="-2"/>
        </w:rPr>
        <w:t>年号召，正在推进下一代互联网在智能电网应用项目。根据规划，国家电网将把一些上层应用包含到智能</w:t>
      </w:r>
      <w:r>
        <w:rPr>
          <w:spacing w:val="-66"/>
        </w:rPr>
        <w:t> </w:t>
      </w:r>
      <w:r>
        <w:rPr>
          <w:spacing w:val="-66"/>
        </w:rPr>
      </w:r>
      <w:r>
        <w:rPr/>
        <w:t>电网的建设之中，提升输变电的监测应用，使之更接近于物联网。</w:t>
      </w:r>
    </w:p>
    <w:p>
      <w:pPr>
        <w:pStyle w:val="BodyText"/>
        <w:spacing w:line="316" w:lineRule="auto" w:before="20"/>
        <w:ind w:left="874" w:right="90" w:firstLine="120"/>
        <w:jc w:val="left"/>
      </w:pPr>
      <w:r>
        <w:rPr/>
        <w:t>4) 金融机构的国产密码算法升级改造 </w:t>
      </w:r>
      <w:r>
        <w:rPr>
          <w:spacing w:val="-2"/>
        </w:rPr>
        <w:t>去年，中国人民银行已完成</w:t>
      </w:r>
      <w:r>
        <w:rPr>
          <w:rFonts w:ascii="Times New Roman" w:hAnsi="Times New Roman" w:cs="Times New Roman" w:eastAsia="Times New Roman" w:hint="default"/>
          <w:spacing w:val="-2"/>
        </w:rPr>
        <w:t>PBOC3.0</w:t>
      </w:r>
      <w:r>
        <w:rPr>
          <w:spacing w:val="-2"/>
        </w:rPr>
        <w:t>标准的编制修订工作，央行明确提出国内各主要商业银行年度金融</w:t>
      </w:r>
      <w:r>
        <w:rPr>
          <w:rFonts w:ascii="Times New Roman" w:hAnsi="Times New Roman" w:cs="Times New Roman" w:eastAsia="Times New Roman" w:hint="default"/>
          <w:spacing w:val="-2"/>
        </w:rPr>
        <w:t>IC</w:t>
      </w:r>
      <w:r>
        <w:rPr>
          <w:spacing w:val="-2"/>
        </w:rPr>
        <w:t>卡发卡量</w:t>
      </w:r>
    </w:p>
    <w:p>
      <w:pPr>
        <w:pStyle w:val="BodyText"/>
        <w:spacing w:line="304" w:lineRule="auto"/>
        <w:ind w:left="514" w:right="90"/>
        <w:jc w:val="left"/>
      </w:pPr>
      <w:r>
        <w:rPr/>
        <w:t>要占新增发卡量的</w:t>
      </w:r>
      <w:r>
        <w:rPr>
          <w:rFonts w:ascii="Times New Roman" w:hAnsi="Times New Roman" w:cs="Times New Roman" w:eastAsia="Times New Roman" w:hint="default"/>
        </w:rPr>
        <w:t>15%</w:t>
      </w:r>
      <w:r>
        <w:rPr/>
        <w:t>。在刚编制完成的</w:t>
      </w:r>
      <w:r>
        <w:rPr>
          <w:rFonts w:ascii="Times New Roman" w:hAnsi="Times New Roman" w:cs="Times New Roman" w:eastAsia="Times New Roman" w:hint="default"/>
        </w:rPr>
        <w:t>PBOC3.0</w:t>
      </w:r>
      <w:r>
        <w:rPr/>
        <w:t>中，加入了芯片需采用国密算法、与行业应用相结合等要求。国内金 </w:t>
      </w:r>
      <w:r>
        <w:rPr>
          <w:spacing w:val="-2"/>
        </w:rPr>
        <w:t>融社保卡、医疗保健卡发放工作的已经相继展开，金融</w:t>
      </w:r>
      <w:r>
        <w:rPr>
          <w:rFonts w:ascii="Times New Roman" w:hAnsi="Times New Roman" w:cs="Times New Roman" w:eastAsia="Times New Roman" w:hint="default"/>
          <w:spacing w:val="-2"/>
        </w:rPr>
        <w:t>IC</w:t>
      </w:r>
      <w:r>
        <w:rPr>
          <w:spacing w:val="-2"/>
        </w:rPr>
        <w:t>卡与其它行业的融合应用也在以前所未有的速度加快。国家发</w:t>
      </w:r>
      <w:r>
        <w:rPr>
          <w:spacing w:val="-69"/>
        </w:rPr>
        <w:t> </w:t>
      </w:r>
      <w:r>
        <w:rPr>
          <w:spacing w:val="-69"/>
        </w:rPr>
      </w:r>
      <w:r>
        <w:rPr>
          <w:spacing w:val="-2"/>
        </w:rPr>
        <w:t>改委正在组织设立金融领域安全</w:t>
      </w:r>
      <w:r>
        <w:rPr>
          <w:rFonts w:ascii="Times New Roman" w:hAnsi="Times New Roman" w:cs="Times New Roman" w:eastAsia="Times New Roman" w:hint="default"/>
          <w:spacing w:val="-2"/>
        </w:rPr>
        <w:t>IC</w:t>
      </w:r>
      <w:r>
        <w:rPr>
          <w:spacing w:val="-2"/>
        </w:rPr>
        <w:t>卡和密码应用的专项。该专项将支持包括高性能双界面金融</w:t>
      </w:r>
      <w:r>
        <w:rPr>
          <w:rFonts w:ascii="Times New Roman" w:hAnsi="Times New Roman" w:cs="Times New Roman" w:eastAsia="Times New Roman" w:hint="default"/>
          <w:spacing w:val="-2"/>
        </w:rPr>
        <w:t>IC</w:t>
      </w:r>
      <w:r>
        <w:rPr>
          <w:spacing w:val="-2"/>
        </w:rPr>
        <w:t>卡芯片、金融数据密码</w:t>
      </w:r>
      <w:r>
        <w:rPr>
          <w:spacing w:val="-66"/>
        </w:rPr>
        <w:t> </w:t>
      </w:r>
      <w:r>
        <w:rPr>
          <w:spacing w:val="-66"/>
        </w:rPr>
      </w:r>
      <w:r>
        <w:rPr>
          <w:spacing w:val="-2"/>
        </w:rPr>
        <w:t>机、签名验签服务器、安全</w:t>
      </w:r>
      <w:r>
        <w:rPr>
          <w:rFonts w:ascii="Times New Roman" w:hAnsi="Times New Roman" w:cs="Times New Roman" w:eastAsia="Times New Roman" w:hint="default"/>
          <w:spacing w:val="-2"/>
        </w:rPr>
        <w:t>POS</w:t>
      </w:r>
      <w:r>
        <w:rPr>
          <w:spacing w:val="-2"/>
        </w:rPr>
        <w:t>机和</w:t>
      </w:r>
      <w:r>
        <w:rPr>
          <w:rFonts w:ascii="Times New Roman" w:hAnsi="Times New Roman" w:cs="Times New Roman" w:eastAsia="Times New Roman" w:hint="default"/>
          <w:spacing w:val="-2"/>
        </w:rPr>
        <w:t>ATM</w:t>
      </w:r>
      <w:r>
        <w:rPr>
          <w:spacing w:val="-2"/>
        </w:rPr>
        <w:t>机、高性能密码芯片、安全浏览器在内的</w:t>
      </w:r>
      <w:r>
        <w:rPr>
          <w:rFonts w:ascii="Times New Roman" w:hAnsi="Times New Roman" w:cs="Times New Roman" w:eastAsia="Times New Roman" w:hint="default"/>
          <w:spacing w:val="-2"/>
        </w:rPr>
        <w:t>6</w:t>
      </w:r>
      <w:r>
        <w:rPr>
          <w:spacing w:val="-2"/>
        </w:rPr>
        <w:t>大类国产</w:t>
      </w:r>
      <w:r>
        <w:rPr>
          <w:rFonts w:ascii="Times New Roman" w:hAnsi="Times New Roman" w:cs="Times New Roman" w:eastAsia="Times New Roman" w:hint="default"/>
          <w:spacing w:val="-2"/>
        </w:rPr>
        <w:t>IC</w:t>
      </w:r>
      <w:r>
        <w:rPr>
          <w:spacing w:val="-2"/>
        </w:rPr>
        <w:t>卡的产品。预计</w:t>
      </w:r>
      <w:r>
        <w:rPr>
          <w:rFonts w:ascii="Times New Roman" w:hAnsi="Times New Roman" w:cs="Times New Roman" w:eastAsia="Times New Roman" w:hint="default"/>
          <w:spacing w:val="-2"/>
        </w:rPr>
        <w:t>2013</w:t>
      </w:r>
      <w:r>
        <w:rPr>
          <w:spacing w:val="-2"/>
        </w:rPr>
        <w:t>年，</w:t>
      </w:r>
      <w:r>
        <w:rPr>
          <w:spacing w:val="-68"/>
        </w:rPr>
        <w:t> </w:t>
      </w:r>
      <w:r>
        <w:rPr>
          <w:spacing w:val="-2"/>
        </w:rPr>
        <w:t>国家发改委将会同工业和信息化部、央行和国家密码局对各个企业提出的产品进行公开测试，通过测试的产品将在试点</w:t>
      </w:r>
      <w:r>
        <w:rPr>
          <w:spacing w:val="-68"/>
        </w:rPr>
        <w:t> </w:t>
      </w:r>
      <w:r>
        <w:rPr>
          <w:spacing w:val="-68"/>
        </w:rPr>
      </w:r>
      <w:r>
        <w:rPr/>
        <w:t>和示范工程中大规模推广应用。</w:t>
      </w:r>
    </w:p>
    <w:p>
      <w:pPr>
        <w:pStyle w:val="BodyText"/>
        <w:spacing w:line="316" w:lineRule="auto" w:before="28"/>
        <w:ind w:left="424" w:right="180" w:firstLine="570"/>
        <w:jc w:val="left"/>
      </w:pPr>
      <w:r>
        <w:rPr/>
        <w:t>5) 信息安全相关的条例、资质认证更加细化 分级保护、等级保护政策的颁布，特别是分级保护先行强制执行带动了行业需求的显著增长。此外，新修订的《商用密</w:t>
      </w:r>
    </w:p>
    <w:p>
      <w:pPr>
        <w:pStyle w:val="BodyText"/>
        <w:spacing w:line="300" w:lineRule="auto" w:before="19"/>
        <w:ind w:right="90"/>
        <w:jc w:val="left"/>
      </w:pPr>
      <w:r>
        <w:rPr>
          <w:spacing w:val="-2"/>
        </w:rPr>
        <w:t>码管理条例》预计将在</w:t>
      </w:r>
      <w:r>
        <w:rPr>
          <w:rFonts w:ascii="Times New Roman" w:hAnsi="Times New Roman" w:cs="Times New Roman" w:eastAsia="Times New Roman" w:hint="default"/>
          <w:spacing w:val="-2"/>
        </w:rPr>
        <w:t>2012</w:t>
      </w:r>
      <w:r>
        <w:rPr>
          <w:spacing w:val="-2"/>
        </w:rPr>
        <w:t>年颁布，和</w:t>
      </w:r>
      <w:r>
        <w:rPr>
          <w:rFonts w:ascii="Times New Roman" w:hAnsi="Times New Roman" w:cs="Times New Roman" w:eastAsia="Times New Roman" w:hint="default"/>
          <w:spacing w:val="-2"/>
        </w:rPr>
        <w:t>1997</w:t>
      </w:r>
      <w:r>
        <w:rPr>
          <w:spacing w:val="-2"/>
        </w:rPr>
        <w:t>年颁发的老条例相比，新条例内容将会更加细化，针对密码产品和含有密码技术</w:t>
      </w:r>
      <w:r>
        <w:rPr>
          <w:spacing w:val="-58"/>
        </w:rPr>
        <w:t> </w:t>
      </w:r>
      <w:r>
        <w:rPr>
          <w:spacing w:val="-58"/>
        </w:rPr>
      </w:r>
      <w:r>
        <w:rPr/>
        <w:t>的产品进行了清晰的定义，并且分别提出了针对性的管理办法。</w:t>
      </w:r>
    </w:p>
    <w:p>
      <w:pPr>
        <w:pStyle w:val="BodyText"/>
        <w:spacing w:line="309" w:lineRule="auto" w:before="31"/>
        <w:ind w:right="90" w:firstLine="360"/>
        <w:jc w:val="left"/>
      </w:pPr>
      <w:r>
        <w:rPr>
          <w:spacing w:val="-4"/>
        </w:rPr>
        <w:t>在安全服务方面，除信息安全应急处理服务、信息安全服务（信息安全工程类、信息安全灾难恢复类、安全运营维护类）</w:t>
      </w:r>
      <w:r>
        <w:rPr/>
        <w:t> </w:t>
      </w:r>
      <w:r>
        <w:rPr>
          <w:spacing w:val="-2"/>
        </w:rPr>
        <w:t>等资质外，</w:t>
      </w:r>
      <w:r>
        <w:rPr>
          <w:rFonts w:ascii="Times New Roman" w:hAnsi="Times New Roman" w:cs="Times New Roman" w:eastAsia="Times New Roman" w:hint="default"/>
          <w:spacing w:val="-2"/>
        </w:rPr>
        <w:t>2010</w:t>
      </w:r>
      <w:r>
        <w:rPr>
          <w:spacing w:val="-2"/>
        </w:rPr>
        <w:t>年我国首次在信息安全风险评估领域开展的服务资质认证工作。信息安全风险评估服务资质认证证书的颁发</w:t>
      </w:r>
      <w:r>
        <w:rPr>
          <w:spacing w:val="-60"/>
        </w:rPr>
        <w:t> </w:t>
      </w:r>
      <w:r>
        <w:rPr>
          <w:spacing w:val="-60"/>
        </w:rPr>
      </w:r>
      <w:r>
        <w:rPr/>
        <w:t>表明，我国信息安全服务资质评价制度又取得了一项重要进展。</w:t>
      </w:r>
    </w:p>
    <w:p>
      <w:pPr>
        <w:spacing w:before="24"/>
        <w:ind w:left="703"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b/>
          <w:bCs/>
          <w:sz w:val="18"/>
          <w:szCs w:val="18"/>
        </w:rPr>
        <w:t>技术</w:t>
      </w:r>
      <w:r>
        <w:rPr>
          <w:rFonts w:ascii="宋体" w:hAnsi="宋体" w:cs="宋体" w:eastAsia="宋体" w:hint="default"/>
          <w:sz w:val="18"/>
          <w:szCs w:val="18"/>
        </w:rPr>
      </w:r>
    </w:p>
    <w:p>
      <w:pPr>
        <w:pStyle w:val="BodyText"/>
        <w:tabs>
          <w:tab w:pos="1293" w:val="left" w:leader="none"/>
        </w:tabs>
        <w:spacing w:line="316" w:lineRule="auto" w:before="76"/>
        <w:ind w:left="829" w:right="188" w:firstLine="44"/>
        <w:jc w:val="left"/>
      </w:pPr>
      <w:r>
        <w:rPr/>
        <w:t>1)</w:t>
        <w:tab/>
        <w:t>云计算：云安全逐步落地期待变化 </w:t>
      </w:r>
      <w:r>
        <w:rPr>
          <w:spacing w:val="-1"/>
        </w:rPr>
        <w:t>随着云计算、虚拟化的发展与成熟，云安全也从前两年的热点宣传逐步转向实际应用，用户向各种平台迁移的趋势</w:t>
      </w:r>
    </w:p>
    <w:p>
      <w:pPr>
        <w:pStyle w:val="BodyText"/>
        <w:spacing w:line="316" w:lineRule="auto" w:before="19"/>
        <w:ind w:left="514" w:right="188"/>
        <w:jc w:val="both"/>
      </w:pPr>
      <w:r>
        <w:rPr>
          <w:spacing w:val="-2"/>
        </w:rPr>
        <w:t>非常明显，云安全市场正在出现大幅增长。从云计算的长远发展来看，需要统一的行业标准与法规，从云安全标准角度</w:t>
      </w:r>
      <w:r>
        <w:rPr>
          <w:spacing w:val="-70"/>
        </w:rPr>
        <w:t> </w:t>
      </w:r>
      <w:r>
        <w:rPr>
          <w:spacing w:val="-70"/>
        </w:rPr>
      </w:r>
      <w:r>
        <w:rPr>
          <w:spacing w:val="-2"/>
        </w:rPr>
        <w:t>看，虽然云安全标准暂时没有出台，但是我们可以看到云安全联盟、云计算服务商、安全厂商，分别在提高云计算平台</w:t>
      </w:r>
      <w:r>
        <w:rPr>
          <w:spacing w:val="-70"/>
        </w:rPr>
        <w:t> </w:t>
      </w:r>
      <w:r>
        <w:rPr>
          <w:spacing w:val="-70"/>
        </w:rPr>
      </w:r>
      <w:r>
        <w:rPr>
          <w:spacing w:val="-2"/>
        </w:rPr>
        <w:t>的可靠性、可用性、数据的保密性，确保云计算得到健康有序的发展。国内外安全厂商在身份认证、虚拟化保护、数据</w:t>
      </w:r>
      <w:r>
        <w:rPr>
          <w:spacing w:val="-72"/>
        </w:rPr>
        <w:t> </w:t>
      </w:r>
      <w:r>
        <w:rPr>
          <w:spacing w:val="-72"/>
        </w:rPr>
      </w:r>
      <w:r>
        <w:rPr/>
        <w:t>库安全、业务安全等方面投入大量资源，为公有云、私有云以及混合云数据中心提供完善的解决方案。</w:t>
      </w:r>
    </w:p>
    <w:p>
      <w:pPr>
        <w:pStyle w:val="BodyText"/>
        <w:tabs>
          <w:tab w:pos="1293" w:val="left" w:leader="none"/>
        </w:tabs>
        <w:spacing w:line="316" w:lineRule="auto" w:before="19"/>
        <w:ind w:left="874" w:right="191"/>
        <w:jc w:val="left"/>
      </w:pPr>
      <w:r>
        <w:rPr/>
        <w:t>2)</w:t>
        <w:tab/>
        <w:t>中国将加快部署下一代互联网， IPv6实现商用 </w:t>
      </w:r>
      <w:r>
        <w:rPr>
          <w:spacing w:val="-2"/>
        </w:rPr>
        <w:t>去年下半年发布的《国务院关于大力推进信息化发展和切实保障信息安全的若干意见》显示，我国将加快部署下一</w:t>
      </w:r>
    </w:p>
    <w:p>
      <w:pPr>
        <w:pStyle w:val="BodyText"/>
        <w:spacing w:line="300" w:lineRule="auto" w:before="19"/>
        <w:ind w:left="514" w:right="191"/>
        <w:jc w:val="both"/>
      </w:pPr>
      <w:r>
        <w:rPr>
          <w:spacing w:val="-1"/>
        </w:rPr>
        <w:t>代互联网并开展</w:t>
      </w:r>
      <w:r>
        <w:rPr>
          <w:rFonts w:ascii="Times New Roman" w:hAnsi="Times New Roman" w:cs="Times New Roman" w:eastAsia="Times New Roman" w:hint="default"/>
          <w:spacing w:val="-1"/>
        </w:rPr>
        <w:t>IPv6</w:t>
      </w:r>
      <w:r>
        <w:rPr>
          <w:spacing w:val="-1"/>
        </w:rPr>
        <w:t>商用试点，到</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末，</w:t>
      </w:r>
      <w:r>
        <w:rPr>
          <w:rFonts w:ascii="Times New Roman" w:hAnsi="Times New Roman" w:cs="Times New Roman" w:eastAsia="Times New Roman" w:hint="default"/>
          <w:spacing w:val="-1"/>
        </w:rPr>
        <w:t>IPv6</w:t>
      </w:r>
      <w:r>
        <w:rPr>
          <w:spacing w:val="-1"/>
        </w:rPr>
        <w:t>实现规模商用。未来几年，国家将推进下一代互联网规模商用和前</w:t>
      </w:r>
      <w:r>
        <w:rPr>
          <w:spacing w:val="-65"/>
        </w:rPr>
        <w:t> </w:t>
      </w:r>
      <w:r>
        <w:rPr>
          <w:spacing w:val="-65"/>
        </w:rPr>
      </w:r>
      <w:r>
        <w:rPr>
          <w:spacing w:val="-1"/>
        </w:rPr>
        <w:t>沿性布局，适时推动</w:t>
      </w:r>
      <w:r>
        <w:rPr>
          <w:rFonts w:ascii="Times New Roman" w:hAnsi="Times New Roman" w:cs="Times New Roman" w:eastAsia="Times New Roman" w:hint="default"/>
          <w:spacing w:val="-1"/>
        </w:rPr>
        <w:t>IPv6</w:t>
      </w:r>
      <w:r>
        <w:rPr>
          <w:spacing w:val="-1"/>
        </w:rPr>
        <w:t>大规模部署和商用，推进</w:t>
      </w:r>
      <w:r>
        <w:rPr>
          <w:rFonts w:ascii="Times New Roman" w:hAnsi="Times New Roman" w:cs="Times New Roman" w:eastAsia="Times New Roman" w:hint="default"/>
          <w:spacing w:val="-1"/>
        </w:rPr>
        <w:t>IPv4</w:t>
      </w:r>
      <w:r>
        <w:rPr>
          <w:spacing w:val="-1"/>
        </w:rPr>
        <w:t>向</w:t>
      </w:r>
      <w:r>
        <w:rPr>
          <w:rFonts w:ascii="Times New Roman" w:hAnsi="Times New Roman" w:cs="Times New Roman" w:eastAsia="Times New Roman" w:hint="default"/>
          <w:spacing w:val="-1"/>
        </w:rPr>
        <w:t>IPv6</w:t>
      </w:r>
      <w:r>
        <w:rPr>
          <w:spacing w:val="-1"/>
        </w:rPr>
        <w:t>的网络演进、业务迁移与商业运营。完善互联网国家顶层</w:t>
      </w:r>
      <w:r>
        <w:rPr>
          <w:spacing w:val="-65"/>
        </w:rPr>
        <w:t> </w:t>
      </w:r>
      <w:r>
        <w:rPr>
          <w:spacing w:val="-65"/>
        </w:rPr>
      </w:r>
      <w:r>
        <w:rPr/>
        <w:t>网络架构，升级骨干网络，实现高速度高质量互联互通。</w:t>
      </w:r>
    </w:p>
    <w:p>
      <w:pPr>
        <w:pStyle w:val="BodyText"/>
        <w:tabs>
          <w:tab w:pos="1293" w:val="left" w:leader="none"/>
        </w:tabs>
        <w:spacing w:line="316" w:lineRule="auto" w:before="31"/>
        <w:ind w:left="829" w:right="188" w:firstLine="44"/>
        <w:jc w:val="left"/>
      </w:pPr>
      <w:r>
        <w:rPr/>
        <w:t>3)</w:t>
        <w:tab/>
        <w:t>移动化：面临 BYOD 热潮的安全挑战 </w:t>
      </w:r>
      <w:r>
        <w:rPr>
          <w:spacing w:val="-1"/>
        </w:rPr>
        <w:t>移动互联网的快速发展以及智能终端设备的普及，使得移动互联网的安全挑战日益突出。企业员工将自己的移动终</w:t>
      </w:r>
    </w:p>
    <w:p>
      <w:pPr>
        <w:pStyle w:val="BodyText"/>
        <w:spacing w:line="300" w:lineRule="auto" w:before="19"/>
        <w:ind w:left="514" w:right="188"/>
        <w:jc w:val="both"/>
      </w:pPr>
      <w:r>
        <w:rPr/>
        <w:t>端接入到公司网络用于日常工作的行为已经很常见，如何针对 </w:t>
      </w:r>
      <w:r>
        <w:rPr>
          <w:rFonts w:ascii="Times New Roman" w:hAnsi="Times New Roman" w:cs="Times New Roman" w:eastAsia="Times New Roman" w:hint="default"/>
        </w:rPr>
        <w:t>BYOD</w:t>
      </w:r>
      <w:r>
        <w:rPr>
          <w:rFonts w:ascii="Times New Roman" w:hAnsi="Times New Roman" w:cs="Times New Roman" w:eastAsia="Times New Roman" w:hint="default"/>
          <w:spacing w:val="-10"/>
        </w:rPr>
        <w:t> </w:t>
      </w:r>
      <w:r>
        <w:rPr/>
        <w:t>制定安全策略实现企业网络的机密性和完整性的 需求将更加迫切。当前很多企业都将苹果的 </w:t>
      </w:r>
      <w:r>
        <w:rPr>
          <w:rFonts w:ascii="Times New Roman" w:hAnsi="Times New Roman" w:cs="Times New Roman" w:eastAsia="Times New Roman" w:hint="default"/>
        </w:rPr>
        <w:t>iOS </w:t>
      </w:r>
      <w:r>
        <w:rPr/>
        <w:t>和 </w:t>
      </w:r>
      <w:r>
        <w:rPr>
          <w:rFonts w:ascii="Times New Roman" w:hAnsi="Times New Roman" w:cs="Times New Roman" w:eastAsia="Times New Roman" w:hint="default"/>
        </w:rPr>
        <w:t>Andriod </w:t>
      </w:r>
      <w:r>
        <w:rPr/>
        <w:t>作为其主要的移动设备平台，随着 </w:t>
      </w:r>
      <w:r>
        <w:rPr>
          <w:rFonts w:ascii="Times New Roman" w:hAnsi="Times New Roman" w:cs="Times New Roman" w:eastAsia="Times New Roman" w:hint="default"/>
        </w:rPr>
        <w:t>Windows 8</w:t>
      </w:r>
      <w:r>
        <w:rPr>
          <w:rFonts w:ascii="Times New Roman" w:hAnsi="Times New Roman" w:cs="Times New Roman" w:eastAsia="Times New Roman" w:hint="default"/>
          <w:spacing w:val="-22"/>
        </w:rPr>
        <w:t> </w:t>
      </w:r>
      <w:r>
        <w:rPr>
          <w:spacing w:val="-4"/>
        </w:rPr>
        <w:t>的发布，企</w:t>
      </w:r>
      <w:r>
        <w:rPr/>
        <w:t> 业必然将会采用移动设备管理（</w:t>
      </w:r>
      <w:r>
        <w:rPr>
          <w:rFonts w:ascii="Times New Roman" w:hAnsi="Times New Roman" w:cs="Times New Roman" w:eastAsia="Times New Roman" w:hint="default"/>
        </w:rPr>
        <w:t>MDM</w:t>
      </w:r>
      <w:r>
        <w:rPr/>
        <w:t>）解决方案来应对智能手机和平板电脑所产生的安全问题。国内相关安全厂商纷</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tabs>
          <w:tab w:pos="1293" w:val="left" w:leader="none"/>
        </w:tabs>
        <w:spacing w:line="300" w:lineRule="auto" w:before="44"/>
        <w:ind w:left="873" w:right="5094" w:hanging="360"/>
        <w:jc w:val="left"/>
      </w:pPr>
      <w:r>
        <w:rPr/>
        <w:t>纷推出或完善企业级 </w:t>
      </w:r>
      <w:r>
        <w:rPr>
          <w:rFonts w:ascii="Times New Roman" w:hAnsi="Times New Roman" w:cs="Times New Roman" w:eastAsia="Times New Roman" w:hint="default"/>
        </w:rPr>
        <w:t>MDM</w:t>
      </w:r>
      <w:r>
        <w:rPr>
          <w:rFonts w:ascii="Times New Roman" w:hAnsi="Times New Roman" w:cs="Times New Roman" w:eastAsia="Times New Roman" w:hint="default"/>
          <w:spacing w:val="7"/>
        </w:rPr>
        <w:t> </w:t>
      </w:r>
      <w:r>
        <w:rPr/>
        <w:t>解决方案以应对这一趋势。 4)</w:t>
        <w:tab/>
        <w:t>大数据：与安全技术地融合将成为必定趋势</w:t>
      </w:r>
    </w:p>
    <w:p>
      <w:pPr>
        <w:pStyle w:val="BodyText"/>
        <w:spacing w:line="312" w:lineRule="auto" w:before="31"/>
        <w:ind w:left="153" w:right="91" w:firstLine="315"/>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年已经进入大数据时代，大数据将会创造一个新的经济领域，该领域的全部任务就是将信息或数据转化为经济收 入。大数据分析将带来网络安全防护技术的变革，大数据分析与安全技术地融合将成为必定趋势，基于传统安全的防病毒、 </w:t>
      </w:r>
      <w:r>
        <w:rPr>
          <w:spacing w:val="-2"/>
        </w:rPr>
        <w:t>防火墙和入侵防御系统的技术将加快向以大数据分析监控为基础的安全技术改变。这一趋势将对于我国信息安全技术和产品</w:t>
      </w:r>
      <w:r>
        <w:rPr>
          <w:spacing w:val="-64"/>
        </w:rPr>
        <w:t> </w:t>
      </w:r>
      <w:r>
        <w:rPr>
          <w:spacing w:val="-64"/>
        </w:rPr>
      </w:r>
      <w:r>
        <w:rPr/>
        <w:t>研发、网络安全防御体系建设产生影响。</w:t>
      </w:r>
    </w:p>
    <w:p>
      <w:pPr>
        <w:spacing w:before="22"/>
        <w:ind w:left="703"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b/>
          <w:bCs/>
          <w:sz w:val="18"/>
          <w:szCs w:val="18"/>
        </w:rPr>
        <w:t>市场</w:t>
      </w:r>
      <w:r>
        <w:rPr>
          <w:rFonts w:ascii="宋体" w:hAnsi="宋体" w:cs="宋体" w:eastAsia="宋体" w:hint="default"/>
          <w:sz w:val="18"/>
          <w:szCs w:val="18"/>
        </w:rPr>
      </w:r>
    </w:p>
    <w:p>
      <w:pPr>
        <w:pStyle w:val="BodyText"/>
        <w:tabs>
          <w:tab w:pos="1353" w:val="left" w:leader="none"/>
        </w:tabs>
        <w:spacing w:line="240" w:lineRule="auto" w:before="76"/>
        <w:ind w:left="993" w:right="90"/>
        <w:jc w:val="left"/>
      </w:pPr>
      <w:r>
        <w:rPr>
          <w:rFonts w:ascii="Times New Roman" w:hAnsi="Times New Roman" w:cs="Times New Roman" w:eastAsia="Times New Roman" w:hint="default"/>
        </w:rPr>
        <w:t>1)</w:t>
        <w:tab/>
      </w:r>
      <w:r>
        <w:rPr/>
        <w:t>新的商业模式面临挑战</w:t>
      </w:r>
    </w:p>
    <w:p>
      <w:pPr>
        <w:pStyle w:val="BodyText"/>
        <w:spacing w:line="309" w:lineRule="auto" w:before="63"/>
        <w:ind w:left="513" w:right="190" w:firstLine="315"/>
        <w:jc w:val="both"/>
      </w:pPr>
      <w:r>
        <w:rPr/>
        <w:t>一直以来</w:t>
      </w:r>
      <w:r>
        <w:rPr>
          <w:rFonts w:ascii="Times New Roman" w:hAnsi="Times New Roman" w:cs="Times New Roman" w:eastAsia="Times New Roman" w:hint="default"/>
        </w:rPr>
        <w:t>IT</w:t>
      </w:r>
      <w:r>
        <w:rPr>
          <w:rFonts w:ascii="Times New Roman" w:hAnsi="Times New Roman" w:cs="Times New Roman" w:eastAsia="Times New Roman" w:hint="default"/>
          <w:spacing w:val="31"/>
        </w:rPr>
        <w:t> </w:t>
      </w:r>
      <w:r>
        <w:rPr/>
        <w:t>安全行业的商业模式相对比较简单，产品研发、市场推广、渠道推广、行业拓展等都是沿用传统的模 </w:t>
      </w:r>
      <w:r>
        <w:rPr>
          <w:spacing w:val="-2"/>
        </w:rPr>
        <w:t>式发展，依靠安全产品或者方案销售获取企业利润。新的商业模式是指能够对各个行业的发展带来重大影响的新技术应</w:t>
      </w:r>
      <w:r>
        <w:rPr>
          <w:spacing w:val="-68"/>
        </w:rPr>
        <w:t> </w:t>
      </w:r>
      <w:r>
        <w:rPr>
          <w:spacing w:val="-68"/>
        </w:rPr>
      </w:r>
      <w:r>
        <w:rPr/>
        <w:t>用，当前看来只有云计算符合这样的标准。</w:t>
      </w:r>
    </w:p>
    <w:p>
      <w:pPr>
        <w:pStyle w:val="BodyText"/>
        <w:spacing w:line="316" w:lineRule="auto" w:before="24"/>
        <w:ind w:left="513" w:right="188" w:firstLine="315"/>
        <w:jc w:val="both"/>
      </w:pPr>
      <w:r>
        <w:rPr>
          <w:spacing w:val="-1"/>
        </w:rPr>
        <w:t>新技术的革新与用户需求的转变，必将带来新一轮竞争格局的改变，为了应对这种改变，安全厂商要时刻关注云计</w:t>
      </w:r>
      <w:r>
        <w:rPr/>
        <w:t> </w:t>
      </w:r>
      <w:r>
        <w:rPr>
          <w:spacing w:val="-2"/>
        </w:rPr>
        <w:t>算、物联网、虚拟化、移动互联网、社交网络化等新技术应用。信息安全产品从形态上将从软硬件向服务运营过度，这</w:t>
      </w:r>
      <w:r>
        <w:rPr>
          <w:spacing w:val="-71"/>
        </w:rPr>
        <w:t> </w:t>
      </w:r>
      <w:r>
        <w:rPr>
          <w:spacing w:val="-71"/>
        </w:rPr>
      </w:r>
      <w:r>
        <w:rPr>
          <w:spacing w:val="-2"/>
        </w:rPr>
        <w:t>里的服务是指建立在大规模智能安全系统基础上的一种全新的安全交付方式，包括感知预警、深度分析、安全策略升级</w:t>
      </w:r>
      <w:r>
        <w:rPr>
          <w:spacing w:val="-70"/>
        </w:rPr>
        <w:t> </w:t>
      </w:r>
      <w:r>
        <w:rPr>
          <w:spacing w:val="-70"/>
        </w:rPr>
      </w:r>
      <w:r>
        <w:rPr/>
        <w:t>以及事件自动响应等。</w:t>
      </w:r>
    </w:p>
    <w:p>
      <w:pPr>
        <w:pStyle w:val="BodyText"/>
        <w:spacing w:line="316" w:lineRule="auto" w:before="19"/>
        <w:ind w:left="873" w:right="90" w:firstLine="120"/>
        <w:jc w:val="left"/>
      </w:pPr>
      <w:r>
        <w:rPr/>
        <w:t>2) 政府主导信息安全产业发展方向 </w:t>
      </w:r>
      <w:r>
        <w:rPr>
          <w:spacing w:val="-2"/>
        </w:rPr>
        <w:t>近年来，信息安全在电子政务内网、外网、行业和企业信息化、电子商务、互联网应用等领域得到了广泛应用。面</w:t>
      </w:r>
    </w:p>
    <w:p>
      <w:pPr>
        <w:pStyle w:val="BodyText"/>
        <w:spacing w:line="316" w:lineRule="auto" w:before="19"/>
        <w:ind w:left="513" w:right="90"/>
        <w:jc w:val="left"/>
      </w:pPr>
      <w:r>
        <w:rPr>
          <w:spacing w:val="-2"/>
        </w:rPr>
        <w:t>对日趋复杂的网络环境，为了适应形势下的新变化、新要求，中国政府从国家安全、信息安全、文化安全的高度来应对</w:t>
      </w:r>
      <w:r>
        <w:rPr>
          <w:spacing w:val="-70"/>
        </w:rPr>
        <w:t> </w:t>
      </w:r>
      <w:r>
        <w:rPr>
          <w:spacing w:val="-70"/>
        </w:rPr>
      </w:r>
      <w:r>
        <w:rPr>
          <w:spacing w:val="-4"/>
        </w:rPr>
        <w:t>网络安全的挑战，增强了网络安全意识，推动了信息畅通的同时又维护了网络安全，提高了网络媒体的影响力、公信力，</w:t>
      </w:r>
      <w:r>
        <w:rPr>
          <w:spacing w:val="-54"/>
        </w:rPr>
        <w:t> </w:t>
      </w:r>
      <w:r>
        <w:rPr>
          <w:spacing w:val="-54"/>
        </w:rPr>
      </w:r>
      <w:r>
        <w:rPr/>
        <w:t>构建健康文明、安全有序的网络环境，走出了一条有中国特色的互联网发展之路。</w:t>
      </w:r>
    </w:p>
    <w:p>
      <w:pPr>
        <w:pStyle w:val="BodyText"/>
        <w:spacing w:line="369" w:lineRule="auto" w:before="19"/>
        <w:ind w:left="783" w:right="181" w:firstLine="210"/>
        <w:jc w:val="left"/>
      </w:pPr>
      <w:r>
        <w:rPr/>
        <w:t>3) 行业经营还是以直销模式为主 目前我国信息安全产品市场集中在政府、金融、电信等行业和大型企业，这些用户通常采用招投标的方式进行信息</w:t>
      </w:r>
    </w:p>
    <w:p>
      <w:pPr>
        <w:pStyle w:val="BodyText"/>
        <w:spacing w:line="215" w:lineRule="exact"/>
        <w:ind w:left="513" w:right="0"/>
        <w:jc w:val="left"/>
      </w:pPr>
      <w:r>
        <w:rPr/>
        <w:t>安全工程与服务的集中采购。另外，由于行业资质、技术能力限制和产品服务支持的需要，除了一些与信息安全产品配</w:t>
      </w:r>
    </w:p>
    <w:p>
      <w:pPr>
        <w:pStyle w:val="BodyText"/>
        <w:spacing w:line="316" w:lineRule="auto" w:before="76"/>
        <w:ind w:left="993" w:right="1891" w:hanging="480"/>
        <w:jc w:val="left"/>
      </w:pPr>
      <w:r>
        <w:rPr/>
        <w:t>套的安全产品外，信息安全厂商一般直接面对用户，产品直销的比例往往大于渠道销售的比例。 4)  行业周期性、季节性明显</w:t>
      </w:r>
    </w:p>
    <w:p>
      <w:pPr>
        <w:pStyle w:val="BodyText"/>
        <w:spacing w:line="309" w:lineRule="auto" w:before="69"/>
        <w:ind w:left="513" w:right="188" w:firstLine="270"/>
        <w:jc w:val="both"/>
      </w:pPr>
      <w:r>
        <w:rPr/>
        <w:t>信息安全行业周期性尚不明显。信息安全行业现阶段具有一定的季节性特征。根据赛迪顾问研究数据，中国信息安 </w:t>
      </w:r>
      <w:r>
        <w:rPr>
          <w:spacing w:val="-1"/>
        </w:rPr>
        <w:t>全产品市场下半年销售规模的比例占全年的</w:t>
      </w:r>
      <w:r>
        <w:rPr>
          <w:rFonts w:ascii="Times New Roman" w:hAnsi="Times New Roman" w:cs="Times New Roman" w:eastAsia="Times New Roman" w:hint="default"/>
          <w:spacing w:val="-1"/>
        </w:rPr>
        <w:t>60%</w:t>
      </w:r>
      <w:r>
        <w:rPr>
          <w:spacing w:val="-1"/>
        </w:rPr>
        <w:t>以上。特别是金融机构、政府部门等用户的采购通常集中在下半年，因</w:t>
      </w:r>
      <w:r>
        <w:rPr/>
        <w:t> 此第三、四季度是信息安全产品的需求旺季。对一般的信息安全企业而言，下半年收入可占全年收入的近</w:t>
      </w:r>
      <w:r>
        <w:rPr>
          <w:rFonts w:ascii="Times New Roman" w:hAnsi="Times New Roman" w:cs="Times New Roman" w:eastAsia="Times New Roman" w:hint="default"/>
        </w:rPr>
        <w:t>70%</w:t>
      </w:r>
      <w:r>
        <w:rPr/>
        <w:t>。</w:t>
      </w:r>
    </w:p>
    <w:p>
      <w:pPr>
        <w:pStyle w:val="BodyText"/>
        <w:spacing w:line="316" w:lineRule="auto" w:before="5"/>
        <w:ind w:left="578" w:right="206" w:firstLine="415"/>
        <w:jc w:val="left"/>
      </w:pPr>
      <w:r>
        <w:rPr/>
        <w:t>5) 行业区域性发展不平衡 由于信息安全行业的发展受信息化程度的影响较大，我国信息安全行业发展呈现不均衡状态。华东、华北、华南、东</w:t>
      </w:r>
    </w:p>
    <w:p>
      <w:pPr>
        <w:pStyle w:val="BodyText"/>
        <w:spacing w:line="316" w:lineRule="auto" w:before="19"/>
        <w:ind w:left="153" w:right="90"/>
        <w:jc w:val="left"/>
      </w:pPr>
      <w:r>
        <w:rPr>
          <w:spacing w:val="-2"/>
        </w:rPr>
        <w:t>北等地区的信息安全市场发展相对领先。西部等经济欠发达地区的信息安全市场尚处于培育阶段。预计未来几年，各区域市</w:t>
      </w:r>
      <w:r>
        <w:rPr>
          <w:spacing w:val="-66"/>
        </w:rPr>
        <w:t> </w:t>
      </w:r>
      <w:r>
        <w:rPr>
          <w:spacing w:val="-66"/>
        </w:rPr>
      </w:r>
      <w:r>
        <w:rPr/>
        <w:t>场发展将日趋平稳。</w:t>
      </w:r>
    </w:p>
    <w:p>
      <w:pPr>
        <w:spacing w:line="240" w:lineRule="auto" w:before="4"/>
        <w:rPr>
          <w:rFonts w:ascii="宋体" w:hAnsi="宋体" w:cs="宋体" w:eastAsia="宋体" w:hint="default"/>
          <w:sz w:val="21"/>
          <w:szCs w:val="21"/>
        </w:rPr>
      </w:pPr>
    </w:p>
    <w:p>
      <w:pPr>
        <w:pStyle w:val="Heading5"/>
        <w:spacing w:line="240" w:lineRule="auto"/>
        <w:ind w:right="90"/>
        <w:jc w:val="left"/>
        <w:rPr>
          <w:b w:val="0"/>
          <w:bCs w:val="0"/>
        </w:rPr>
      </w:pPr>
      <w:r>
        <w:rPr>
          <w:rFonts w:ascii="Times New Roman" w:hAnsi="Times New Roman" w:cs="Times New Roman" w:eastAsia="Times New Roman" w:hint="default"/>
        </w:rPr>
        <w:t>2</w:t>
      </w:r>
      <w:r>
        <w:rPr/>
        <w:t>、公司所处市场格局及面临的机遇与挑战</w:t>
      </w:r>
      <w:r>
        <w:rPr>
          <w:b w:val="0"/>
          <w:bCs w:val="0"/>
        </w:rPr>
      </w:r>
    </w:p>
    <w:p>
      <w:pPr>
        <w:spacing w:line="240" w:lineRule="auto" w:before="9"/>
        <w:rPr>
          <w:rFonts w:ascii="宋体" w:hAnsi="宋体" w:cs="宋体" w:eastAsia="宋体" w:hint="default"/>
          <w:b/>
          <w:bCs/>
          <w:sz w:val="24"/>
          <w:szCs w:val="24"/>
        </w:rPr>
      </w:pPr>
    </w:p>
    <w:p>
      <w:pPr>
        <w:pStyle w:val="BodyText"/>
        <w:tabs>
          <w:tab w:pos="1353" w:val="left" w:leader="none"/>
        </w:tabs>
        <w:spacing w:line="240" w:lineRule="auto"/>
        <w:ind w:left="993" w:right="90"/>
        <w:jc w:val="left"/>
      </w:pPr>
      <w:r>
        <w:rPr>
          <w:rFonts w:ascii="Times New Roman" w:hAnsi="Times New Roman" w:cs="Times New Roman" w:eastAsia="Times New Roman" w:hint="default"/>
        </w:rPr>
        <w:t>1)</w:t>
        <w:tab/>
      </w:r>
      <w:r>
        <w:rPr/>
        <w:t>公司所处的市场格局</w:t>
      </w:r>
    </w:p>
    <w:p>
      <w:pPr>
        <w:pStyle w:val="BodyText"/>
        <w:spacing w:line="300" w:lineRule="auto" w:before="63"/>
        <w:ind w:left="513" w:right="154" w:firstLine="360"/>
        <w:jc w:val="both"/>
      </w:pPr>
      <w:r>
        <w:rPr/>
        <w:t>从产品与技术来看，近几年中国 </w:t>
      </w:r>
      <w:r>
        <w:rPr>
          <w:rFonts w:ascii="Times New Roman" w:hAnsi="Times New Roman" w:cs="Times New Roman" w:eastAsia="Times New Roman" w:hint="default"/>
        </w:rPr>
        <w:t>IT </w:t>
      </w:r>
      <w:r>
        <w:rPr/>
        <w:t>安全市场的规模一直处于高速发展的势态，在整体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安全市场中，安全硬件 市场的占比最大，其次是安全服务和安全软件市场。从各个子市场看，</w:t>
      </w:r>
      <w:r>
        <w:rPr>
          <w:rFonts w:ascii="Times New Roman" w:hAnsi="Times New Roman" w:cs="Times New Roman" w:eastAsia="Times New Roman" w:hint="default"/>
        </w:rPr>
        <w:t>2012</w:t>
      </w:r>
      <w:r>
        <w:rPr>
          <w:rFonts w:ascii="Times New Roman" w:hAnsi="Times New Roman" w:cs="Times New Roman" w:eastAsia="Times New Roman" w:hint="default"/>
          <w:spacing w:val="39"/>
        </w:rPr>
        <w:t> </w:t>
      </w:r>
      <w:r>
        <w:rPr/>
        <w:t>年安全内容与威胁管理软件市场在消费级</w:t>
      </w:r>
      <w:r>
        <w:rPr>
          <w:spacing w:val="-83"/>
        </w:rPr>
        <w:t> </w:t>
      </w:r>
      <w:r>
        <w:rPr>
          <w:spacing w:val="-83"/>
        </w:rPr>
      </w:r>
      <w:r>
        <w:rPr/>
        <w:t>领域依然受到安全免费互联网模式的冲击，但冲击与影响将逐步降低；而企业级市场 </w:t>
      </w:r>
      <w:r>
        <w:rPr>
          <w:rFonts w:ascii="Times New Roman" w:hAnsi="Times New Roman" w:cs="Times New Roman" w:eastAsia="Times New Roman" w:hint="default"/>
        </w:rPr>
        <w:t>IT</w:t>
      </w:r>
      <w:r>
        <w:rPr>
          <w:rFonts w:ascii="Times New Roman" w:hAnsi="Times New Roman" w:cs="Times New Roman" w:eastAsia="Times New Roman" w:hint="default"/>
          <w:spacing w:val="-20"/>
        </w:rPr>
        <w:t> </w:t>
      </w:r>
      <w:r>
        <w:rPr/>
        <w:t>安全内容与威胁管理软件市场 的需求持续强劲。国内的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安全硬件市场的规模在</w:t>
      </w:r>
      <w:r>
        <w:rPr>
          <w:rFonts w:ascii="Times New Roman" w:hAnsi="Times New Roman" w:cs="Times New Roman" w:eastAsia="Times New Roman" w:hint="default"/>
        </w:rPr>
        <w:t>2012</w:t>
      </w:r>
      <w:r>
        <w:rPr/>
        <w:t>年也保持了一定增长。其中商用密码产品（硬件加密设备）、 网络安全类产品（如防火墙</w:t>
      </w:r>
      <w:r>
        <w:rPr>
          <w:rFonts w:ascii="Times New Roman" w:hAnsi="Times New Roman" w:cs="Times New Roman" w:eastAsia="Times New Roman" w:hint="default"/>
        </w:rPr>
        <w:t>/VPN </w:t>
      </w:r>
      <w:r>
        <w:rPr/>
        <w:t>、统一威胁管理硬件市场、入侵防御硬件等）这些占据了大部分整体 </w:t>
      </w:r>
      <w:r>
        <w:rPr>
          <w:rFonts w:ascii="Times New Roman" w:hAnsi="Times New Roman" w:cs="Times New Roman" w:eastAsia="Times New Roman" w:hint="default"/>
        </w:rPr>
        <w:t>IT </w:t>
      </w:r>
      <w:r>
        <w:rPr/>
        <w:t>安全硬件市</w:t>
      </w:r>
      <w:r>
        <w:rPr>
          <w:spacing w:val="-85"/>
        </w:rPr>
        <w:t> </w:t>
      </w:r>
      <w:r>
        <w:rPr>
          <w:spacing w:val="-85"/>
        </w:rPr>
      </w:r>
      <w:r>
        <w:rPr/>
        <w:t>场份额的产品增长幅度也在</w:t>
      </w:r>
      <w:r>
        <w:rPr>
          <w:rFonts w:ascii="Times New Roman" w:hAnsi="Times New Roman" w:cs="Times New Roman" w:eastAsia="Times New Roman" w:hint="default"/>
        </w:rPr>
        <w:t>20%</w:t>
      </w:r>
      <w:r>
        <w:rPr/>
        <w:t>以上。具体来看，传统的统一威胁管理、入侵防御、安全内容管理和 </w:t>
      </w:r>
      <w:r>
        <w:rPr>
          <w:rFonts w:ascii="Times New Roman" w:hAnsi="Times New Roman" w:cs="Times New Roman" w:eastAsia="Times New Roman" w:hint="default"/>
        </w:rPr>
        <w:t>VPN</w:t>
      </w:r>
      <w:r>
        <w:rPr>
          <w:rFonts w:ascii="Times New Roman" w:hAnsi="Times New Roman" w:cs="Times New Roman" w:eastAsia="Times New Roman" w:hint="default"/>
          <w:spacing w:val="-6"/>
        </w:rPr>
        <w:t> </w:t>
      </w:r>
      <w:r>
        <w:rPr/>
        <w:t>等几大市场 都保持了较快增长。作为</w:t>
      </w:r>
      <w:r>
        <w:rPr>
          <w:rFonts w:ascii="Times New Roman" w:hAnsi="Times New Roman" w:cs="Times New Roman" w:eastAsia="Times New Roman" w:hint="default"/>
        </w:rPr>
        <w:t>UTM</w:t>
      </w:r>
      <w:r>
        <w:rPr/>
        <w:t>和传统防火墙的有效替代品，新一代防火墙（</w:t>
      </w:r>
      <w:r>
        <w:rPr>
          <w:rFonts w:ascii="Times New Roman" w:hAnsi="Times New Roman" w:cs="Times New Roman" w:eastAsia="Times New Roman" w:hint="default"/>
        </w:rPr>
        <w:t>NGFW</w:t>
      </w:r>
      <w:r>
        <w:rPr/>
        <w:t>）成了业界热推的产品。入侵检测</w:t>
      </w:r>
      <w:r>
        <w:rPr>
          <w:spacing w:val="-39"/>
        </w:rPr>
        <w:t> </w:t>
      </w:r>
      <w:r>
        <w:rPr>
          <w:spacing w:val="-39"/>
        </w:rPr>
      </w:r>
      <w:r>
        <w:rPr/>
        <w:t>市场受到产品更新换代的驱动以及 </w:t>
      </w:r>
      <w:r>
        <w:rPr>
          <w:rFonts w:ascii="Times New Roman" w:hAnsi="Times New Roman" w:cs="Times New Roman" w:eastAsia="Times New Roman" w:hint="default"/>
        </w:rPr>
        <w:t>IDS</w:t>
      </w:r>
      <w:r>
        <w:rPr>
          <w:rFonts w:ascii="Times New Roman" w:hAnsi="Times New Roman" w:cs="Times New Roman" w:eastAsia="Times New Roman" w:hint="default"/>
          <w:spacing w:val="7"/>
        </w:rPr>
        <w:t> </w:t>
      </w:r>
      <w:r>
        <w:rPr/>
        <w:t>向应用性转化，今年出现正增长。</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4" w:right="188" w:firstLine="315"/>
        <w:jc w:val="both"/>
      </w:pPr>
      <w:r>
        <w:rPr>
          <w:spacing w:val="-1"/>
        </w:rPr>
        <w:t>新兴产业中，</w:t>
      </w:r>
      <w:r>
        <w:rPr>
          <w:rFonts w:ascii="Times New Roman" w:hAnsi="Times New Roman" w:cs="Times New Roman" w:eastAsia="Times New Roman" w:hint="default"/>
          <w:spacing w:val="-1"/>
        </w:rPr>
        <w:t>2013</w:t>
      </w:r>
      <w:r>
        <w:rPr>
          <w:spacing w:val="-1"/>
        </w:rPr>
        <w:t>年至未来几年，云安全相关标准将逐步推出与落地，将促进云产业更好、更健康的发展，而云安</w:t>
      </w:r>
      <w:r>
        <w:rPr/>
        <w:t> 全不仅仅是宣传热点，更是已经成为云计算推广的核心。此外，三网融合、物联网、大数据都将继续引领未来 </w:t>
      </w:r>
      <w:r>
        <w:rPr>
          <w:rFonts w:ascii="Times New Roman" w:hAnsi="Times New Roman" w:cs="Times New Roman" w:eastAsia="Times New Roman" w:hint="default"/>
        </w:rPr>
        <w:t>IT</w:t>
      </w:r>
      <w:r>
        <w:rPr/>
        <w:t>建设</w:t>
      </w:r>
      <w:r>
        <w:rPr>
          <w:spacing w:val="-79"/>
        </w:rPr>
        <w:t> </w:t>
      </w:r>
      <w:r>
        <w:rPr/>
        <w:t>投资的潮流，成为信息安全行业新的蓝海市场。</w:t>
      </w:r>
    </w:p>
    <w:p>
      <w:pPr>
        <w:pStyle w:val="BodyText"/>
        <w:spacing w:line="314" w:lineRule="auto" w:before="31"/>
        <w:ind w:left="514" w:right="90" w:firstLine="315"/>
        <w:jc w:val="left"/>
      </w:pPr>
      <w:r>
        <w:rPr/>
        <w:t>从国内信息安全市场现状来看，具体到各个细分领域，其主要生产企业情况如下：目前网络安全类主要的生产厂家 </w:t>
      </w:r>
      <w:r>
        <w:rPr>
          <w:spacing w:val="-2"/>
        </w:rPr>
        <w:t>包括国内的天融信、启明星辰、网域星云（启明星辰控股）、绿盟科技、东软、网御神州、华为、蓝盾、北信源、任子</w:t>
      </w:r>
      <w:r>
        <w:rPr>
          <w:spacing w:val="-76"/>
        </w:rPr>
        <w:t> </w:t>
      </w:r>
      <w:r>
        <w:rPr>
          <w:spacing w:val="-76"/>
        </w:rPr>
      </w:r>
      <w:r>
        <w:rPr>
          <w:spacing w:val="-1"/>
        </w:rPr>
        <w:t>行、华三、山石网科、深信服、网康科技等和国外的思科、</w:t>
      </w:r>
      <w:r>
        <w:rPr>
          <w:rFonts w:ascii="Times New Roman" w:hAnsi="Times New Roman" w:cs="Times New Roman" w:eastAsia="Times New Roman" w:hint="default"/>
          <w:spacing w:val="-1"/>
        </w:rPr>
        <w:t>juniper</w:t>
      </w:r>
      <w:r>
        <w:rPr>
          <w:spacing w:val="-1"/>
        </w:rPr>
        <w:t>、飞塔、</w:t>
      </w:r>
      <w:r>
        <w:rPr>
          <w:rFonts w:ascii="Times New Roman" w:hAnsi="Times New Roman" w:cs="Times New Roman" w:eastAsia="Times New Roman" w:hint="default"/>
          <w:spacing w:val="-1"/>
        </w:rPr>
        <w:t>checkpoint</w:t>
      </w:r>
      <w:r>
        <w:rPr>
          <w:spacing w:val="-1"/>
        </w:rPr>
        <w:t>、</w:t>
      </w:r>
      <w:r>
        <w:rPr>
          <w:rFonts w:ascii="Times New Roman" w:hAnsi="Times New Roman" w:cs="Times New Roman" w:eastAsia="Times New Roman" w:hint="default"/>
          <w:spacing w:val="-1"/>
        </w:rPr>
        <w:t>websense</w:t>
      </w:r>
      <w:r>
        <w:rPr>
          <w:spacing w:val="-1"/>
        </w:rPr>
        <w:t>等公司。这些企业中，</w:t>
      </w:r>
      <w:r>
        <w:rPr>
          <w:spacing w:val="-38"/>
        </w:rPr>
        <w:t> </w:t>
      </w:r>
      <w:r>
        <w:rPr>
          <w:spacing w:val="-38"/>
        </w:rPr>
      </w:r>
      <w:r>
        <w:rPr>
          <w:spacing w:val="-2"/>
        </w:rPr>
        <w:t>除去外资和国内如华为、华三、东软等不以信息安全为主业的公司，目前从规模看启明星辰、天融信、绿盟科技处于第</w:t>
      </w:r>
      <w:r>
        <w:rPr>
          <w:spacing w:val="-70"/>
        </w:rPr>
        <w:t> </w:t>
      </w:r>
      <w:r>
        <w:rPr>
          <w:spacing w:val="-70"/>
        </w:rPr>
      </w:r>
      <w:r>
        <w:rPr>
          <w:spacing w:val="-2"/>
        </w:rPr>
        <w:t>一梯队中。以商用密码类产品为主的生产厂家包括卫士通、飞天诚信、吉大正元、江南科友、兴唐通信等，基本都是国</w:t>
      </w:r>
      <w:r>
        <w:rPr>
          <w:spacing w:val="-71"/>
        </w:rPr>
        <w:t> </w:t>
      </w:r>
      <w:r>
        <w:rPr>
          <w:spacing w:val="-71"/>
        </w:rPr>
      </w:r>
      <w:r>
        <w:rPr/>
        <w:t>内厂家，这其中卫士通处于领先优势地位。</w:t>
      </w:r>
    </w:p>
    <w:p>
      <w:pPr>
        <w:pStyle w:val="BodyText"/>
        <w:spacing w:line="312" w:lineRule="auto" w:before="20"/>
        <w:ind w:left="514" w:right="90" w:firstLine="360"/>
        <w:jc w:val="left"/>
      </w:pPr>
      <w:r>
        <w:rPr>
          <w:spacing w:val="-2"/>
        </w:rPr>
        <w:t>此外，近几年来，外资已逐步介入我国的信息安全市场，资本的进入一定会带来市场模式的变化，如果没有大的变</w:t>
      </w:r>
      <w:r>
        <w:rPr/>
        <w:t> </w:t>
      </w:r>
      <w:r>
        <w:rPr>
          <w:spacing w:val="-4"/>
        </w:rPr>
        <w:t>化，估计在今年之内就会有较强的外来资本整合国内的市场，这对国内厂商无疑是相当严峻的挑战。对于国内企业而言，</w:t>
      </w:r>
      <w:r>
        <w:rPr>
          <w:spacing w:val="-52"/>
        </w:rPr>
        <w:t> </w:t>
      </w:r>
      <w:r>
        <w:rPr>
          <w:spacing w:val="-52"/>
        </w:rPr>
      </w:r>
      <w:r>
        <w:rPr/>
        <w:t>整合才是竞争中尤应考虑的战略，通过</w:t>
      </w:r>
      <w:r>
        <w:rPr>
          <w:rFonts w:ascii="Times New Roman" w:hAnsi="Times New Roman" w:cs="Times New Roman" w:eastAsia="Times New Roman" w:hint="default"/>
        </w:rPr>
        <w:t>“</w:t>
      </w:r>
      <w:r>
        <w:rPr/>
        <w:t>以大带小，以小集大</w:t>
      </w:r>
      <w:r>
        <w:rPr>
          <w:rFonts w:ascii="Times New Roman" w:hAnsi="Times New Roman" w:cs="Times New Roman" w:eastAsia="Times New Roman" w:hint="default"/>
        </w:rPr>
        <w:t>”</w:t>
      </w:r>
      <w:r>
        <w:rPr/>
        <w:t>，形成了目前信息安全行业的整合之道。此外，国内很多 </w:t>
      </w:r>
      <w:r>
        <w:rPr>
          <w:spacing w:val="-2"/>
        </w:rPr>
        <w:t>信息安全类企业已经通过资本运作来扩大自己的规模、整合更多的资源，自从</w:t>
      </w:r>
      <w:r>
        <w:rPr>
          <w:rFonts w:ascii="Times New Roman" w:hAnsi="Times New Roman" w:cs="Times New Roman" w:eastAsia="Times New Roman" w:hint="default"/>
          <w:spacing w:val="-2"/>
        </w:rPr>
        <w:t>2008</w:t>
      </w:r>
      <w:r>
        <w:rPr>
          <w:spacing w:val="-2"/>
        </w:rPr>
        <w:t>年卫士通作为首家信息安全类企业在</w:t>
      </w:r>
      <w:r>
        <w:rPr>
          <w:spacing w:val="-64"/>
        </w:rPr>
        <w:t> </w:t>
      </w:r>
      <w:r>
        <w:rPr>
          <w:spacing w:val="-2"/>
        </w:rPr>
        <w:t>深交所上市以来，启明星辰、任子行、北信源、蓝盾等公司都已经实现成功上市，在未来几年还会有更多的企业通过上</w:t>
      </w:r>
      <w:r>
        <w:rPr>
          <w:spacing w:val="-70"/>
        </w:rPr>
        <w:t> </w:t>
      </w:r>
      <w:r>
        <w:rPr>
          <w:spacing w:val="-70"/>
        </w:rPr>
      </w:r>
      <w:r>
        <w:rPr/>
        <w:t>市和兼并等方式来整合目前信息安全市场中的资源，本行业的市场格局也将会产生相应的变化。</w:t>
      </w:r>
    </w:p>
    <w:p>
      <w:pPr>
        <w:pStyle w:val="BodyText"/>
        <w:spacing w:line="240" w:lineRule="auto" w:before="22"/>
        <w:ind w:left="975" w:right="6809"/>
        <w:jc w:val="center"/>
      </w:pPr>
      <w:r>
        <w:rPr/>
        <w:t>2)  公司面临的机遇与挑战</w:t>
      </w:r>
    </w:p>
    <w:p>
      <w:pPr>
        <w:pStyle w:val="BodyText"/>
        <w:spacing w:line="240" w:lineRule="auto" w:before="76"/>
        <w:ind w:right="90"/>
        <w:jc w:val="left"/>
      </w:pPr>
      <w:r>
        <w:rPr/>
        <w:t>①</w:t>
      </w:r>
      <w:r>
        <w:rPr>
          <w:spacing w:val="-17"/>
        </w:rPr>
        <w:t> </w:t>
      </w:r>
      <w:r>
        <w:rPr/>
        <w:t>面临的机遇</w:t>
      </w:r>
    </w:p>
    <w:p>
      <w:pPr>
        <w:pStyle w:val="BodyText"/>
        <w:spacing w:line="300" w:lineRule="auto" w:before="76"/>
        <w:ind w:right="90" w:firstLine="360"/>
        <w:jc w:val="left"/>
      </w:pPr>
      <w:r>
        <w:rPr>
          <w:spacing w:val="-2"/>
        </w:rPr>
        <w:t>十二五期间，国家将从</w:t>
      </w:r>
      <w:r>
        <w:rPr>
          <w:rFonts w:ascii="Times New Roman" w:hAnsi="Times New Roman" w:cs="Times New Roman" w:eastAsia="Times New Roman" w:hint="default"/>
          <w:spacing w:val="-2"/>
        </w:rPr>
        <w:t>“</w:t>
      </w:r>
      <w:r>
        <w:rPr>
          <w:spacing w:val="-2"/>
        </w:rPr>
        <w:t>全面提高信息化水平，加快信息化和工业化深度融合</w:t>
      </w:r>
      <w:r>
        <w:rPr>
          <w:rFonts w:ascii="Times New Roman" w:hAnsi="Times New Roman" w:cs="Times New Roman" w:eastAsia="Times New Roman" w:hint="default"/>
          <w:spacing w:val="-2"/>
        </w:rPr>
        <w:t>”</w:t>
      </w:r>
      <w:r>
        <w:rPr>
          <w:spacing w:val="-2"/>
        </w:rPr>
        <w:t>出发，统一电子政务内外网建设的技术标</w:t>
      </w:r>
      <w:r>
        <w:rPr/>
        <w:t> 准、加强电子政务内外网的统一规划。</w:t>
      </w:r>
    </w:p>
    <w:p>
      <w:pPr>
        <w:pStyle w:val="BodyText"/>
        <w:spacing w:line="316" w:lineRule="auto" w:before="31"/>
        <w:ind w:left="514" w:right="90" w:firstLine="260"/>
        <w:jc w:val="left"/>
      </w:pPr>
      <w:r>
        <w:rPr/>
        <w:t>·</w:t>
      </w:r>
      <w:r>
        <w:rPr>
          <w:spacing w:val="-51"/>
        </w:rPr>
        <w:t> </w:t>
      </w:r>
      <w:r>
        <w:rPr/>
        <w:t>单一安全需求向整体安全需求发展</w:t>
      </w:r>
      <w:r>
        <w:rPr/>
        <w:t> </w:t>
      </w:r>
      <w:r>
        <w:rPr>
          <w:spacing w:val="-4"/>
        </w:rPr>
        <w:t>单一安全需求向整体安全需求发展，网络边界需求向计算机环境安全需求发展，分散安全需求向集中管理安全需求发展，</w:t>
      </w:r>
    </w:p>
    <w:p>
      <w:pPr>
        <w:pStyle w:val="BodyText"/>
        <w:spacing w:line="240" w:lineRule="auto" w:before="19"/>
        <w:ind w:right="90"/>
        <w:jc w:val="left"/>
      </w:pPr>
      <w:r>
        <w:rPr/>
        <w:t>物理环境安全需求向数据安全需求发展。</w:t>
      </w:r>
    </w:p>
    <w:p>
      <w:pPr>
        <w:pStyle w:val="BodyText"/>
        <w:spacing w:line="316" w:lineRule="auto" w:before="76"/>
        <w:ind w:left="514" w:right="90" w:firstLine="260"/>
        <w:jc w:val="left"/>
      </w:pPr>
      <w:r>
        <w:rPr/>
        <w:t>·</w:t>
      </w:r>
      <w:r>
        <w:rPr>
          <w:spacing w:val="-51"/>
        </w:rPr>
        <w:t> </w:t>
      </w:r>
      <w:r>
        <w:rPr/>
        <w:t>办公网信息化建设步伐加快</w:t>
      </w:r>
      <w:r>
        <w:rPr/>
        <w:t> </w:t>
      </w:r>
      <w:r>
        <w:rPr>
          <w:spacing w:val="-2"/>
        </w:rPr>
        <w:t>近年来，国家各部委逐年加快了信息化建设步伐，很多部委都建立起了从中央到省、市、县的各级网络。同时，各部委</w:t>
      </w:r>
    </w:p>
    <w:p>
      <w:pPr>
        <w:pStyle w:val="BodyText"/>
        <w:spacing w:line="316" w:lineRule="auto" w:before="19"/>
        <w:ind w:right="90"/>
        <w:jc w:val="left"/>
      </w:pPr>
      <w:r>
        <w:rPr>
          <w:spacing w:val="-2"/>
        </w:rPr>
        <w:t>之间的信息交流日渐突出。因此，在十二五期间，办公网的信息化建设方面，将向利于资源共享的平台化方向发展，要求系</w:t>
      </w:r>
      <w:r>
        <w:rPr>
          <w:spacing w:val="-66"/>
        </w:rPr>
        <w:t> </w:t>
      </w:r>
      <w:r>
        <w:rPr>
          <w:spacing w:val="-66"/>
        </w:rPr>
      </w:r>
      <w:r>
        <w:rPr/>
        <w:t>统互联互通、业务共享以及跨区跨级跨业务的分层分级管理。</w:t>
      </w:r>
    </w:p>
    <w:p>
      <w:pPr>
        <w:pStyle w:val="BodyText"/>
        <w:spacing w:line="316" w:lineRule="auto" w:before="19"/>
        <w:ind w:left="514" w:right="178" w:firstLine="260"/>
        <w:jc w:val="left"/>
      </w:pPr>
      <w:r>
        <w:rPr/>
        <w:t>·</w:t>
      </w:r>
      <w:r>
        <w:rPr>
          <w:spacing w:val="-51"/>
        </w:rPr>
        <w:t> </w:t>
      </w:r>
      <w:r>
        <w:rPr/>
        <w:t>行业需求旺盛，企业迎来重要的发展阶段</w:t>
      </w:r>
      <w:r>
        <w:rPr/>
        <w:t> 电力行业加大智能电网的建设投入，已开始进行电网配网自动化安全防护项目建设，未来三年市场前景可观。 金融行业中，从</w:t>
      </w:r>
      <w:r>
        <w:rPr>
          <w:rFonts w:ascii="Times New Roman" w:hAnsi="Times New Roman" w:cs="Times New Roman" w:eastAsia="Times New Roman" w:hint="default"/>
        </w:rPr>
        <w:t>2011 </w:t>
      </w:r>
      <w:r>
        <w:rPr>
          <w:rFonts w:ascii="Times New Roman" w:hAnsi="Times New Roman" w:cs="Times New Roman" w:eastAsia="Times New Roman" w:hint="default"/>
          <w:spacing w:val="2"/>
        </w:rPr>
        <w:t> </w:t>
      </w:r>
      <w:r>
        <w:rPr/>
        <w:t>年以来，银行系统就开始进行银行与社保联网系统的建设，带来了大量的安全产品的销售商机，</w:t>
      </w:r>
    </w:p>
    <w:p>
      <w:pPr>
        <w:pStyle w:val="BodyText"/>
        <w:spacing w:line="300" w:lineRule="auto"/>
        <w:ind w:right="183"/>
        <w:jc w:val="left"/>
      </w:pPr>
      <w:r>
        <w:rPr/>
        <w:t>并且从 </w:t>
      </w:r>
      <w:r>
        <w:rPr>
          <w:rFonts w:ascii="Times New Roman" w:hAnsi="Times New Roman" w:cs="Times New Roman" w:eastAsia="Times New Roman" w:hint="default"/>
        </w:rPr>
        <w:t>2012 </w:t>
      </w:r>
      <w:r>
        <w:rPr/>
        <w:t>年开始，银行开始进行 </w:t>
      </w:r>
      <w:r>
        <w:rPr>
          <w:rFonts w:ascii="Times New Roman" w:hAnsi="Times New Roman" w:cs="Times New Roman" w:eastAsia="Times New Roman" w:hint="default"/>
        </w:rPr>
        <w:t>PBOC2.0</w:t>
      </w:r>
      <w:r>
        <w:rPr/>
        <w:t>标准的实施，传统的磁条卡将逐渐被</w:t>
      </w:r>
      <w:r>
        <w:rPr>
          <w:spacing w:val="-23"/>
        </w:rPr>
        <w:t> </w:t>
      </w:r>
      <w:r>
        <w:rPr>
          <w:rFonts w:ascii="Times New Roman" w:hAnsi="Times New Roman" w:cs="Times New Roman" w:eastAsia="Times New Roman" w:hint="default"/>
        </w:rPr>
        <w:t>IC</w:t>
      </w:r>
      <w:r>
        <w:rPr/>
        <w:t>卡替代，相关的加密设备与密钥管理 设备需求极大，为相关厂商带来了新的商机，公司已先期介入这些市场，后续销售潜力巨大。</w:t>
      </w:r>
    </w:p>
    <w:p>
      <w:pPr>
        <w:pStyle w:val="BodyText"/>
        <w:spacing w:line="240" w:lineRule="auto" w:before="31"/>
        <w:ind w:right="90"/>
        <w:jc w:val="left"/>
      </w:pPr>
      <w:r>
        <w:rPr/>
        <w:t>②面临的挑战</w:t>
      </w:r>
    </w:p>
    <w:p>
      <w:pPr>
        <w:pStyle w:val="BodyText"/>
        <w:tabs>
          <w:tab w:pos="573" w:val="left" w:leader="none"/>
        </w:tabs>
        <w:spacing w:line="240" w:lineRule="auto" w:before="76"/>
        <w:ind w:right="9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市场</w:t>
      </w:r>
    </w:p>
    <w:p>
      <w:pPr>
        <w:pStyle w:val="BodyText"/>
        <w:tabs>
          <w:tab w:pos="573" w:val="left" w:leader="none"/>
        </w:tabs>
        <w:spacing w:line="240" w:lineRule="auto" w:before="63"/>
        <w:ind w:right="90"/>
        <w:jc w:val="left"/>
      </w:pPr>
      <w:r>
        <w:rPr/>
        <w:t>·</w:t>
        <w:tab/>
        <w:t>市场竞争日益激烈，获得项目的不确定性有所增加。</w:t>
      </w:r>
    </w:p>
    <w:p>
      <w:pPr>
        <w:pStyle w:val="BodyText"/>
        <w:tabs>
          <w:tab w:pos="573" w:val="left" w:leader="none"/>
        </w:tabs>
        <w:spacing w:line="240" w:lineRule="auto" w:before="76"/>
        <w:ind w:right="90"/>
        <w:jc w:val="left"/>
      </w:pPr>
      <w:r>
        <w:rPr/>
        <w:t>·</w:t>
        <w:tab/>
        <w:t>熟悉传统的行业市场，对大众化市场尤其是中小企业领域还没有清晰的营销模式。</w:t>
      </w:r>
    </w:p>
    <w:p>
      <w:pPr>
        <w:pStyle w:val="BodyText"/>
        <w:tabs>
          <w:tab w:pos="573" w:val="left" w:leader="none"/>
        </w:tabs>
        <w:spacing w:line="240" w:lineRule="auto" w:before="76"/>
        <w:ind w:right="90"/>
        <w:jc w:val="left"/>
      </w:pPr>
      <w:r>
        <w:rPr/>
        <w:t>·</w:t>
        <w:tab/>
        <w:t>产品供应和方案提供能力完善，但缺乏业务运营和商业模式的创新。</w:t>
      </w:r>
    </w:p>
    <w:p>
      <w:pPr>
        <w:pStyle w:val="BodyText"/>
        <w:tabs>
          <w:tab w:pos="573" w:val="left" w:leader="none"/>
        </w:tabs>
        <w:spacing w:line="240" w:lineRule="auto" w:before="76"/>
        <w:ind w:right="90"/>
        <w:jc w:val="left"/>
      </w:pPr>
      <w:r>
        <w:rPr/>
        <w:t>·</w:t>
        <w:tab/>
        <w:t>市场宣传力度还不够。</w:t>
      </w:r>
    </w:p>
    <w:p>
      <w:pPr>
        <w:pStyle w:val="BodyText"/>
        <w:tabs>
          <w:tab w:pos="573" w:val="left" w:leader="none"/>
        </w:tabs>
        <w:spacing w:line="240" w:lineRule="auto" w:before="76"/>
        <w:ind w:right="0"/>
        <w:jc w:val="left"/>
      </w:pPr>
      <w:r>
        <w:rPr/>
        <w:t>·</w:t>
        <w:tab/>
        <w:t>新业务市场调研及需求分析不准确，开拓力度不够，且受市场成熟度与政策推进力度影响较大，具有较大的不确定性。</w:t>
      </w:r>
    </w:p>
    <w:p>
      <w:pPr>
        <w:pStyle w:val="BodyText"/>
        <w:tabs>
          <w:tab w:pos="573" w:val="left" w:leader="none"/>
        </w:tabs>
        <w:spacing w:line="240" w:lineRule="auto" w:before="76"/>
        <w:ind w:right="9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产品</w:t>
      </w:r>
    </w:p>
    <w:p>
      <w:pPr>
        <w:pStyle w:val="BodyText"/>
        <w:tabs>
          <w:tab w:pos="573" w:val="left" w:leader="none"/>
        </w:tabs>
        <w:spacing w:line="240" w:lineRule="auto" w:before="63"/>
        <w:ind w:right="90"/>
        <w:jc w:val="left"/>
      </w:pPr>
      <w:r>
        <w:rPr/>
        <w:t>·</w:t>
        <w:tab/>
        <w:t>部分产品与其它厂家的产品有同质化的现象。</w:t>
      </w:r>
    </w:p>
    <w:p>
      <w:pPr>
        <w:pStyle w:val="BodyText"/>
        <w:tabs>
          <w:tab w:pos="573" w:val="left" w:leader="none"/>
        </w:tabs>
        <w:spacing w:line="240" w:lineRule="auto" w:before="76"/>
        <w:ind w:right="90"/>
        <w:jc w:val="left"/>
      </w:pPr>
      <w:r>
        <w:rPr/>
        <w:t>·</w:t>
        <w:tab/>
        <w:t>产品的性能与技术领先优势在逐渐缩小。</w:t>
      </w:r>
    </w:p>
    <w:p>
      <w:pPr>
        <w:pStyle w:val="BodyText"/>
        <w:tabs>
          <w:tab w:pos="573" w:val="left" w:leader="none"/>
        </w:tabs>
        <w:spacing w:line="240" w:lineRule="auto" w:before="76"/>
        <w:ind w:right="90"/>
        <w:jc w:val="left"/>
      </w:pPr>
      <w:r>
        <w:rPr/>
        <w:t>·</w:t>
        <w:tab/>
        <w:t>产品面窄，如在电力市场主要集中在纵向加密认证装置产品上。防火墙设备和其他集成项目规模均较小。</w:t>
      </w:r>
    </w:p>
    <w:p>
      <w:pPr>
        <w:pStyle w:val="BodyText"/>
        <w:tabs>
          <w:tab w:pos="573" w:val="left" w:leader="none"/>
        </w:tabs>
        <w:spacing w:line="240" w:lineRule="auto" w:before="76"/>
        <w:ind w:right="90"/>
        <w:jc w:val="left"/>
      </w:pPr>
      <w:r>
        <w:rPr/>
        <w:t>·</w:t>
        <w:tab/>
        <w:t>能真正满足中小企业、个人用户需求的大众化市场的产品类型不多。</w:t>
      </w:r>
    </w:p>
    <w:p>
      <w:pPr>
        <w:pStyle w:val="BodyText"/>
        <w:tabs>
          <w:tab w:pos="573" w:val="left" w:leader="none"/>
        </w:tabs>
        <w:spacing w:line="240" w:lineRule="auto" w:before="76"/>
        <w:ind w:right="90"/>
        <w:jc w:val="left"/>
      </w:pPr>
      <w:r>
        <w:rPr/>
        <w:t>·</w:t>
        <w:tab/>
        <w:t>新技术转化为产品的周期较长。</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Heading5"/>
        <w:spacing w:line="240" w:lineRule="auto" w:before="44"/>
        <w:ind w:right="90"/>
        <w:jc w:val="left"/>
        <w:rPr>
          <w:b w:val="0"/>
          <w:bCs w:val="0"/>
        </w:rPr>
      </w:pPr>
      <w:r>
        <w:rPr>
          <w:rFonts w:ascii="Times New Roman" w:hAnsi="Times New Roman" w:cs="Times New Roman" w:eastAsia="Times New Roman" w:hint="default"/>
        </w:rPr>
        <w:t>3</w:t>
      </w:r>
      <w:r>
        <w:rPr/>
        <w:t>、公司发展规划及</w:t>
      </w:r>
      <w:r>
        <w:rPr>
          <w:rFonts w:ascii="Times New Roman" w:hAnsi="Times New Roman" w:cs="Times New Roman" w:eastAsia="Times New Roman" w:hint="default"/>
        </w:rPr>
        <w:t>2013</w:t>
      </w:r>
      <w:r>
        <w:rPr/>
        <w:t>年经营计划</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153" w:right="90"/>
        <w:jc w:val="left"/>
      </w:pPr>
      <w:r>
        <w:rPr/>
        <w:t>（</w:t>
      </w:r>
      <w:r>
        <w:rPr>
          <w:rFonts w:ascii="Times New Roman" w:hAnsi="Times New Roman" w:cs="Times New Roman" w:eastAsia="Times New Roman" w:hint="default"/>
        </w:rPr>
        <w:t>1</w:t>
      </w:r>
      <w:r>
        <w:rPr/>
        <w:t>）发展规划</w:t>
      </w:r>
    </w:p>
    <w:p>
      <w:pPr>
        <w:pStyle w:val="BodyText"/>
        <w:spacing w:line="240" w:lineRule="auto" w:before="63"/>
        <w:ind w:left="513" w:right="90"/>
        <w:jc w:val="left"/>
      </w:pPr>
      <w:r>
        <w:rPr/>
        <w:t>①密码与安全业务并行发展，领军大安全</w:t>
      </w:r>
    </w:p>
    <w:p>
      <w:pPr>
        <w:pStyle w:val="BodyText"/>
        <w:spacing w:line="300" w:lineRule="auto" w:before="76"/>
        <w:ind w:left="153" w:right="191" w:firstLine="360"/>
        <w:jc w:val="both"/>
      </w:pPr>
      <w:r>
        <w:rPr>
          <w:rFonts w:ascii="Times New Roman" w:hAnsi="Times New Roman" w:cs="Times New Roman" w:eastAsia="Times New Roman" w:hint="default"/>
          <w:spacing w:val="-2"/>
        </w:rPr>
        <w:t>2013</w:t>
      </w:r>
      <w:r>
        <w:rPr>
          <w:spacing w:val="-2"/>
        </w:rPr>
        <w:t>年，公司将在保持政府、金融、军工等传统市场优势的同时，通过捆绑应用、重点行业深化、战略合作、中小企业</w:t>
      </w:r>
      <w:r>
        <w:rPr/>
        <w:t> 分销体系建设以及以合作开展运营服务等策略，大力拓展电力、运营商以及中小企业、家庭等规模化市场。</w:t>
      </w:r>
    </w:p>
    <w:p>
      <w:pPr>
        <w:pStyle w:val="BodyText"/>
        <w:spacing w:line="307" w:lineRule="auto" w:before="31"/>
        <w:ind w:left="153" w:right="188" w:firstLine="360"/>
        <w:jc w:val="both"/>
      </w:pPr>
      <w:r>
        <w:rPr>
          <w:spacing w:val="-2"/>
        </w:rPr>
        <w:t>在产品方面，卫士通公司通过在密码实现与管理、身份认证、访问控制、操作系统加固、主动防御木马病毒等领域的技</w:t>
      </w:r>
      <w:r>
        <w:rPr/>
        <w:t> 术优势，研制移动互联网信息安全产品和解决方案。公司将继续重点研发支持国家密码主管部门批准的</w:t>
      </w:r>
      <w:r>
        <w:rPr>
          <w:rFonts w:ascii="Times New Roman" w:hAnsi="Times New Roman" w:cs="Times New Roman" w:eastAsia="Times New Roman" w:hint="default"/>
        </w:rPr>
        <w:t>ZUC</w:t>
      </w:r>
      <w:r>
        <w:rPr/>
        <w:t>、</w:t>
      </w:r>
      <w:r>
        <w:rPr>
          <w:rFonts w:ascii="Times New Roman" w:hAnsi="Times New Roman" w:cs="Times New Roman" w:eastAsia="Times New Roman" w:hint="default"/>
        </w:rPr>
        <w:t>SM1/2/3/4</w:t>
      </w:r>
      <w:r>
        <w:rPr/>
        <w:t>等</w:t>
      </w:r>
      <w:r>
        <w:rPr>
          <w:spacing w:val="-51"/>
        </w:rPr>
        <w:t> </w:t>
      </w:r>
      <w:r>
        <w:rPr>
          <w:spacing w:val="-2"/>
        </w:rPr>
        <w:t>密码算法的密码芯片。同时为了配合国家推进高速互联网的战略要求，公司已经研发出支持</w:t>
      </w:r>
      <w:r>
        <w:rPr>
          <w:rFonts w:ascii="Times New Roman" w:hAnsi="Times New Roman" w:cs="Times New Roman" w:eastAsia="Times New Roman" w:hint="default"/>
          <w:spacing w:val="-2"/>
        </w:rPr>
        <w:t>IPv6</w:t>
      </w:r>
      <w:r>
        <w:rPr>
          <w:spacing w:val="-2"/>
        </w:rPr>
        <w:t>协议和运营商业务运营管理</w:t>
      </w:r>
      <w:r>
        <w:rPr>
          <w:spacing w:val="-46"/>
        </w:rPr>
        <w:t> </w:t>
      </w:r>
      <w:r>
        <w:rPr>
          <w:spacing w:val="-2"/>
        </w:rPr>
        <w:t>的网络安全产品系列（如</w:t>
      </w:r>
      <w:r>
        <w:rPr>
          <w:rFonts w:ascii="Times New Roman" w:hAnsi="Times New Roman" w:cs="Times New Roman" w:eastAsia="Times New Roman" w:hint="default"/>
          <w:spacing w:val="-2"/>
        </w:rPr>
        <w:t>VPN</w:t>
      </w:r>
      <w:r>
        <w:rPr>
          <w:spacing w:val="-2"/>
        </w:rPr>
        <w:t>、下一代防火墙</w:t>
      </w:r>
      <w:r>
        <w:rPr>
          <w:rFonts w:ascii="Times New Roman" w:hAnsi="Times New Roman" w:cs="Times New Roman" w:eastAsia="Times New Roman" w:hint="default"/>
          <w:spacing w:val="-2"/>
        </w:rPr>
        <w:t>NGFW</w:t>
      </w:r>
      <w:r>
        <w:rPr>
          <w:spacing w:val="-2"/>
        </w:rPr>
        <w:t>），同时丰富了面向智能终端的终端安全防护工具和个人信息保护系统</w:t>
      </w:r>
      <w:r>
        <w:rPr>
          <w:spacing w:val="-54"/>
        </w:rPr>
        <w:t> </w:t>
      </w:r>
      <w:r>
        <w:rPr>
          <w:spacing w:val="-54"/>
        </w:rPr>
      </w:r>
      <w:r>
        <w:rPr>
          <w:spacing w:val="-2"/>
        </w:rPr>
        <w:t>等产品。通过一系列的产品研发，充分发挥了卫士通公司在密码实现与管理、身份认证、访问控制、操作系统加固、主动防</w:t>
      </w:r>
      <w:r>
        <w:rPr>
          <w:spacing w:val="-68"/>
        </w:rPr>
        <w:t> </w:t>
      </w:r>
      <w:r>
        <w:rPr>
          <w:spacing w:val="-68"/>
        </w:rPr>
      </w:r>
      <w:r>
        <w:rPr/>
        <w:t>御木马病毒等领域的技术优势，丰富了公司的移动互联网信息安全产品和解决方案。</w:t>
      </w:r>
    </w:p>
    <w:p>
      <w:pPr>
        <w:pStyle w:val="BodyText"/>
        <w:spacing w:line="300" w:lineRule="auto" w:before="26"/>
        <w:ind w:right="188" w:firstLine="360"/>
        <w:jc w:val="both"/>
      </w:pPr>
      <w:r>
        <w:rPr/>
        <w:t>卫士通将会继续保持国内最大的安全集成商的产业制高点地位，同时利用</w:t>
      </w:r>
      <w:r>
        <w:rPr>
          <w:rFonts w:ascii="Times New Roman" w:hAnsi="Times New Roman" w:cs="Times New Roman" w:eastAsia="Times New Roman" w:hint="default"/>
        </w:rPr>
        <w:t>“</w:t>
      </w:r>
      <w:r>
        <w:rPr/>
        <w:t>国家队</w:t>
      </w:r>
      <w:r>
        <w:rPr>
          <w:rFonts w:ascii="Times New Roman" w:hAnsi="Times New Roman" w:cs="Times New Roman" w:eastAsia="Times New Roman" w:hint="default"/>
        </w:rPr>
        <w:t>”</w:t>
      </w:r>
      <w:r>
        <w:rPr/>
        <w:t>优势，更多地牵头</w:t>
      </w:r>
      <w:r>
        <w:rPr>
          <w:rFonts w:ascii="Times New Roman" w:hAnsi="Times New Roman" w:cs="Times New Roman" w:eastAsia="Times New Roman" w:hint="default"/>
        </w:rPr>
        <w:t>/</w:t>
      </w:r>
      <w:r>
        <w:rPr/>
        <w:t>参与行业标准制 定，进一步打造并巩固在标准级的核心竞争力，</w:t>
      </w:r>
      <w:r>
        <w:rPr>
          <w:spacing w:val="-19"/>
        </w:rPr>
        <w:t> </w:t>
      </w:r>
      <w:r>
        <w:rPr/>
        <w:t>同时积极投入重大热点，先期介入，引导产业发展。</w:t>
      </w:r>
    </w:p>
    <w:p>
      <w:pPr>
        <w:pStyle w:val="BodyText"/>
        <w:spacing w:line="316" w:lineRule="auto" w:before="31"/>
        <w:ind w:left="514" w:right="90"/>
        <w:jc w:val="left"/>
      </w:pPr>
      <w:r>
        <w:rPr/>
        <w:t>②深化重点行业的合作拓展，形成规模化 </w:t>
      </w:r>
      <w:r>
        <w:rPr>
          <w:spacing w:val="-2"/>
        </w:rPr>
        <w:t>通过在重点市场如金融、电力智能网的深度合作，以及与运营商在面向中小企业市场和个人用户市场的广度合作，拓展</w:t>
      </w:r>
    </w:p>
    <w:p>
      <w:pPr>
        <w:pStyle w:val="BodyText"/>
        <w:spacing w:line="300" w:lineRule="auto" w:before="19"/>
        <w:ind w:left="514" w:right="90" w:hanging="360"/>
        <w:jc w:val="left"/>
        <w:rPr>
          <w:rFonts w:ascii="Times New Roman" w:hAnsi="Times New Roman" w:cs="Times New Roman" w:eastAsia="Times New Roman" w:hint="default"/>
        </w:rPr>
      </w:pPr>
      <w:r>
        <w:rPr/>
        <w:t>公司市场规模。加快针对大型</w:t>
      </w:r>
      <w:r>
        <w:rPr>
          <w:rFonts w:ascii="Times New Roman" w:hAnsi="Times New Roman" w:cs="Times New Roman" w:eastAsia="Times New Roman" w:hint="default"/>
        </w:rPr>
        <w:t>IT</w:t>
      </w:r>
      <w:r>
        <w:rPr/>
        <w:t>厂商业务方向分析并尽快找到合作点。 </w:t>
      </w:r>
      <w:r>
        <w:rPr>
          <w:spacing w:val="-2"/>
        </w:rPr>
        <w:t>在金融领域，卫士通参与了国家发改委组织设立的金融领域安全</w:t>
      </w:r>
      <w:r>
        <w:rPr>
          <w:rFonts w:ascii="Times New Roman" w:hAnsi="Times New Roman" w:cs="Times New Roman" w:eastAsia="Times New Roman" w:hint="default"/>
          <w:spacing w:val="-2"/>
        </w:rPr>
        <w:t>IC</w:t>
      </w:r>
      <w:r>
        <w:rPr>
          <w:spacing w:val="-2"/>
        </w:rPr>
        <w:t>卡和密码应用的专项。公司已经研发出符合</w:t>
      </w:r>
      <w:r>
        <w:rPr>
          <w:rFonts w:ascii="Times New Roman" w:hAnsi="Times New Roman" w:cs="Times New Roman" w:eastAsia="Times New Roman" w:hint="default"/>
          <w:spacing w:val="-2"/>
        </w:rPr>
        <w:t>PBOC3.0</w:t>
      </w:r>
      <w:r>
        <w:rPr>
          <w:rFonts w:ascii="Times New Roman" w:hAnsi="Times New Roman" w:cs="Times New Roman" w:eastAsia="Times New Roman" w:hint="default"/>
        </w:rPr>
      </w:r>
    </w:p>
    <w:p>
      <w:pPr>
        <w:pStyle w:val="BodyText"/>
        <w:spacing w:line="316" w:lineRule="auto" w:before="13"/>
        <w:ind w:right="90"/>
        <w:jc w:val="left"/>
      </w:pPr>
      <w:r>
        <w:rPr>
          <w:spacing w:val="-2"/>
        </w:rPr>
        <w:t>标准的金融数据密码机、签名验签服务器等产品，相关产品已经提交国家有关部门进行测试，通过测试的产品将在未来金融</w:t>
      </w:r>
      <w:r>
        <w:rPr>
          <w:spacing w:val="-66"/>
        </w:rPr>
        <w:t> </w:t>
      </w:r>
      <w:r>
        <w:rPr>
          <w:spacing w:val="-66"/>
        </w:rPr>
      </w:r>
      <w:r>
        <w:rPr/>
        <w:t>市场的试点和示范工程中大规模推广应用。</w:t>
      </w:r>
    </w:p>
    <w:p>
      <w:pPr>
        <w:pStyle w:val="BodyText"/>
        <w:spacing w:line="300" w:lineRule="auto" w:before="19"/>
        <w:ind w:right="188" w:firstLine="360"/>
        <w:jc w:val="both"/>
      </w:pPr>
      <w:r>
        <w:rPr/>
        <w:t>抓住云计算</w:t>
      </w:r>
      <w:r>
        <w:rPr>
          <w:rFonts w:ascii="Times New Roman" w:hAnsi="Times New Roman" w:cs="Times New Roman" w:eastAsia="Times New Roman" w:hint="default"/>
        </w:rPr>
        <w:t>/</w:t>
      </w:r>
      <w:r>
        <w:rPr/>
        <w:t>大数据、物联网、三网融合等面向民生大市场正在形成的契机，通过产品、服务、运营多种切入手段，在 新的大市场诞生之初快速取得领先的市场份额。</w:t>
      </w:r>
    </w:p>
    <w:p>
      <w:pPr>
        <w:pStyle w:val="BodyText"/>
        <w:spacing w:line="316" w:lineRule="auto" w:before="31"/>
        <w:ind w:left="514" w:right="90"/>
        <w:jc w:val="left"/>
      </w:pPr>
      <w:r>
        <w:rPr/>
        <w:t>③发力工业控制系统安全，快速做大企业规模。 </w:t>
      </w:r>
      <w:r>
        <w:rPr>
          <w:spacing w:val="-2"/>
        </w:rPr>
        <w:t>根据工信部发布的《关于加强工业控制系统信息安全管理的通知》精神，公司将以国家政策为导向，以工业控制信息安</w:t>
      </w:r>
    </w:p>
    <w:p>
      <w:pPr>
        <w:pStyle w:val="BodyText"/>
        <w:spacing w:line="316" w:lineRule="auto" w:before="19"/>
        <w:ind w:right="90"/>
        <w:jc w:val="left"/>
      </w:pPr>
      <w:r>
        <w:rPr>
          <w:spacing w:val="-2"/>
        </w:rPr>
        <w:t>全领域为重要发展方向之一，投入力量研发工业控制系统信息安全产品和解决方案，并根据国家重点行业高度重视服务尤其</w:t>
      </w:r>
      <w:r>
        <w:rPr>
          <w:spacing w:val="-64"/>
        </w:rPr>
        <w:t> </w:t>
      </w:r>
      <w:r>
        <w:rPr>
          <w:spacing w:val="-64"/>
        </w:rPr>
      </w:r>
      <w:r>
        <w:rPr/>
        <w:t>是长期乃至超长期（</w:t>
      </w:r>
      <w:r>
        <w:rPr>
          <w:rFonts w:ascii="Times New Roman" w:hAnsi="Times New Roman" w:cs="Times New Roman" w:eastAsia="Times New Roman" w:hint="default"/>
        </w:rPr>
        <w:t>60</w:t>
      </w:r>
      <w:r>
        <w:rPr/>
        <w:t>年）服务的特点，有针对性地研究服务模式、培养服务队伍、夯实服务能力。</w:t>
      </w:r>
    </w:p>
    <w:p>
      <w:pPr>
        <w:pStyle w:val="BodyText"/>
        <w:spacing w:line="314" w:lineRule="auto"/>
        <w:ind w:right="90" w:firstLine="360"/>
        <w:jc w:val="left"/>
      </w:pPr>
      <w:r>
        <w:rPr>
          <w:spacing w:val="-2"/>
        </w:rPr>
        <w:t>公司将针对各行业工业控制领域信息安全的共性和特点，通过与行业用户的紧密结合，共同设计安全保障体系、开展技</w:t>
      </w:r>
      <w:r>
        <w:rPr/>
        <w:t> </w:t>
      </w:r>
      <w:r>
        <w:rPr>
          <w:spacing w:val="-2"/>
        </w:rPr>
        <w:t>术和产品研发、培养专业安全人才、制定安全防护标准。产品层面，卫士通公司将研制适用工业控制系统信息安全领域的密</w:t>
      </w:r>
      <w:r>
        <w:rPr>
          <w:spacing w:val="-66"/>
        </w:rPr>
        <w:t> </w:t>
      </w:r>
      <w:r>
        <w:rPr>
          <w:spacing w:val="-66"/>
        </w:rPr>
      </w:r>
      <w:r>
        <w:rPr>
          <w:spacing w:val="-4"/>
        </w:rPr>
        <w:t>码芯片和模块、安全远程测控终端、多功能安全网关、工控计算机安全加固系统、安全态势评估系统、安全备份与恢复系统、</w:t>
      </w:r>
      <w:r>
        <w:rPr>
          <w:spacing w:val="-44"/>
        </w:rPr>
        <w:t> </w:t>
      </w:r>
      <w:r>
        <w:rPr>
          <w:spacing w:val="-44"/>
        </w:rPr>
      </w:r>
      <w:r>
        <w:rPr/>
        <w:t>安全管理平台等安全产品；开展针对工业控制系统的攻击研究和应急预案演练；研究物联网、云计算</w:t>
      </w:r>
      <w:r>
        <w:rPr>
          <w:rFonts w:ascii="Times New Roman" w:hAnsi="Times New Roman" w:cs="Times New Roman" w:eastAsia="Times New Roman" w:hint="default"/>
        </w:rPr>
        <w:t>/</w:t>
      </w:r>
      <w:r>
        <w:rPr/>
        <w:t>大数据、移动互联网</w:t>
      </w:r>
      <w:r>
        <w:rPr>
          <w:spacing w:val="-49"/>
        </w:rPr>
        <w:t> </w:t>
      </w:r>
      <w:r>
        <w:rPr>
          <w:spacing w:val="-49"/>
        </w:rPr>
      </w:r>
      <w:r>
        <w:rPr/>
        <w:t>等新一代信息技术在工业控制系统领域的应用和安全防护要点。</w:t>
      </w:r>
    </w:p>
    <w:p>
      <w:pPr>
        <w:pStyle w:val="BodyText"/>
        <w:spacing w:line="312" w:lineRule="auto" w:before="20"/>
        <w:ind w:right="90" w:firstLine="360"/>
        <w:jc w:val="left"/>
      </w:pPr>
      <w:r>
        <w:rPr>
          <w:spacing w:val="-4"/>
        </w:rPr>
        <w:t>公司将继续以智能电网为突破口，在已开发出电力纵向加密认证装置、电能计量密码机和密钥管理系统等产品的基础上，</w:t>
      </w:r>
      <w:r>
        <w:rPr/>
        <w:t> </w:t>
      </w:r>
      <w:r>
        <w:rPr>
          <w:spacing w:val="-2"/>
        </w:rPr>
        <w:t>将信息安全技术、产品、方案及服务向智能电网发电、输电、变电、配电、用电和调度等六大环节延伸，通过与国家电网公</w:t>
      </w:r>
      <w:r>
        <w:rPr>
          <w:spacing w:val="-65"/>
        </w:rPr>
        <w:t> </w:t>
      </w:r>
      <w:r>
        <w:rPr>
          <w:spacing w:val="-65"/>
        </w:rPr>
      </w:r>
      <w:r>
        <w:rPr/>
        <w:t>司、南方电网公司的紧密合作，研制以密码芯片和模块、安全现场终端、工控计算机安全加固系统、智能电网 </w:t>
      </w:r>
      <w:r>
        <w:rPr>
          <w:rFonts w:ascii="Times New Roman" w:hAnsi="Times New Roman" w:cs="Times New Roman" w:eastAsia="Times New Roman" w:hint="default"/>
        </w:rPr>
        <w:t>SCADA </w:t>
      </w:r>
      <w:r>
        <w:rPr/>
        <w:t>安</w:t>
      </w:r>
      <w:r>
        <w:rPr>
          <w:spacing w:val="-78"/>
        </w:rPr>
        <w:t> </w:t>
      </w:r>
      <w:r>
        <w:rPr/>
        <w:t>全防护系统等为核心的系列信息安全产品，为我国智能电网建设构建自主、可控、安全的信息安全保障体系。</w:t>
      </w:r>
    </w:p>
    <w:p>
      <w:pPr>
        <w:pStyle w:val="BodyText"/>
        <w:spacing w:line="316" w:lineRule="auto" w:before="22"/>
        <w:ind w:right="188" w:firstLine="360"/>
        <w:jc w:val="both"/>
      </w:pPr>
      <w:r>
        <w:rPr>
          <w:spacing w:val="-2"/>
        </w:rPr>
        <w:t>以此为基础，公司将向石油石化、核设施、钢铁、有色、化工、天然气、先进制造、水利枢纽、环境保护、铁路、城市</w:t>
      </w:r>
      <w:r>
        <w:rPr/>
        <w:t> </w:t>
      </w:r>
      <w:r>
        <w:rPr>
          <w:spacing w:val="-2"/>
        </w:rPr>
        <w:t>轨道交通、民航、城市供水供气供热以及其他与国计民生紧密相关领域进军，确保其工业控制系统安全，真正发挥信息安全</w:t>
      </w:r>
      <w:r>
        <w:rPr>
          <w:spacing w:val="-66"/>
        </w:rPr>
        <w:t> </w:t>
      </w:r>
      <w:r>
        <w:rPr>
          <w:spacing w:val="-66"/>
        </w:rPr>
      </w:r>
      <w:r>
        <w:rPr/>
        <w:t>国家队的作用。</w:t>
      </w:r>
    </w:p>
    <w:p>
      <w:pPr>
        <w:pStyle w:val="BodyText"/>
        <w:spacing w:line="240" w:lineRule="auto" w:before="19"/>
        <w:ind w:left="514" w:right="90"/>
        <w:jc w:val="left"/>
      </w:pPr>
      <w:r>
        <w:rPr/>
        <w:t>④做大移动电子支付品牌</w:t>
      </w:r>
    </w:p>
    <w:p>
      <w:pPr>
        <w:pStyle w:val="BodyText"/>
        <w:spacing w:line="300" w:lineRule="auto" w:before="76"/>
        <w:ind w:right="189" w:firstLine="360"/>
        <w:jc w:val="both"/>
      </w:pPr>
      <w:r>
        <w:rPr>
          <w:rFonts w:ascii="Times New Roman" w:hAnsi="Times New Roman" w:cs="Times New Roman" w:eastAsia="Times New Roman" w:hint="default"/>
        </w:rPr>
        <w:t>2012</w:t>
      </w:r>
      <w:r>
        <w:rPr/>
        <w:t>年，公司在移动电子支付领域取得了一定成绩，公司控股的摩宝子公司已经收到</w:t>
      </w:r>
      <w:r>
        <w:rPr>
          <w:rFonts w:ascii="Times New Roman" w:hAnsi="Times New Roman" w:cs="Times New Roman" w:eastAsia="Times New Roman" w:hint="default"/>
        </w:rPr>
        <w:t>“</w:t>
      </w:r>
      <w:r>
        <w:rPr/>
        <w:t>四川省</w:t>
      </w:r>
      <w:r>
        <w:rPr>
          <w:rFonts w:ascii="Times New Roman" w:hAnsi="Times New Roman" w:cs="Times New Roman" w:eastAsia="Times New Roman" w:hint="default"/>
        </w:rPr>
        <w:t>2012</w:t>
      </w:r>
      <w:r>
        <w:rPr/>
        <w:t>年第一批战略性新兴 产业发展专项资金</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年将继续利用央行第三方支付牌照的先发优势，通过与商业银行、与行业等的深度合作，形成完</w:t>
      </w:r>
      <w:r>
        <w:rPr>
          <w:spacing w:val="-76"/>
        </w:rPr>
        <w:t> </w:t>
      </w:r>
      <w:r>
        <w:rPr>
          <w:spacing w:val="-76"/>
        </w:rPr>
      </w:r>
      <w:r>
        <w:rPr/>
        <w:t>善的 </w:t>
      </w:r>
      <w:r>
        <w:rPr>
          <w:rFonts w:ascii="Times New Roman" w:hAnsi="Times New Roman" w:cs="Times New Roman" w:eastAsia="Times New Roman" w:hint="default"/>
        </w:rPr>
        <w:t>B2C</w:t>
      </w:r>
      <w:r>
        <w:rPr/>
        <w:t>、</w:t>
      </w:r>
      <w:r>
        <w:rPr>
          <w:rFonts w:ascii="Times New Roman" w:hAnsi="Times New Roman" w:cs="Times New Roman" w:eastAsia="Times New Roman" w:hint="default"/>
        </w:rPr>
        <w:t>B2B</w:t>
      </w:r>
      <w:r>
        <w:rPr>
          <w:rFonts w:ascii="Times New Roman" w:hAnsi="Times New Roman" w:cs="Times New Roman" w:eastAsia="Times New Roman" w:hint="default"/>
          <w:spacing w:val="2"/>
        </w:rPr>
        <w:t> </w:t>
      </w:r>
      <w:r>
        <w:rPr/>
        <w:t>支付解决方案并提供优质的支付服务，或者提供包括资金流在内的整体解决方案并共同运营。</w:t>
      </w:r>
    </w:p>
    <w:p>
      <w:pPr>
        <w:pStyle w:val="BodyText"/>
        <w:spacing w:line="316" w:lineRule="auto" w:before="13"/>
        <w:ind w:left="513" w:right="90"/>
        <w:jc w:val="left"/>
      </w:pPr>
      <w:r>
        <w:rPr/>
        <w:t>⑤发力云计算，建设安全云环境 </w:t>
      </w:r>
      <w:r>
        <w:rPr>
          <w:spacing w:val="-2"/>
        </w:rPr>
        <w:t>卫士通作为安全能力和安全服务的提供者，为行业用户、政府提供专网、移动互联网、云计算和物联网等不同环境下的</w:t>
      </w:r>
    </w:p>
    <w:p>
      <w:pPr>
        <w:pStyle w:val="BodyText"/>
        <w:spacing w:line="240" w:lineRule="auto" w:before="19"/>
        <w:ind w:left="153" w:right="90"/>
        <w:jc w:val="left"/>
      </w:pPr>
      <w:r>
        <w:rPr/>
        <w:t>安全解决方案</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1" w:firstLine="360"/>
        <w:jc w:val="both"/>
      </w:pPr>
      <w:r>
        <w:rPr>
          <w:spacing w:val="-2"/>
        </w:rPr>
        <w:t>针对传统</w:t>
      </w:r>
      <w:r>
        <w:rPr>
          <w:rFonts w:ascii="Times New Roman" w:hAnsi="Times New Roman" w:cs="Times New Roman" w:eastAsia="Times New Roman" w:hint="default"/>
          <w:spacing w:val="-2"/>
        </w:rPr>
        <w:t>IT</w:t>
      </w:r>
      <w:r>
        <w:rPr>
          <w:spacing w:val="-2"/>
        </w:rPr>
        <w:t>架构下的数据分散、数据防护困难、系统维护复杂等问题，卫士通公司将全力打造安全桌面云这一基于云计</w:t>
      </w:r>
      <w:r>
        <w:rPr/>
        <w:t> </w:t>
      </w:r>
      <w:r>
        <w:rPr>
          <w:spacing w:val="-2"/>
        </w:rPr>
        <w:t>算和虚拟化的</w:t>
      </w:r>
      <w:r>
        <w:rPr>
          <w:rFonts w:ascii="Times New Roman" w:hAnsi="Times New Roman" w:cs="Times New Roman" w:eastAsia="Times New Roman" w:hint="default"/>
          <w:spacing w:val="-2"/>
        </w:rPr>
        <w:t>IT</w:t>
      </w:r>
      <w:r>
        <w:rPr>
          <w:spacing w:val="-2"/>
        </w:rPr>
        <w:t>安全解决方案，使用该解决方案，客户可以方便的实现业务数据大集中、数据的高安全性、应用系统高可靠</w:t>
      </w:r>
      <w:r>
        <w:rPr>
          <w:spacing w:val="-52"/>
        </w:rPr>
        <w:t> </w:t>
      </w:r>
      <w:r>
        <w:rPr>
          <w:spacing w:val="-52"/>
        </w:rPr>
      </w:r>
      <w:r>
        <w:rPr/>
        <w:t>性以及控制</w:t>
      </w:r>
      <w:r>
        <w:rPr>
          <w:rFonts w:ascii="Times New Roman" w:hAnsi="Times New Roman" w:cs="Times New Roman" w:eastAsia="Times New Roman" w:hint="default"/>
        </w:rPr>
        <w:t>IT</w:t>
      </w:r>
      <w:r>
        <w:rPr/>
        <w:t>管理和维护成本等目标。</w:t>
      </w:r>
    </w:p>
    <w:p>
      <w:pPr>
        <w:pStyle w:val="BodyText"/>
        <w:spacing w:line="316" w:lineRule="auto" w:before="13"/>
        <w:ind w:left="513" w:right="90"/>
        <w:jc w:val="left"/>
      </w:pPr>
      <w:r>
        <w:rPr/>
        <w:t>⑥整合技术优势，打造安全平台品牌 </w:t>
      </w:r>
      <w:r>
        <w:rPr>
          <w:spacing w:val="-2"/>
        </w:rPr>
        <w:t>以国产自主处理器计算机模块、加固计算机及配件、密码模块、嵌入式平台、网络安全平台为主要销售产品，形成安全</w:t>
      </w:r>
    </w:p>
    <w:p>
      <w:pPr>
        <w:pStyle w:val="BodyText"/>
        <w:spacing w:line="240" w:lineRule="auto" w:before="19"/>
        <w:ind w:left="153" w:right="0"/>
        <w:jc w:val="both"/>
      </w:pPr>
      <w:r>
        <w:rPr/>
        <w:t>保密模块、安全计算机平台三足鼎立的平台安全产品。</w:t>
      </w:r>
    </w:p>
    <w:p>
      <w:pPr>
        <w:pStyle w:val="BodyText"/>
        <w:spacing w:line="300" w:lineRule="auto" w:before="76"/>
        <w:ind w:left="513" w:right="9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28"/>
        </w:rPr>
        <w:t> </w:t>
      </w:r>
      <w:r>
        <w:rPr/>
        <w:t>年经营计划 </w:t>
      </w:r>
      <w:r>
        <w:rPr>
          <w:spacing w:val="-2"/>
        </w:rPr>
        <w:t>根据行业发展和市场状况，结合公司的实际情况，公司将采取调整组织架构，优化管理体系，实现流程再造，修改完善</w:t>
      </w:r>
    </w:p>
    <w:p>
      <w:pPr>
        <w:pStyle w:val="BodyText"/>
        <w:spacing w:line="307" w:lineRule="auto" w:before="31"/>
        <w:ind w:left="153" w:right="189"/>
        <w:jc w:val="both"/>
      </w:pPr>
      <w:r>
        <w:rPr>
          <w:spacing w:val="-2"/>
        </w:rPr>
        <w:t>考核激励体系，深化企业文化建设，同时加大市场拓展力度，通过与战略合作伙伴共同开拓新市场、研发新产品等措施保证</w:t>
      </w:r>
      <w:r>
        <w:rPr>
          <w:spacing w:val="-66"/>
        </w:rPr>
        <w:t> </w:t>
      </w:r>
      <w:r>
        <w:rPr>
          <w:spacing w:val="-66"/>
        </w:rPr>
      </w:r>
      <w:r>
        <w:rPr/>
        <w:t>公司的健康稳定发展。公司 </w:t>
      </w:r>
      <w:r>
        <w:rPr>
          <w:rFonts w:ascii="Times New Roman" w:hAnsi="Times New Roman" w:cs="Times New Roman" w:eastAsia="Times New Roman" w:hint="default"/>
        </w:rPr>
        <w:t>2013</w:t>
      </w:r>
      <w:r>
        <w:rPr/>
        <w:t>年力争保持主营业务收入平稳增长，力争完成收入比上年增长</w:t>
      </w:r>
      <w:r>
        <w:rPr>
          <w:rFonts w:ascii="Times New Roman" w:hAnsi="Times New Roman" w:cs="Times New Roman" w:eastAsia="Times New Roman" w:hint="default"/>
        </w:rPr>
        <w:t>20%</w:t>
      </w:r>
      <w:r>
        <w:rPr/>
        <w:t>以上（注：上述目标并</w:t>
      </w:r>
      <w:r>
        <w:rPr>
          <w:spacing w:val="-62"/>
        </w:rPr>
        <w:t> </w:t>
      </w:r>
      <w:r>
        <w:rPr>
          <w:spacing w:val="-62"/>
        </w:rPr>
      </w:r>
      <w:r>
        <w:rPr/>
        <w:t>不代表公司对 </w:t>
      </w:r>
      <w:r>
        <w:rPr>
          <w:rFonts w:ascii="Times New Roman" w:hAnsi="Times New Roman" w:cs="Times New Roman" w:eastAsia="Times New Roman" w:hint="default"/>
        </w:rPr>
        <w:t>2013</w:t>
      </w:r>
      <w:r>
        <w:rPr/>
        <w:t>年度的盈利预测，能否实现取决于市场状况变化、经营策略能否有效实施等多种因素，存在很大的不确</w:t>
      </w:r>
      <w:r>
        <w:rPr>
          <w:spacing w:val="-89"/>
        </w:rPr>
        <w:t> </w:t>
      </w:r>
      <w:r>
        <w:rPr>
          <w:spacing w:val="-89"/>
        </w:rPr>
      </w:r>
      <w:r>
        <w:rPr/>
        <w:t>定性，请投资者特别注意），为此公司将着重做好以下经营工作：</w:t>
      </w:r>
    </w:p>
    <w:p>
      <w:pPr>
        <w:pStyle w:val="BodyText"/>
        <w:spacing w:line="316" w:lineRule="auto" w:before="26"/>
        <w:ind w:left="513" w:right="90"/>
        <w:jc w:val="left"/>
      </w:pPr>
      <w:r>
        <w:rPr/>
        <w:t>①力保传统业务稳步增长</w:t>
      </w:r>
      <w:r>
        <w:rPr>
          <w:spacing w:val="-17"/>
        </w:rPr>
        <w:t> </w:t>
      </w:r>
      <w:r>
        <w:rPr/>
        <w:t>，新业务取得突破。</w:t>
      </w:r>
      <w:r>
        <w:rPr/>
        <w:t> </w:t>
      </w:r>
      <w:r>
        <w:rPr>
          <w:spacing w:val="-2"/>
        </w:rPr>
        <w:t>加大对电力、金融、政府、电信、军工等优势行业的业务深化，深耕智能电网、金融等大市场，保持并提升行业竞争能</w:t>
      </w:r>
    </w:p>
    <w:p>
      <w:pPr>
        <w:pStyle w:val="BodyText"/>
        <w:spacing w:line="240" w:lineRule="auto" w:before="19"/>
        <w:ind w:left="153" w:right="0"/>
        <w:jc w:val="both"/>
      </w:pPr>
      <w:r>
        <w:rPr/>
        <w:t>力。</w:t>
      </w:r>
    </w:p>
    <w:p>
      <w:pPr>
        <w:pStyle w:val="BodyText"/>
        <w:spacing w:line="300" w:lineRule="auto" w:before="76"/>
        <w:ind w:left="153" w:right="190" w:firstLine="360"/>
        <w:jc w:val="both"/>
      </w:pPr>
      <w:r>
        <w:rPr>
          <w:spacing w:val="-2"/>
        </w:rPr>
        <w:t>加大人力、物力、财力的投入，加快新技术的储备，并在</w:t>
      </w:r>
      <w:r>
        <w:rPr>
          <w:rFonts w:ascii="Times New Roman" w:hAnsi="Times New Roman" w:cs="Times New Roman" w:eastAsia="Times New Roman" w:hint="default"/>
          <w:spacing w:val="-2"/>
        </w:rPr>
        <w:t>2013</w:t>
      </w:r>
      <w:r>
        <w:rPr>
          <w:spacing w:val="-2"/>
        </w:rPr>
        <w:t>年可以向云计算和物联网产业链中的各类厂商提供安全芯</w:t>
      </w:r>
      <w:r>
        <w:rPr/>
        <w:t> 片、安全接口、安全插件；</w:t>
      </w:r>
    </w:p>
    <w:p>
      <w:pPr>
        <w:pStyle w:val="BodyText"/>
        <w:spacing w:line="316" w:lineRule="auto" w:before="31"/>
        <w:ind w:left="513" w:right="101"/>
        <w:jc w:val="left"/>
      </w:pPr>
      <w:r>
        <w:rPr/>
        <w:t>利用在特定行业实施的移动通信安全保障系统经验优势，进行相关行业大市场复制与拓展； 拓展思路，以安全为特色，加大与国内外</w:t>
      </w:r>
      <w:r>
        <w:rPr>
          <w:rFonts w:ascii="Times New Roman" w:hAnsi="Times New Roman" w:cs="Times New Roman" w:eastAsia="Times New Roman" w:hint="default"/>
        </w:rPr>
        <w:t>IT</w:t>
      </w:r>
      <w:r>
        <w:rPr/>
        <w:t>知名厂商的合作，利用其规模化和国际化市场带动公司产品的规模化突破。</w:t>
      </w:r>
    </w:p>
    <w:p>
      <w:pPr>
        <w:pStyle w:val="BodyText"/>
        <w:spacing w:line="316" w:lineRule="auto"/>
        <w:ind w:left="513" w:right="90"/>
        <w:jc w:val="left"/>
      </w:pPr>
      <w:r>
        <w:rPr/>
        <w:t>②继续加大研发投入，优化研发体系，打造拳头产品。 </w:t>
      </w:r>
      <w:r>
        <w:rPr>
          <w:spacing w:val="-2"/>
        </w:rPr>
        <w:t>通过优化研发体系来提升技术转化速度，引领市场需求。以金融、电力、军工、政府四大行业为重点目标市场，以网络</w:t>
      </w:r>
    </w:p>
    <w:p>
      <w:pPr>
        <w:pStyle w:val="BodyText"/>
        <w:spacing w:line="316" w:lineRule="auto" w:before="19"/>
        <w:ind w:left="153" w:right="90"/>
        <w:jc w:val="left"/>
      </w:pPr>
      <w:r>
        <w:rPr>
          <w:spacing w:val="-2"/>
        </w:rPr>
        <w:t>防护系统和密码应用系统为主干，打造系列化高品质商用密码产品，提供商用密码相关的全面安全解决方案。在移动互联网</w:t>
      </w:r>
      <w:r>
        <w:rPr>
          <w:spacing w:val="-66"/>
        </w:rPr>
        <w:t> </w:t>
      </w:r>
      <w:r>
        <w:rPr>
          <w:spacing w:val="-66"/>
        </w:rPr>
      </w:r>
      <w:r>
        <w:rPr/>
        <w:t>安全、云计算安全、工业控制安全及金融大安全系列产品尽快打造成行业技术领先、满足用户需求的精品。</w:t>
      </w:r>
    </w:p>
    <w:p>
      <w:pPr>
        <w:pStyle w:val="BodyText"/>
        <w:spacing w:line="316" w:lineRule="auto" w:before="19"/>
        <w:ind w:left="153" w:right="191" w:firstLine="360"/>
        <w:jc w:val="both"/>
      </w:pPr>
      <w:r>
        <w:rPr>
          <w:spacing w:val="-2"/>
        </w:rPr>
        <w:t>在安全云存储、安全移动办公等新技术领域，加快产品化进程，并完成新的技术及产品规划，打造成新的拳头产品，引</w:t>
      </w:r>
      <w:r>
        <w:rPr/>
        <w:t> 领市场。</w:t>
      </w:r>
    </w:p>
    <w:p>
      <w:pPr>
        <w:pStyle w:val="BodyText"/>
        <w:spacing w:line="300" w:lineRule="auto" w:before="19"/>
        <w:ind w:left="153" w:right="188" w:firstLine="360"/>
        <w:jc w:val="both"/>
      </w:pPr>
      <w:r>
        <w:rPr/>
        <w:t>在安全支付方面，公司将不断丰富网银</w:t>
      </w:r>
      <w:r>
        <w:rPr>
          <w:spacing w:val="18"/>
        </w:rPr>
        <w:t> </w:t>
      </w:r>
      <w:r>
        <w:rPr>
          <w:rFonts w:ascii="Times New Roman" w:hAnsi="Times New Roman" w:cs="Times New Roman" w:eastAsia="Times New Roman" w:hint="default"/>
        </w:rPr>
        <w:t>B2B</w:t>
      </w:r>
      <w:r>
        <w:rPr/>
        <w:t>支付、信用卡支付、摩宝通支付、小额快捷支付等方面的能力，做强做大 </w:t>
      </w:r>
      <w:r>
        <w:rPr>
          <w:rFonts w:ascii="Times New Roman" w:hAnsi="Times New Roman" w:cs="Times New Roman" w:eastAsia="Times New Roman" w:hint="default"/>
        </w:rPr>
        <w:t>Mo</w:t>
      </w:r>
      <w:r>
        <w:rPr>
          <w:rFonts w:ascii="Times New Roman" w:hAnsi="Times New Roman" w:cs="Times New Roman" w:eastAsia="Times New Roman" w:hint="default"/>
          <w:spacing w:val="27"/>
        </w:rPr>
        <w:t> </w:t>
      </w:r>
      <w:r>
        <w:rPr/>
        <w:t>宝支付。</w:t>
      </w:r>
    </w:p>
    <w:p>
      <w:pPr>
        <w:pStyle w:val="BodyText"/>
        <w:spacing w:line="316" w:lineRule="auto" w:before="13"/>
        <w:ind w:left="513" w:right="91"/>
        <w:jc w:val="left"/>
      </w:pPr>
      <w:r>
        <w:rPr/>
        <w:t>③修订考核激励体系，完善晋升和淘汰机制 加大对各类人员更有效的考核激励力度，调整考核对应的奖金分配模式，健全不符合岗位要求人员的降薪和淘汰机制。 精简初级行政服务人员，提高对管理人员复合使用。</w:t>
      </w:r>
    </w:p>
    <w:p>
      <w:pPr>
        <w:pStyle w:val="BodyText"/>
        <w:spacing w:line="316" w:lineRule="auto" w:before="19"/>
        <w:ind w:left="513" w:right="90"/>
        <w:jc w:val="left"/>
      </w:pPr>
      <w:r>
        <w:rPr/>
        <w:t>④加强内部管理，降低运营成本，有效控制风险。 </w:t>
      </w:r>
      <w:r>
        <w:rPr>
          <w:spacing w:val="-2"/>
        </w:rPr>
        <w:t>根据《企业内部控制基本规范》的要求，积极加强内部控制建设，提升公司治理水平，进一步优化公司管理，合理控制</w:t>
      </w:r>
    </w:p>
    <w:p>
      <w:pPr>
        <w:pStyle w:val="BodyText"/>
        <w:spacing w:line="240" w:lineRule="auto" w:before="19"/>
        <w:ind w:left="153" w:right="0"/>
        <w:jc w:val="both"/>
      </w:pPr>
      <w:r>
        <w:rPr/>
        <w:t>成本，全面深入推进信息化，提高工作效率。</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4</w:t>
      </w:r>
      <w:r>
        <w:rPr/>
        <w:t>、面临的风险因素</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13" w:right="90"/>
        <w:jc w:val="left"/>
      </w:pPr>
      <w:r>
        <w:rPr/>
        <w:t>（</w:t>
      </w:r>
      <w:r>
        <w:rPr>
          <w:rFonts w:ascii="Times New Roman" w:hAnsi="Times New Roman" w:cs="Times New Roman" w:eastAsia="Times New Roman" w:hint="default"/>
        </w:rPr>
        <w:t>1</w:t>
      </w:r>
      <w:r>
        <w:rPr/>
        <w:t>）市场竞争风险</w:t>
      </w:r>
    </w:p>
    <w:p>
      <w:pPr>
        <w:pStyle w:val="BodyText"/>
        <w:spacing w:line="300" w:lineRule="auto" w:before="63"/>
        <w:ind w:left="153" w:right="188" w:firstLine="360"/>
        <w:jc w:val="both"/>
      </w:pPr>
      <w:r>
        <w:rPr/>
        <w:t>由于信息安全技术门槛较高，公司的核心能力也较难复制和模仿，但由于安全与</w:t>
      </w:r>
      <w:r>
        <w:rPr>
          <w:spacing w:val="6"/>
        </w:rPr>
        <w:t> </w:t>
      </w:r>
      <w:r>
        <w:rPr>
          <w:rFonts w:ascii="Times New Roman" w:hAnsi="Times New Roman" w:cs="Times New Roman" w:eastAsia="Times New Roman" w:hint="default"/>
        </w:rPr>
        <w:t>IT</w:t>
      </w:r>
      <w:r>
        <w:rPr/>
        <w:t>融合趋势的加剧，公司面临的市场</w:t>
      </w:r>
      <w:r>
        <w:rPr>
          <w:spacing w:val="1"/>
        </w:rPr>
        <w:t> </w:t>
      </w:r>
      <w:r>
        <w:rPr/>
        <w:t>竞争也会更为激烈，市场竞争激烈度及不可确定性将对公司规模化突破的进程构成挑战和风险。</w:t>
      </w:r>
    </w:p>
    <w:p>
      <w:pPr>
        <w:pStyle w:val="BodyText"/>
        <w:spacing w:line="300" w:lineRule="auto" w:before="31"/>
        <w:ind w:left="513" w:right="90"/>
        <w:jc w:val="left"/>
      </w:pPr>
      <w:r>
        <w:rPr/>
        <w:t>（</w:t>
      </w:r>
      <w:r>
        <w:rPr>
          <w:rFonts w:ascii="Times New Roman" w:hAnsi="Times New Roman" w:cs="Times New Roman" w:eastAsia="Times New Roman" w:hint="default"/>
        </w:rPr>
        <w:t>2</w:t>
      </w:r>
      <w:r>
        <w:rPr/>
        <w:t>）技术风险 </w:t>
      </w:r>
      <w:r>
        <w:rPr>
          <w:spacing w:val="-2"/>
        </w:rPr>
        <w:t>虽然公司目前具有核心技术优势，但信息安全应用环境和需求的快速变化以及公司规模化扩张对公司保持持续的技术领</w:t>
      </w:r>
    </w:p>
    <w:p>
      <w:pPr>
        <w:pStyle w:val="BodyText"/>
        <w:spacing w:line="316" w:lineRule="auto" w:before="31"/>
        <w:ind w:left="153" w:right="90"/>
        <w:jc w:val="left"/>
      </w:pPr>
      <w:r>
        <w:rPr>
          <w:spacing w:val="-2"/>
        </w:rPr>
        <w:t>先提出了更高的要求，如何在研发模式、研发管理方面保持有效创新，如何保证产品快速满足市场，合理平衡标准化和客制</w:t>
      </w:r>
      <w:r>
        <w:rPr>
          <w:spacing w:val="-66"/>
        </w:rPr>
        <w:t> </w:t>
      </w:r>
      <w:r>
        <w:rPr>
          <w:spacing w:val="-66"/>
        </w:rPr>
      </w:r>
      <w:r>
        <w:rPr/>
        <w:t>化的矛盾，如何保持核心技术人员的稳定，均给公司带来较大的压力。</w:t>
      </w:r>
    </w:p>
    <w:p>
      <w:pPr>
        <w:pStyle w:val="BodyText"/>
        <w:spacing w:line="300" w:lineRule="auto" w:before="19"/>
        <w:ind w:left="513" w:right="90"/>
        <w:jc w:val="left"/>
      </w:pPr>
      <w:r>
        <w:rPr/>
        <w:t>（</w:t>
      </w:r>
      <w:r>
        <w:rPr>
          <w:rFonts w:ascii="Times New Roman" w:hAnsi="Times New Roman" w:cs="Times New Roman" w:eastAsia="Times New Roman" w:hint="default"/>
        </w:rPr>
        <w:t>3</w:t>
      </w:r>
      <w:r>
        <w:rPr/>
        <w:t>）财务风险 </w:t>
      </w:r>
      <w:r>
        <w:rPr>
          <w:spacing w:val="-4"/>
        </w:rPr>
        <w:t>目前公司客户以政府部门、金融企业与军工等大型企业集团为主，应收账款总体质量较好，但随着公司销售规模的扩大，</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0"/>
        <w:jc w:val="left"/>
      </w:pPr>
      <w:r>
        <w:rPr>
          <w:spacing w:val="-2"/>
        </w:rPr>
        <w:t>中小企业和家庭甚至个人用户的增加，应收账款管理的难度加大，应收账款发生坏账的风险加大。未来需进一步紧密结合业</w:t>
      </w:r>
      <w:r>
        <w:rPr>
          <w:spacing w:val="-66"/>
        </w:rPr>
        <w:t> </w:t>
      </w:r>
      <w:r>
        <w:rPr>
          <w:spacing w:val="-66"/>
        </w:rPr>
      </w:r>
      <w:r>
        <w:rPr/>
        <w:t>务发展特点优化财务管理体系。</w:t>
      </w:r>
    </w:p>
    <w:p>
      <w:pPr>
        <w:pStyle w:val="BodyText"/>
        <w:spacing w:line="300" w:lineRule="auto" w:before="19"/>
        <w:ind w:left="513" w:right="90"/>
        <w:jc w:val="left"/>
      </w:pPr>
      <w:r>
        <w:rPr/>
        <w:t>（</w:t>
      </w:r>
      <w:r>
        <w:rPr>
          <w:rFonts w:ascii="Times New Roman" w:hAnsi="Times New Roman" w:cs="Times New Roman" w:eastAsia="Times New Roman" w:hint="default"/>
        </w:rPr>
        <w:t>4</w:t>
      </w:r>
      <w:r>
        <w:rPr/>
        <w:t>）管理风险 </w:t>
      </w:r>
      <w:r>
        <w:rPr>
          <w:spacing w:val="-4"/>
        </w:rPr>
        <w:t>公司的业务领域不断拓展、经营规模持续增长，尽管公司已建立规范的经营管理体系，生产经营良好，但随着公司业务、</w:t>
      </w:r>
    </w:p>
    <w:p>
      <w:pPr>
        <w:pStyle w:val="BodyText"/>
        <w:spacing w:line="316" w:lineRule="auto" w:before="31"/>
        <w:ind w:left="153" w:right="91"/>
        <w:jc w:val="left"/>
      </w:pPr>
      <w:r>
        <w:rPr/>
        <w:t>资产、人员规模的不断扩大以及业务模式逐渐复杂，技术创新、管理优化的要求更高更快，对经营效率的要求进一步提高， </w:t>
      </w:r>
      <w:r>
        <w:rPr>
          <w:spacing w:val="-2"/>
        </w:rPr>
        <w:t>公司经营的决策、实施和风险控制难度将增加。如公司的管理运作体系和人力资源不能满足快速发展对管理运营和管理团队</w:t>
      </w:r>
      <w:r>
        <w:rPr>
          <w:spacing w:val="-64"/>
        </w:rPr>
        <w:t> </w:t>
      </w:r>
      <w:r>
        <w:rPr>
          <w:spacing w:val="-64"/>
        </w:rPr>
      </w:r>
      <w:r>
        <w:rPr/>
        <w:t>的要求，公司未来发展将有可能受到一定影响。</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81"/>
        <w:jc w:val="left"/>
      </w:pPr>
      <w:r>
        <w:rPr/>
        <w:t>根据原控股子公司沈阳卫士通网络安全有限责任公司股东会决议，该公司于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日实施清算，故自该日起不再将其 纳入合并财务报表范围，截至报告日工商注销登记手续尚在办理中。</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九、公司利润分配及分红派息情况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90" w:hanging="291"/>
        <w:jc w:val="left"/>
      </w:pPr>
      <w:r>
        <w:rPr/>
        <w:t>报告期内利润分配政策特别是现金分红政策的制定、执行或调整情况 </w:t>
      </w:r>
      <w:r>
        <w:rPr>
          <w:spacing w:val="-1"/>
        </w:rPr>
        <w:t>根据中国证监会相关规定和要求，报告期内对公司《章程》中关于利润分配政策的部分条款进行了修改，对现金分红政</w:t>
      </w:r>
    </w:p>
    <w:p>
      <w:pPr>
        <w:pStyle w:val="BodyText"/>
        <w:spacing w:line="237" w:lineRule="exact"/>
        <w:ind w:left="153" w:right="0"/>
        <w:jc w:val="both"/>
      </w:pPr>
      <w:r>
        <w:rPr/>
        <w:t>策进行了进一步的细化</w:t>
      </w:r>
      <w:r>
        <w:rPr>
          <w:spacing w:val="-88"/>
        </w:rPr>
        <w:t>，</w:t>
      </w:r>
      <w:r>
        <w:rPr/>
        <w:t>并已经公司第五届董事会第十次会议及公司</w:t>
      </w:r>
      <w:r>
        <w:rPr>
          <w:rFonts w:ascii="Times New Roman" w:hAnsi="Times New Roman" w:cs="Times New Roman" w:eastAsia="Times New Roman" w:hint="default"/>
        </w:rPr>
        <w:t>2012</w:t>
      </w:r>
      <w:r>
        <w:rPr/>
        <w:t>年第一次临时股东大会审议通过</w:t>
      </w:r>
      <w:r>
        <w:rPr>
          <w:spacing w:val="-88"/>
        </w:rPr>
        <w:t>。</w:t>
      </w:r>
      <w:r>
        <w:rPr/>
        <w:t>修订后的公</w:t>
      </w:r>
      <w:r>
        <w:rPr>
          <w:spacing w:val="-88"/>
        </w:rPr>
        <w:t>司</w:t>
      </w:r>
      <w:r>
        <w:rPr/>
        <w:t>《章</w:t>
      </w:r>
    </w:p>
    <w:p>
      <w:pPr>
        <w:pStyle w:val="BodyText"/>
        <w:spacing w:line="316" w:lineRule="auto" w:before="63"/>
        <w:ind w:left="153" w:right="191"/>
        <w:jc w:val="both"/>
      </w:pPr>
      <w:r>
        <w:rPr>
          <w:spacing w:val="-2"/>
        </w:rPr>
        <w:t>程》规定了利润分配具体政策和利润分配的审议程序，明确了实施现金分红的条件和比例、利润分配的期间间隔；规定独立</w:t>
      </w:r>
      <w:r>
        <w:rPr>
          <w:spacing w:val="-66"/>
        </w:rPr>
        <w:t> </w:t>
      </w:r>
      <w:r>
        <w:rPr>
          <w:spacing w:val="-66"/>
        </w:rPr>
      </w:r>
      <w:r>
        <w:rPr>
          <w:spacing w:val="-2"/>
        </w:rPr>
        <w:t>董事应对利润分配预案发表独立意见，同时充分听取中小股东的意见和诉求，维护中小股东的合法权益；需要调整或者变更</w:t>
      </w:r>
      <w:r>
        <w:rPr>
          <w:spacing w:val="-66"/>
        </w:rPr>
        <w:t> </w:t>
      </w:r>
      <w:r>
        <w:rPr>
          <w:spacing w:val="-66"/>
        </w:rPr>
      </w:r>
      <w:r>
        <w:rPr/>
        <w:t>利润分配政策时，需经董事会审议通过后提交股东大会审议。</w:t>
      </w:r>
    </w:p>
    <w:p>
      <w:pPr>
        <w:pStyle w:val="BodyText"/>
        <w:spacing w:line="240" w:lineRule="auto" w:before="19"/>
        <w:ind w:left="516" w:right="90"/>
        <w:jc w:val="left"/>
      </w:pPr>
      <w:r>
        <w:rPr/>
        <w:t>经公司第五届董事会第十次会议及公司</w:t>
      </w:r>
      <w:r>
        <w:rPr>
          <w:rFonts w:ascii="Times New Roman" w:hAnsi="Times New Roman" w:cs="Times New Roman" w:eastAsia="Times New Roman" w:hint="default"/>
        </w:rPr>
        <w:t>2012</w:t>
      </w:r>
      <w:r>
        <w:rPr/>
        <w:t>年度第一次临时股东大会审议通过，公司制定并发布了《未来三年</w:t>
      </w:r>
    </w:p>
    <w:p>
      <w:pPr>
        <w:pStyle w:val="BodyText"/>
        <w:spacing w:line="309" w:lineRule="auto" w:before="63"/>
        <w:ind w:left="153" w:right="190"/>
        <w:jc w:val="both"/>
      </w:pPr>
      <w:r>
        <w:rPr/>
        <w:t>（</w:t>
      </w:r>
      <w:r>
        <w:rPr>
          <w:rFonts w:ascii="Times New Roman" w:hAnsi="Times New Roman" w:cs="Times New Roman" w:eastAsia="Times New Roman" w:hint="default"/>
        </w:rPr>
        <w:t>2012-2014</w:t>
      </w:r>
      <w:r>
        <w:rPr/>
        <w:t>年）股东回报规划》，对公司未来三年的股利分配原则、分配方式、现金分红条件、分红比例等情况进行了明 </w:t>
      </w:r>
      <w:r>
        <w:rPr>
          <w:spacing w:val="-2"/>
        </w:rPr>
        <w:t>确阐述，对股东回报规划的制定周期和决策机制进行了规定，有利于提高公司利润分配政策透明度，推动公司建立科学、持</w:t>
      </w:r>
      <w:r>
        <w:rPr>
          <w:spacing w:val="-66"/>
        </w:rPr>
        <w:t> </w:t>
      </w:r>
      <w:r>
        <w:rPr>
          <w:spacing w:val="-66"/>
        </w:rPr>
      </w:r>
      <w:r>
        <w:rPr/>
        <w:t>续、稳定的分红决策和监督机制。</w:t>
      </w:r>
    </w:p>
    <w:p>
      <w:pPr>
        <w:pStyle w:val="BodyText"/>
        <w:spacing w:line="240" w:lineRule="auto" w:before="65"/>
        <w:ind w:left="153" w:right="0"/>
        <w:jc w:val="both"/>
      </w:pPr>
      <w:r>
        <w:rPr/>
        <w:t>本年度利润分配及资本公积金转增股本预案</w:t>
      </w:r>
    </w:p>
    <w:p>
      <w:pPr>
        <w:pStyle w:val="BodyText"/>
        <w:spacing w:line="240" w:lineRule="auto" w:before="117"/>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143,445,297.90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pStyle w:val="BodyText"/>
        <w:spacing w:line="240" w:lineRule="auto" w:before="52"/>
        <w:ind w:right="9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2" w:lineRule="auto" w:before="101"/>
        <w:ind w:right="172"/>
        <w:jc w:val="left"/>
      </w:pPr>
      <w:r>
        <w:rPr/>
        <w:t>公司</w:t>
      </w:r>
      <w:r>
        <w:rPr>
          <w:spacing w:val="-41"/>
        </w:rPr>
        <w:t> </w:t>
      </w:r>
      <w:r>
        <w:rPr>
          <w:rFonts w:ascii="Times New Roman" w:hAnsi="Times New Roman" w:cs="Times New Roman" w:eastAsia="Times New Roman" w:hint="default"/>
        </w:rPr>
        <w:t>2012</w:t>
      </w:r>
      <w:r>
        <w:rPr/>
        <w:t>年度利润分配和资本公积金转增股本预案：以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spacing w:val="-41"/>
        </w:rPr>
        <w:t> </w:t>
      </w:r>
      <w:r>
        <w:rPr>
          <w:rFonts w:ascii="Times New Roman" w:hAnsi="Times New Roman" w:cs="Times New Roman" w:eastAsia="Times New Roman" w:hint="default"/>
        </w:rPr>
        <w:t>172,712,065</w:t>
      </w:r>
      <w:r>
        <w:rPr/>
        <w:t>为基数，向全体股东每</w:t>
      </w:r>
      <w:r>
        <w:rPr>
          <w:rFonts w:ascii="Times New Roman" w:hAnsi="Times New Roman" w:cs="Times New Roman" w:eastAsia="Times New Roman" w:hint="default"/>
        </w:rPr>
        <w:t>10</w:t>
      </w:r>
      <w:r>
        <w:rPr/>
        <w:t>股派发 现金红利</w:t>
      </w:r>
      <w:r>
        <w:rPr>
          <w:rFonts w:ascii="Times New Roman" w:hAnsi="Times New Roman" w:cs="Times New Roman" w:eastAsia="Times New Roman" w:hint="default"/>
        </w:rPr>
        <w:t>0.1</w:t>
      </w:r>
      <w:r>
        <w:rPr/>
        <w:t>元（含税）。</w:t>
      </w:r>
    </w:p>
    <w:p>
      <w:pPr>
        <w:pStyle w:val="BodyText"/>
        <w:spacing w:line="302" w:lineRule="auto" w:before="50"/>
        <w:ind w:right="172"/>
        <w:jc w:val="left"/>
      </w:pPr>
      <w:r>
        <w:rPr/>
        <w:t>公司</w:t>
      </w:r>
      <w:r>
        <w:rPr>
          <w:spacing w:val="-41"/>
        </w:rPr>
        <w:t> </w:t>
      </w:r>
      <w:r>
        <w:rPr>
          <w:rFonts w:ascii="Times New Roman" w:hAnsi="Times New Roman" w:cs="Times New Roman" w:eastAsia="Times New Roman" w:hint="default"/>
        </w:rPr>
        <w:t>2011</w:t>
      </w:r>
      <w:r>
        <w:rPr/>
        <w:t>年度利润分配和资本公积金转增股本预案：以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spacing w:val="-41"/>
        </w:rPr>
        <w:t> </w:t>
      </w:r>
      <w:r>
        <w:rPr>
          <w:rFonts w:ascii="Times New Roman" w:hAnsi="Times New Roman" w:cs="Times New Roman" w:eastAsia="Times New Roman" w:hint="default"/>
        </w:rPr>
        <w:t>172,712,065</w:t>
      </w:r>
      <w:r>
        <w:rPr/>
        <w:t>为基数，向全体股东每</w:t>
      </w:r>
      <w:r>
        <w:rPr>
          <w:rFonts w:ascii="Times New Roman" w:hAnsi="Times New Roman" w:cs="Times New Roman" w:eastAsia="Times New Roman" w:hint="default"/>
        </w:rPr>
        <w:t>10</w:t>
      </w:r>
      <w:r>
        <w:rPr/>
        <w:t>股派发 现金红利</w:t>
      </w:r>
      <w:r>
        <w:rPr>
          <w:rFonts w:ascii="Times New Roman" w:hAnsi="Times New Roman" w:cs="Times New Roman" w:eastAsia="Times New Roman" w:hint="default"/>
        </w:rPr>
        <w:t>0.5</w:t>
      </w:r>
      <w:r>
        <w:rPr/>
        <w:t>元（含税）。</w:t>
      </w:r>
    </w:p>
    <w:p>
      <w:pPr>
        <w:pStyle w:val="BodyText"/>
        <w:spacing w:line="302" w:lineRule="auto" w:before="49"/>
        <w:ind w:right="172"/>
        <w:jc w:val="left"/>
      </w:pPr>
      <w:r>
        <w:rPr/>
        <w:t>公司</w:t>
      </w:r>
      <w:r>
        <w:rPr>
          <w:spacing w:val="-41"/>
        </w:rPr>
        <w:t> </w:t>
      </w:r>
      <w:r>
        <w:rPr>
          <w:rFonts w:ascii="Times New Roman" w:hAnsi="Times New Roman" w:cs="Times New Roman" w:eastAsia="Times New Roman" w:hint="default"/>
        </w:rPr>
        <w:t>2010</w:t>
      </w:r>
      <w:r>
        <w:rPr/>
        <w:t>年度利润分配和资本公积金转增股本预案：以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spacing w:val="-41"/>
        </w:rPr>
        <w:t> </w:t>
      </w:r>
      <w:r>
        <w:rPr>
          <w:rFonts w:ascii="Times New Roman" w:hAnsi="Times New Roman" w:cs="Times New Roman" w:eastAsia="Times New Roman" w:hint="default"/>
        </w:rPr>
        <w:t>132,855,435</w:t>
      </w:r>
      <w:r>
        <w:rPr/>
        <w:t>为基数，向全体股东每</w:t>
      </w:r>
      <w:r>
        <w:rPr>
          <w:rFonts w:ascii="Times New Roman" w:hAnsi="Times New Roman" w:cs="Times New Roman" w:eastAsia="Times New Roman" w:hint="default"/>
        </w:rPr>
        <w:t>10</w:t>
      </w:r>
      <w:r>
        <w:rPr/>
        <w:t>股派发 现金红利</w:t>
      </w:r>
      <w:r>
        <w:rPr>
          <w:rFonts w:ascii="Times New Roman" w:hAnsi="Times New Roman" w:cs="Times New Roman" w:eastAsia="Times New Roman" w:hint="default"/>
        </w:rPr>
        <w:t>2</w:t>
      </w:r>
      <w:r>
        <w:rPr/>
        <w:t>元（含税），并以资本公积每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240" w:lineRule="auto" w:before="50"/>
        <w:ind w:right="90"/>
        <w:jc w:val="left"/>
      </w:pPr>
      <w:r>
        <w:rPr/>
        <w:t>公司近三年现金分红情况表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41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2"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1,727,120.65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17,872,345.54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8,635,603.25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86,496,177.37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26,571,087.00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65,105,204.03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40.81%</w:t>
            </w: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400" w:firstLine="290"/>
        <w:jc w:val="both"/>
      </w:pPr>
      <w:r>
        <w:rPr/>
        <w:t>公司积极履行企业公民应尽的义务，承担社会责任，在致力于生产经营、不断为股东创造价值的同时，充分尊重员工、 </w:t>
      </w:r>
      <w:r>
        <w:rPr>
          <w:spacing w:val="-2"/>
        </w:rPr>
        <w:t>客户、供应商及其他利益相关者的合法权益，积极与各方合作，加强沟通与交流，实现股东、员工、上下游合合作者、社会</w:t>
      </w:r>
      <w:r>
        <w:rPr>
          <w:spacing w:val="-65"/>
        </w:rPr>
        <w:t> </w:t>
      </w:r>
      <w:r>
        <w:rPr>
          <w:spacing w:val="-65"/>
        </w:rPr>
      </w:r>
      <w:r>
        <w:rPr/>
        <w:t>等各方力量的均衡，推动公司持续、稳定、健康发展。</w:t>
      </w:r>
    </w:p>
    <w:p>
      <w:pPr>
        <w:pStyle w:val="BodyText"/>
        <w:spacing w:line="307" w:lineRule="auto" w:before="19"/>
        <w:ind w:left="153" w:right="406" w:firstLine="506"/>
        <w:jc w:val="both"/>
      </w:pPr>
      <w:r>
        <w:rPr>
          <w:rFonts w:ascii="Times New Roman" w:hAnsi="Times New Roman" w:cs="Times New Roman" w:eastAsia="Times New Roman" w:hint="default"/>
        </w:rPr>
        <w:t>1</w:t>
      </w:r>
      <w:r>
        <w:rPr/>
        <w:t>、公司采取积极方式回报投资者。报告期内，公司对《章程》中关于利润分配政策的相关条款作了修订，推动公司 完善和健全科学、持续、稳定的分红决策和监督机制，并发布了《未来三年（</w:t>
      </w:r>
      <w:r>
        <w:rPr>
          <w:rFonts w:ascii="Times New Roman" w:hAnsi="Times New Roman" w:cs="Times New Roman" w:eastAsia="Times New Roman" w:hint="default"/>
        </w:rPr>
        <w:t>2012-2014</w:t>
      </w:r>
      <w:r>
        <w:rPr/>
        <w:t>年）股东回报规划》，进一步增强</w:t>
      </w:r>
      <w:r>
        <w:rPr>
          <w:spacing w:val="-57"/>
        </w:rPr>
        <w:t> </w:t>
      </w:r>
      <w:r>
        <w:rPr>
          <w:spacing w:val="-57"/>
        </w:rPr>
      </w:r>
      <w:r>
        <w:rPr>
          <w:spacing w:val="-2"/>
        </w:rPr>
        <w:t>利润分配政策的透明度；公司按照相关法律法规要求，及时、真实、准确、完整地进行信息披露，通过接待现场调研、接听</w:t>
      </w:r>
      <w:r>
        <w:rPr>
          <w:spacing w:val="-65"/>
        </w:rPr>
        <w:t> </w:t>
      </w:r>
      <w:r>
        <w:rPr>
          <w:spacing w:val="-65"/>
        </w:rPr>
      </w:r>
      <w:r>
        <w:rPr/>
        <w:t>电话咨询、网上答疑、网站设置专区等多种途径与投资者进行沟通，增强了投资者对公司的了解。</w:t>
      </w:r>
    </w:p>
    <w:p>
      <w:pPr>
        <w:pStyle w:val="BodyText"/>
        <w:spacing w:line="309" w:lineRule="auto" w:before="26"/>
        <w:ind w:left="153" w:right="408" w:firstLine="506"/>
        <w:jc w:val="both"/>
      </w:pPr>
      <w:r>
        <w:rPr>
          <w:rFonts w:ascii="Times New Roman" w:hAnsi="Times New Roman" w:cs="Times New Roman" w:eastAsia="Times New Roman" w:hint="default"/>
        </w:rPr>
        <w:t>2</w:t>
      </w:r>
      <w:r>
        <w:rPr/>
        <w:t>、公司切实维护员工权益。报告期内，公司严格遵守《劳动法》、《劳动合同法》、《妇女权益保护法》等相关法 </w:t>
      </w:r>
      <w:r>
        <w:rPr>
          <w:spacing w:val="-2"/>
        </w:rPr>
        <w:t>律法规，尊重和维护员工权益，为员工提供安全、整洁的工作环境，关心员工身心健康，注重员工知识和技能提高，努力提</w:t>
      </w:r>
      <w:r>
        <w:rPr>
          <w:spacing w:val="-68"/>
        </w:rPr>
        <w:t> </w:t>
      </w:r>
      <w:r>
        <w:rPr>
          <w:spacing w:val="-68"/>
        </w:rPr>
      </w:r>
      <w:r>
        <w:rPr/>
        <w:t>高员工满意度，实现企业和员工的同步成长与发展。</w:t>
      </w:r>
    </w:p>
    <w:p>
      <w:pPr>
        <w:pStyle w:val="BodyText"/>
        <w:spacing w:line="240" w:lineRule="auto" w:before="24"/>
        <w:ind w:left="660" w:right="0"/>
        <w:jc w:val="left"/>
      </w:pPr>
      <w:r>
        <w:rPr>
          <w:rFonts w:ascii="Times New Roman" w:hAnsi="Times New Roman" w:cs="Times New Roman" w:eastAsia="Times New Roman" w:hint="default"/>
        </w:rPr>
        <w:t>3</w:t>
      </w:r>
      <w:r>
        <w:rPr/>
        <w:t>、公司诚信经营，努力为客户提供合格的产品和优质的服务，建立良好客户关系，完善售后服务，实现与用户双赢。</w:t>
      </w:r>
    </w:p>
    <w:p>
      <w:pPr>
        <w:pStyle w:val="BodyText"/>
        <w:spacing w:line="300" w:lineRule="auto" w:before="63"/>
        <w:ind w:left="153" w:right="409" w:firstLine="506"/>
        <w:jc w:val="both"/>
      </w:pPr>
      <w:r>
        <w:rPr>
          <w:rFonts w:ascii="Times New Roman" w:hAnsi="Times New Roman" w:cs="Times New Roman" w:eastAsia="Times New Roman" w:hint="default"/>
        </w:rPr>
        <w:t>4</w:t>
      </w:r>
      <w:r>
        <w:rPr/>
        <w:t>、公司在追求经济效益的同时积极承担社会责任，履行纳税人职责，注重环境保护，在生产过程中无废气污染物排 放，倡导节约型和低碳化办公。</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十一、报告期内接待调研、沟通、采访等活动登记表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058"/>
        <w:gridCol w:w="850"/>
        <w:gridCol w:w="709"/>
        <w:gridCol w:w="1418"/>
        <w:gridCol w:w="4393"/>
      </w:tblGrid>
      <w:tr>
        <w:trPr>
          <w:trHeight w:val="709"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4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1"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鸿道投资</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公司业务情况</w:t>
            </w:r>
          </w:p>
        </w:tc>
      </w:tr>
      <w:tr>
        <w:trPr>
          <w:trHeight w:val="71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上海混沌道然资 产管理</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智能电网情况；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摩宝业务情况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我公司在国家电网项目中是否中标？金额多少？是否会 公告？</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摩宝的主要竞争对手有哪些？有以做安全业务为主的母 公司有何优势？</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广州瑞千投资</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蝙蝠支付终端设备成本如何？</w:t>
            </w:r>
            <w:r>
              <w:rPr>
                <w:rFonts w:ascii="Times New Roman" w:hAnsi="Times New Roman" w:cs="Times New Roman" w:eastAsia="Times New Roman" w:hint="default"/>
                <w:sz w:val="18"/>
                <w:szCs w:val="18"/>
              </w:rPr>
              <w:t>2.</w:t>
            </w:r>
            <w:r>
              <w:rPr>
                <w:rFonts w:ascii="宋体" w:hAnsi="宋体" w:cs="宋体" w:eastAsia="宋体" w:hint="default"/>
                <w:sz w:val="18"/>
                <w:szCs w:val="18"/>
              </w:rPr>
              <w:t>移动支付业务推广情 况如何？</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公司订单确认为收入的周期一般是多长？</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一季度净利润为负值的原因。</w:t>
            </w:r>
            <w:r>
              <w:rPr>
                <w:rFonts w:ascii="Times New Roman" w:hAnsi="Times New Roman" w:cs="Times New Roman" w:eastAsia="Times New Roman" w:hint="default"/>
                <w:sz w:val="18"/>
                <w:szCs w:val="18"/>
              </w:rPr>
              <w:t>2.</w:t>
            </w:r>
            <w:r>
              <w:rPr>
                <w:rFonts w:ascii="宋体" w:hAnsi="宋体" w:cs="宋体" w:eastAsia="宋体" w:hint="default"/>
                <w:sz w:val="18"/>
                <w:szCs w:val="18"/>
              </w:rPr>
              <w:t>支付业务价值如何？</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123"/>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应巧剑</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公司毛利率下降的原因。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720"/>
        </w:sectPr>
      </w:pPr>
    </w:p>
    <w:p>
      <w:pPr>
        <w:spacing w:line="240" w:lineRule="auto" w:before="0"/>
        <w:rPr>
          <w:rFonts w:ascii="宋体" w:hAnsi="宋体" w:cs="宋体" w:eastAsia="宋体" w:hint="default"/>
          <w:b/>
          <w:bCs/>
          <w:sz w:val="20"/>
          <w:szCs w:val="20"/>
        </w:rPr>
      </w:pPr>
      <w:r>
        <w:rPr/>
        <w:pict>
          <v:shape style="position:absolute;margin-left:56.459999pt;margin-top:71.999962pt;width:496.9pt;height:685.4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058"/>
                    <w:gridCol w:w="850"/>
                    <w:gridCol w:w="709"/>
                    <w:gridCol w:w="1418"/>
                    <w:gridCol w:w="4393"/>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应巧剑</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公司服务器密码机是否是国网唯一指定供应商？</w:t>
                        </w:r>
                        <w:r>
                          <w:rPr>
                            <w:rFonts w:ascii="Times New Roman" w:hAnsi="Times New Roman" w:cs="Times New Roman" w:eastAsia="Times New Roman" w:hint="default"/>
                            <w:sz w:val="18"/>
                            <w:szCs w:val="18"/>
                          </w:rPr>
                          <w:t>2.</w:t>
                        </w:r>
                        <w:r>
                          <w:rPr>
                            <w:rFonts w:ascii="宋体" w:hAnsi="宋体" w:cs="宋体" w:eastAsia="宋体" w:hint="default"/>
                            <w:sz w:val="18"/>
                            <w:szCs w:val="18"/>
                          </w:rPr>
                          <w:t>南 方电网派网自动化安全保护项目，公司是否有参与？</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公司销售是否以密码产品为主？</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今年公司新的业绩 增长点有哪些？</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华睿投资</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公司在云计算方面的投入情况。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经济形势对公司的业务影响如何？</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第三方支付的盈利模式与推广模式是怎样的？</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公司业绩分布不均匀的原因是什么？</w:t>
                        </w:r>
                      </w:p>
                    </w:tc>
                  </w:tr>
                  <w:tr>
                    <w:trPr>
                      <w:trHeight w:val="25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公司第一会 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3"/>
                          <w:jc w:val="left"/>
                          <w:rPr>
                            <w:rFonts w:ascii="宋体" w:hAnsi="宋体" w:cs="宋体" w:eastAsia="宋体" w:hint="default"/>
                            <w:sz w:val="18"/>
                            <w:szCs w:val="18"/>
                          </w:rPr>
                        </w:pPr>
                        <w:r>
                          <w:rPr>
                            <w:rFonts w:ascii="宋体" w:hAnsi="宋体" w:cs="宋体" w:eastAsia="宋体" w:hint="default"/>
                            <w:spacing w:val="-3"/>
                            <w:sz w:val="18"/>
                            <w:szCs w:val="18"/>
                          </w:rPr>
                          <w:t>航天证券侯卜魁，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中邮基金徐立平，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六禾投资韩中邮</w:t>
                        </w:r>
                        <w:r>
                          <w:rPr>
                            <w:rFonts w:ascii="宋体" w:hAnsi="宋体" w:cs="宋体" w:eastAsia="宋体" w:hint="default"/>
                            <w:sz w:val="18"/>
                            <w:szCs w:val="18"/>
                          </w:rPr>
                          <w:t> </w:t>
                        </w:r>
                        <w:r>
                          <w:rPr>
                            <w:rFonts w:ascii="宋体" w:hAnsi="宋体" w:cs="宋体" w:eastAsia="宋体" w:hint="default"/>
                            <w:spacing w:val="-10"/>
                            <w:sz w:val="18"/>
                            <w:szCs w:val="18"/>
                          </w:rPr>
                          <w:t>基金徐立平立、代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文超，混沌道然资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产奚诚</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，单机产品和系统产品怎么划分？</w:t>
                        </w:r>
                        <w:r>
                          <w:rPr>
                            <w:rFonts w:ascii="Times New Roman" w:hAnsi="Times New Roman" w:cs="Times New Roman" w:eastAsia="Times New Roman" w:hint="default"/>
                            <w:spacing w:val="-4"/>
                            <w:sz w:val="18"/>
                            <w:szCs w:val="18"/>
                          </w:rPr>
                          <w:t>2,2011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年安全集成的</w:t>
                        </w:r>
                        <w:r>
                          <w:rPr>
                            <w:rFonts w:ascii="宋体" w:hAnsi="宋体" w:cs="宋体" w:eastAsia="宋体" w:hint="default"/>
                            <w:spacing w:val="-87"/>
                            <w:sz w:val="18"/>
                            <w:szCs w:val="18"/>
                          </w:rPr>
                          <w:t> </w:t>
                        </w:r>
                        <w:r>
                          <w:rPr>
                            <w:rFonts w:ascii="宋体" w:hAnsi="宋体" w:cs="宋体" w:eastAsia="宋体" w:hint="default"/>
                            <w:sz w:val="18"/>
                            <w:szCs w:val="18"/>
                          </w:rPr>
                          <w:t>毛利率降低明显，原因？</w:t>
                        </w:r>
                        <w:r>
                          <w:rPr>
                            <w:rFonts w:ascii="Times New Roman" w:hAnsi="Times New Roman" w:cs="Times New Roman" w:eastAsia="Times New Roman" w:hint="default"/>
                            <w:sz w:val="18"/>
                            <w:szCs w:val="18"/>
                          </w:rPr>
                          <w:t>3,30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所的主营业务是什么？</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关联交易发生的业务原因是什么？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，三零盛安的主营业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务是什么？</w:t>
                        </w: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年的经营目标是怎么样的？</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公司的安全集成业务对人员的要求是否很高？</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，公司单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机产品中，密码产品与非密码产品比例各为多少？</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，销</w:t>
                        </w:r>
                        <w:r>
                          <w:rPr>
                            <w:rFonts w:ascii="宋体" w:hAnsi="宋体" w:cs="宋体" w:eastAsia="宋体" w:hint="default"/>
                            <w:spacing w:val="-73"/>
                            <w:sz w:val="18"/>
                            <w:szCs w:val="18"/>
                          </w:rPr>
                          <w:t> </w:t>
                        </w:r>
                        <w:r>
                          <w:rPr>
                            <w:rFonts w:ascii="宋体" w:hAnsi="宋体" w:cs="宋体" w:eastAsia="宋体" w:hint="default"/>
                            <w:sz w:val="18"/>
                            <w:szCs w:val="18"/>
                          </w:rPr>
                          <w:t>售考核模式是怎样的？</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，公司费用控制方面有些什么 计划？</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公司股价持续走低的原因。</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戴女士</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公司半年度业绩预亏的主要原因。</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公司信息披露情况是否规范。</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王国志</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公司调研的手续。</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摩宝的广告建议更广泛地发布，抓住先发优势。</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公司是否现在的订单难以支持预计的收益？</w:t>
                        </w:r>
                        <w:r>
                          <w:rPr>
                            <w:rFonts w:ascii="Times New Roman" w:hAnsi="Times New Roman" w:cs="Times New Roman" w:eastAsia="Times New Roman" w:hint="default"/>
                            <w:sz w:val="18"/>
                            <w:szCs w:val="18"/>
                          </w:rPr>
                          <w:t>2.</w:t>
                        </w:r>
                        <w:r>
                          <w:rPr>
                            <w:rFonts w:ascii="宋体" w:hAnsi="宋体" w:cs="宋体" w:eastAsia="宋体" w:hint="default"/>
                            <w:sz w:val="18"/>
                            <w:szCs w:val="18"/>
                          </w:rPr>
                          <w:t>摩宝的 移动支付业务进展如何？</w:t>
                        </w:r>
                        <w:r>
                          <w:rPr>
                            <w:rFonts w:ascii="Times New Roman" w:hAnsi="Times New Roman" w:cs="Times New Roman" w:eastAsia="Times New Roman" w:hint="default"/>
                            <w:sz w:val="18"/>
                            <w:szCs w:val="18"/>
                          </w:rPr>
                          <w:t>3.</w:t>
                        </w:r>
                        <w:r>
                          <w:rPr>
                            <w:rFonts w:ascii="宋体" w:hAnsi="宋体" w:cs="宋体" w:eastAsia="宋体" w:hint="default"/>
                            <w:sz w:val="18"/>
                            <w:szCs w:val="18"/>
                          </w:rPr>
                          <w:t>蝙蝠支付是否获得有关方面 批准？</w:t>
                        </w:r>
                        <w:r>
                          <w:rPr>
                            <w:rFonts w:ascii="Times New Roman" w:hAnsi="Times New Roman" w:cs="Times New Roman" w:eastAsia="Times New Roman" w:hint="default"/>
                            <w:sz w:val="18"/>
                            <w:szCs w:val="18"/>
                          </w:rPr>
                          <w:t>4.</w:t>
                        </w:r>
                        <w:r>
                          <w:rPr>
                            <w:rFonts w:ascii="宋体" w:hAnsi="宋体" w:cs="宋体" w:eastAsia="宋体" w:hint="default"/>
                            <w:sz w:val="18"/>
                            <w:szCs w:val="18"/>
                          </w:rPr>
                          <w:t>面对股价的不景气，公司领导有什么打算？</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业绩分布不均匀的原因是什么？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年的业绩 目标能否实现。</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公司的业绩情况如何？</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公司的成长点。</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3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业绩分布不均匀的原因是什么？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公司订单情况如 何？</w:t>
                        </w:r>
                      </w:p>
                    </w:tc>
                  </w:tr>
                  <w:tr>
                    <w:trPr>
                      <w:trHeight w:val="32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23"/>
                          <w:jc w:val="left"/>
                          <w:rPr>
                            <w:rFonts w:ascii="宋体" w:hAnsi="宋体" w:cs="宋体" w:eastAsia="宋体" w:hint="default"/>
                            <w:sz w:val="18"/>
                            <w:szCs w:val="18"/>
                          </w:rPr>
                        </w:pPr>
                        <w:r>
                          <w:rPr>
                            <w:rFonts w:ascii="宋体" w:hAnsi="宋体" w:cs="宋体" w:eastAsia="宋体" w:hint="default"/>
                            <w:sz w:val="18"/>
                            <w:szCs w:val="18"/>
                          </w:rPr>
                          <w:t>公司第一会 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华夏基金何飞</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、公司产品怎么分类的？主要针对哪些市场？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w:t>
                        </w:r>
                        <w:r>
                          <w:rPr>
                            <w:rFonts w:ascii="宋体" w:hAnsi="宋体" w:cs="宋体" w:eastAsia="宋体" w:hint="default"/>
                            <w:spacing w:val="-3"/>
                            <w:sz w:val="18"/>
                            <w:szCs w:val="18"/>
                          </w:rPr>
                          <w:t>的技术发展方向主要是哪些？</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、公司在电力市场的竞争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力如何？</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、公司云计算主要针对的目标市场是哪些？</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在移动互联网领域，公司有些什么动作？公司的主要产 品有哪些？在移动支付领域，公司怎么看待银联的动 </w:t>
                        </w:r>
                        <w:r>
                          <w:rPr>
                            <w:rFonts w:ascii="宋体" w:hAnsi="宋体" w:cs="宋体" w:eastAsia="宋体" w:hint="default"/>
                            <w:spacing w:val="-3"/>
                            <w:sz w:val="18"/>
                            <w:szCs w:val="18"/>
                          </w:rPr>
                          <w:t>作？</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、公司在工业控制系统领域主要针对哪些行业？</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公司最近半年来人事变动较为频繁，会不会导致公司经 营思路发生重大改变？会不会对客户资源等方面造成影 </w:t>
                        </w:r>
                        <w:r>
                          <w:rPr>
                            <w:rFonts w:ascii="宋体" w:hAnsi="宋体" w:cs="宋体" w:eastAsia="宋体" w:hint="default"/>
                            <w:spacing w:val="-3"/>
                            <w:sz w:val="18"/>
                            <w:szCs w:val="18"/>
                          </w:rPr>
                          <w:t>响？</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、下一代互联网推进进程如何？公司在此业务领域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竞争力如何？</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、公司今年的经营目标如何？</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BodyText"/>
        <w:spacing w:line="240" w:lineRule="auto" w:before="44"/>
        <w:ind w:left="0" w:right="122"/>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2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left="0" w:right="10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03"/>
        <w:jc w:val="right"/>
      </w:pPr>
      <w:r>
        <w:rPr/>
        <w:t>、</w:t>
      </w:r>
    </w:p>
    <w:p>
      <w:pPr>
        <w:spacing w:after="0" w:line="240" w:lineRule="auto"/>
        <w:jc w:val="right"/>
        <w:sectPr>
          <w:pgSz w:w="11910" w:h="16840"/>
          <w:pgMar w:header="747" w:footer="982" w:top="1060" w:bottom="1180" w:left="980" w:right="680"/>
        </w:sectPr>
      </w:pPr>
    </w:p>
    <w:p>
      <w:pPr>
        <w:spacing w:line="240" w:lineRule="auto" w:before="0"/>
        <w:rPr>
          <w:rFonts w:ascii="宋体" w:hAnsi="宋体" w:cs="宋体" w:eastAsia="宋体" w:hint="default"/>
          <w:sz w:val="20"/>
          <w:szCs w:val="20"/>
        </w:rPr>
      </w:pPr>
      <w:r>
        <w:rPr/>
        <w:pict>
          <v:shape style="position:absolute;margin-left:56.459999pt;margin-top:71.999962pt;width:496.9pt;height:696.3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058"/>
                    <w:gridCol w:w="850"/>
                    <w:gridCol w:w="709"/>
                    <w:gridCol w:w="1418"/>
                    <w:gridCol w:w="4393"/>
                  </w:tblGrid>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公司第一会 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5"/>
                          <w:jc w:val="left"/>
                          <w:rPr>
                            <w:rFonts w:ascii="宋体" w:hAnsi="宋体" w:cs="宋体" w:eastAsia="宋体" w:hint="default"/>
                            <w:sz w:val="18"/>
                            <w:szCs w:val="18"/>
                          </w:rPr>
                        </w:pPr>
                        <w:r>
                          <w:rPr>
                            <w:rFonts w:ascii="宋体" w:hAnsi="宋体" w:cs="宋体" w:eastAsia="宋体" w:hint="default"/>
                            <w:sz w:val="18"/>
                            <w:szCs w:val="18"/>
                          </w:rPr>
                          <w:t>宏铭投资陈铭锡 新华信托郑琢璞</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exact" w:before="1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、公司的产品市场空间如何？公司将会在哪些方面做强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做大？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、公司半年度业绩利润预计与上年相比有较大下</w:t>
                        </w:r>
                      </w:p>
                      <w:p>
                        <w:pPr>
                          <w:pStyle w:val="TableParagraph"/>
                          <w:spacing w:line="79"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滑，原因在于哪里？</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、公司费用控制情况较好，但集成</w:t>
                        </w:r>
                      </w:p>
                      <w:p>
                        <w:pPr>
                          <w:pStyle w:val="TableParagraph"/>
                          <w:spacing w:line="319"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产品的毛利下降较为明显，公司今年经营目标为收入增 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，费用及毛利方面预计会如何？</w:t>
                        </w:r>
                      </w:p>
                    </w:tc>
                  </w:tr>
                  <w:tr>
                    <w:trPr>
                      <w:trHeight w:val="445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25"/>
                          <w:jc w:val="both"/>
                          <w:rPr>
                            <w:rFonts w:ascii="宋体" w:hAnsi="宋体" w:cs="宋体" w:eastAsia="宋体" w:hint="default"/>
                            <w:sz w:val="18"/>
                            <w:szCs w:val="18"/>
                          </w:rPr>
                        </w:pPr>
                        <w:r>
                          <w:rPr>
                            <w:rFonts w:ascii="宋体" w:hAnsi="宋体" w:cs="宋体" w:eastAsia="宋体" w:hint="default"/>
                            <w:sz w:val="18"/>
                            <w:szCs w:val="18"/>
                          </w:rPr>
                          <w:t>银河证券吴砚靖 上海复利投资孙 晓燕</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exact" w:before="12"/>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、公司怎么看待公司所处的行业？未来前景如何？公司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的成长性问题怎么看待？近半年公司人事变动，对公司 </w:t>
                        </w:r>
                        <w:r>
                          <w:rPr>
                            <w:rFonts w:ascii="宋体" w:hAnsi="宋体" w:cs="宋体" w:eastAsia="宋体" w:hint="default"/>
                            <w:spacing w:val="-3"/>
                            <w:sz w:val="18"/>
                            <w:szCs w:val="18"/>
                          </w:rPr>
                          <w:t>影响如何？</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、从公司近两年的情况来看，公司在电力行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业取得了不俗的成绩，在这个行业内，公司预计前景如 </w:t>
                        </w:r>
                        <w:r>
                          <w:rPr>
                            <w:rFonts w:ascii="宋体" w:hAnsi="宋体" w:cs="宋体" w:eastAsia="宋体" w:hint="default"/>
                            <w:spacing w:val="-3"/>
                            <w:sz w:val="18"/>
                            <w:szCs w:val="18"/>
                          </w:rPr>
                          <w:t>何？</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、公司历年费用控制情况较好，预计今年或以后费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用率上有没有比较大的变化？</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、对公司产业并购方面的</w:t>
                        </w:r>
                      </w:p>
                      <w:p>
                        <w:pPr>
                          <w:pStyle w:val="TableParagraph"/>
                          <w:spacing w:line="79"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both"/>
                          <w:rPr>
                            <w:rFonts w:ascii="宋体" w:hAnsi="宋体" w:cs="宋体" w:eastAsia="宋体" w:hint="default"/>
                            <w:sz w:val="18"/>
                            <w:szCs w:val="18"/>
                          </w:rPr>
                        </w:pPr>
                        <w:r>
                          <w:rPr>
                            <w:rFonts w:ascii="宋体" w:hAnsi="宋体" w:cs="宋体" w:eastAsia="宋体" w:hint="default"/>
                            <w:sz w:val="18"/>
                            <w:szCs w:val="18"/>
                          </w:rPr>
                          <w:t>事情怎么考虑？</w:t>
                        </w:r>
                        <w:r>
                          <w:rPr>
                            <w:rFonts w:ascii="Times New Roman" w:hAnsi="Times New Roman" w:cs="Times New Roman" w:eastAsia="Times New Roman" w:hint="default"/>
                            <w:sz w:val="18"/>
                            <w:szCs w:val="18"/>
                          </w:rPr>
                          <w:t>5</w:t>
                        </w:r>
                        <w:r>
                          <w:rPr>
                            <w:rFonts w:ascii="宋体" w:hAnsi="宋体" w:cs="宋体" w:eastAsia="宋体" w:hint="default"/>
                            <w:sz w:val="18"/>
                            <w:szCs w:val="18"/>
                          </w:rPr>
                          <w:t>、公司股东减持情况如何？</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、公司与</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pacing w:val="-3"/>
                            <w:sz w:val="18"/>
                            <w:szCs w:val="18"/>
                          </w:rPr>
                          <w:t>华为等大型企业有没有什么合作关系？</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、公司在移动支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付领域成立了摩宝公司，目前运作情况怎么样？</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业绩存在季度分布不均匀的特点，是什么原因造成的？ </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、公司有没有进行过收入的新老客户结构分析？结构如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、公司集成业务定位是怎样的？</w:t>
                        </w:r>
                        <w:r>
                          <w:rPr>
                            <w:rFonts w:ascii="Times New Roman" w:hAnsi="Times New Roman" w:cs="Times New Roman" w:eastAsia="Times New Roman" w:hint="default"/>
                            <w:sz w:val="18"/>
                            <w:szCs w:val="18"/>
                          </w:rPr>
                          <w:t>11</w:t>
                        </w:r>
                        <w:r>
                          <w:rPr>
                            <w:rFonts w:ascii="宋体" w:hAnsi="宋体" w:cs="宋体" w:eastAsia="宋体" w:hint="default"/>
                            <w:sz w:val="18"/>
                            <w:szCs w:val="18"/>
                          </w:rPr>
                          <w:t>、公司用于电 力行业的产品主要有哪些？近期有没有什么新产品的推 出？</w:t>
                        </w:r>
                        <w:r>
                          <w:rPr>
                            <w:rFonts w:ascii="Times New Roman" w:hAnsi="Times New Roman" w:cs="Times New Roman" w:eastAsia="Times New Roman" w:hint="default"/>
                            <w:sz w:val="18"/>
                            <w:szCs w:val="18"/>
                          </w:rPr>
                          <w:t>12</w:t>
                        </w:r>
                        <w:r>
                          <w:rPr>
                            <w:rFonts w:ascii="宋体" w:hAnsi="宋体" w:cs="宋体" w:eastAsia="宋体" w:hint="default"/>
                            <w:sz w:val="18"/>
                            <w:szCs w:val="18"/>
                          </w:rPr>
                          <w:t>、公司有没有什么新的业务增长点？</w:t>
                        </w:r>
                      </w:p>
                    </w:tc>
                  </w:tr>
                  <w:tr>
                    <w:trPr>
                      <w:trHeight w:val="352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中投证券熊丹、张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镭</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年度公司销售费用率下降较为明显，原因为何？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今年的趋势会如何？</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、公司有什么大的行业新方向吗？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、公司多大规模以上的订单会认为是大订单？</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w:t>
                        </w:r>
                        <w:r>
                          <w:rPr>
                            <w:rFonts w:ascii="宋体" w:hAnsi="宋体" w:cs="宋体" w:eastAsia="宋体" w:hint="default"/>
                            <w:spacing w:val="-3"/>
                            <w:sz w:val="18"/>
                            <w:szCs w:val="18"/>
                          </w:rPr>
                          <w:t>订单从客户产生需求到实现中标一般周期有多长？</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司的激励制度体系是什么样子的？公司薪酬水平在行业 </w:t>
                        </w:r>
                        <w:r>
                          <w:rPr>
                            <w:rFonts w:ascii="宋体" w:hAnsi="宋体" w:cs="宋体" w:eastAsia="宋体" w:hint="default"/>
                            <w:spacing w:val="-3"/>
                            <w:sz w:val="18"/>
                            <w:szCs w:val="18"/>
                          </w:rPr>
                          <w:t>内处于什么水平？</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、三十所下属其他企业与公司有没有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同业竞争关系？三十所、三十所控股其他公司主要业务 定位为什么？</w:t>
                        </w:r>
                        <w:r>
                          <w:rPr>
                            <w:rFonts w:ascii="Times New Roman" w:hAnsi="Times New Roman" w:cs="Times New Roman" w:eastAsia="Times New Roman" w:hint="default"/>
                            <w:sz w:val="18"/>
                            <w:szCs w:val="18"/>
                          </w:rPr>
                          <w:t>7</w:t>
                        </w:r>
                        <w:r>
                          <w:rPr>
                            <w:rFonts w:ascii="宋体" w:hAnsi="宋体" w:cs="宋体" w:eastAsia="宋体" w:hint="default"/>
                            <w:sz w:val="18"/>
                            <w:szCs w:val="18"/>
                          </w:rPr>
                          <w:t>、公司云计算方面的业务定位是怎么样 的？与其他厂商相比有什么竞争优势？是否与其他安全 厂商直接竞争？</w:t>
                        </w:r>
                        <w:r>
                          <w:rPr>
                            <w:rFonts w:ascii="Times New Roman" w:hAnsi="Times New Roman" w:cs="Times New Roman" w:eastAsia="Times New Roman" w:hint="default"/>
                            <w:sz w:val="18"/>
                            <w:szCs w:val="18"/>
                          </w:rPr>
                          <w:t>8</w:t>
                        </w:r>
                        <w:r>
                          <w:rPr>
                            <w:rFonts w:ascii="宋体" w:hAnsi="宋体" w:cs="宋体" w:eastAsia="宋体" w:hint="default"/>
                            <w:sz w:val="18"/>
                            <w:szCs w:val="18"/>
                          </w:rPr>
                          <w:t>、公司前期发布了一个关于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的公 告，关于这个项目的具体情况如何？</w:t>
                        </w:r>
                      </w:p>
                    </w:tc>
                  </w:tr>
                  <w:tr>
                    <w:trPr>
                      <w:trHeight w:val="32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23"/>
                          <w:jc w:val="left"/>
                          <w:rPr>
                            <w:rFonts w:ascii="宋体" w:hAnsi="宋体" w:cs="宋体" w:eastAsia="宋体" w:hint="default"/>
                            <w:sz w:val="18"/>
                            <w:szCs w:val="18"/>
                          </w:rPr>
                        </w:pPr>
                        <w:r>
                          <w:rPr>
                            <w:rFonts w:ascii="宋体" w:hAnsi="宋体" w:cs="宋体" w:eastAsia="宋体" w:hint="default"/>
                            <w:spacing w:val="-10"/>
                            <w:sz w:val="18"/>
                            <w:szCs w:val="18"/>
                          </w:rPr>
                          <w:t>长信基金苏纯、叶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松</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、三十所下属其他控股公司主营业务是哪些？与公司业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务的关系是什么？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年度金融行业收入下降 </w:t>
                        </w:r>
                        <w:r>
                          <w:rPr>
                            <w:rFonts w:ascii="宋体" w:hAnsi="宋体" w:cs="宋体" w:eastAsia="宋体" w:hint="default"/>
                            <w:spacing w:val="-3"/>
                            <w:sz w:val="18"/>
                            <w:szCs w:val="18"/>
                          </w:rPr>
                          <w:t>较为明显，代表未来的发展趋势吗？</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、公司在电力行业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历年都有较大订单，竞争情况如何？</w:t>
                        </w:r>
                        <w:r>
                          <w:rPr>
                            <w:rFonts w:ascii="Times New Roman" w:hAnsi="Times New Roman" w:cs="Times New Roman" w:eastAsia="Times New Roman" w:hint="default"/>
                            <w:sz w:val="18"/>
                            <w:szCs w:val="18"/>
                          </w:rPr>
                          <w:t>4</w:t>
                        </w:r>
                        <w:r>
                          <w:rPr>
                            <w:rFonts w:ascii="宋体" w:hAnsi="宋体" w:cs="宋体" w:eastAsia="宋体" w:hint="default"/>
                            <w:sz w:val="18"/>
                            <w:szCs w:val="18"/>
                          </w:rPr>
                          <w:t>、公司除了金融 </w:t>
                        </w:r>
                        <w:r>
                          <w:rPr>
                            <w:rFonts w:ascii="宋体" w:hAnsi="宋体" w:cs="宋体" w:eastAsia="宋体" w:hint="default"/>
                            <w:spacing w:val="-5"/>
                            <w:sz w:val="18"/>
                            <w:szCs w:val="18"/>
                          </w:rPr>
                          <w:t>电力行业外，未来战略发展方向主要在哪些行业？</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、公</w:t>
                        </w:r>
                        <w:r>
                          <w:rPr>
                            <w:rFonts w:ascii="宋体" w:hAnsi="宋体" w:cs="宋体" w:eastAsia="宋体" w:hint="default"/>
                            <w:spacing w:val="-73"/>
                            <w:sz w:val="18"/>
                            <w:szCs w:val="18"/>
                          </w:rPr>
                          <w:t> </w:t>
                        </w:r>
                        <w:r>
                          <w:rPr>
                            <w:rFonts w:ascii="宋体" w:hAnsi="宋体" w:cs="宋体" w:eastAsia="宋体" w:hint="default"/>
                            <w:sz w:val="18"/>
                            <w:szCs w:val="18"/>
                          </w:rPr>
                          <w:t>司目前主要针对国内市场，未来会不会考虑在国际市场</w:t>
                        </w:r>
                        <w:r>
                          <w:rPr>
                            <w:rFonts w:ascii="宋体" w:hAnsi="宋体" w:cs="宋体" w:eastAsia="宋体" w:hint="default"/>
                            <w:sz w:val="18"/>
                            <w:szCs w:val="18"/>
                          </w:rPr>
                          <w:t> 有所突破？主要是针对哪些产品？</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年报中披露的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年经营目标是收入增长</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20%</w:t>
                        </w:r>
                        <w:r>
                          <w:rPr>
                            <w:rFonts w:ascii="宋体" w:hAnsi="宋体" w:cs="宋体" w:eastAsia="宋体" w:hint="default"/>
                            <w:spacing w:val="-13"/>
                            <w:sz w:val="18"/>
                            <w:szCs w:val="18"/>
                          </w:rPr>
                          <w:t>，目前有</w:t>
                        </w:r>
                        <w:r>
                          <w:rPr>
                            <w:rFonts w:ascii="宋体" w:hAnsi="宋体" w:cs="宋体" w:eastAsia="宋体" w:hint="default"/>
                            <w:sz w:val="18"/>
                            <w:szCs w:val="18"/>
                          </w:rPr>
                          <w:t> </w:t>
                        </w:r>
                        <w:r>
                          <w:rPr>
                            <w:rFonts w:ascii="宋体" w:hAnsi="宋体" w:cs="宋体" w:eastAsia="宋体" w:hint="default"/>
                            <w:spacing w:val="-3"/>
                            <w:sz w:val="18"/>
                            <w:szCs w:val="18"/>
                          </w:rPr>
                          <w:t>没有修正经营目标的考虑？</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、公司长远发展战略目标是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怎样的？</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今年业绩如何</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公司经营是否正常</w:t>
                        </w:r>
                        <w:r>
                          <w:rPr>
                            <w:rFonts w:ascii="Times New Roman" w:hAnsi="Times New Roman" w:cs="Times New Roman" w:eastAsia="Times New Roman" w:hint="default"/>
                            <w:sz w:val="18"/>
                            <w:szCs w:val="18"/>
                          </w:rPr>
                          <w:t>?</w:t>
                        </w:r>
                      </w:p>
                    </w:tc>
                  </w:tr>
                  <w:tr>
                    <w:trPr>
                      <w:trHeight w:val="6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公司未来三年股东回报规划的内容如何？</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，公司产品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面对的市场情况如何？</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公司摩宝业务的推广情况如</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01"/>
        <w:jc w:val="right"/>
      </w:pPr>
      <w:r>
        <w:rPr/>
        <w:t>、</w:t>
      </w:r>
    </w:p>
    <w:p>
      <w:pPr>
        <w:spacing w:after="0" w:line="240" w:lineRule="auto"/>
        <w:jc w:val="right"/>
        <w:sectPr>
          <w:pgSz w:w="11910" w:h="16840"/>
          <w:pgMar w:header="747" w:footer="982" w:top="1060" w:bottom="1180" w:left="98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058"/>
        <w:gridCol w:w="850"/>
        <w:gridCol w:w="709"/>
        <w:gridCol w:w="1418"/>
        <w:gridCol w:w="4393"/>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除摩宝外，公司主业类有没有中标？</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公司目前业绩如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何？</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东信证券郑先生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近期有没有机构来公司调研？</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有关系吗</w:t>
            </w:r>
            <w:r>
              <w:rPr>
                <w:rFonts w:ascii="Times New Roman" w:hAnsi="Times New Roman" w:cs="Times New Roman" w:eastAsia="Times New Roman" w:hint="default"/>
                <w:sz w:val="18"/>
                <w:szCs w:val="18"/>
              </w:rPr>
              <w:t>?2.2012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年半年度业绩情况？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公司年度经营计划有什么大变化</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高性能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对公司 的意义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手机支付业务做得怎么样</w:t>
            </w:r>
            <w:r>
              <w:rPr>
                <w:rFonts w:ascii="Times New Roman" w:hAnsi="Times New Roman" w:cs="Times New Roman" w:eastAsia="Times New Roman" w:hint="default"/>
                <w:sz w:val="18"/>
                <w:szCs w:val="18"/>
              </w:rPr>
              <w:t>?</w:t>
            </w:r>
            <w:r>
              <w:rPr>
                <w:rFonts w:ascii="宋体" w:hAnsi="宋体" w:cs="宋体" w:eastAsia="宋体" w:hint="default"/>
                <w:sz w:val="18"/>
                <w:szCs w:val="18"/>
              </w:rPr>
              <w:t>交易流量情况如何？</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三季度业绩情况如何？</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公司副总辞职对公司有没有影响？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公司搬迁新址的 具体位置？</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公司争取政府补助项目的进展如何？</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韩先生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1.IPV6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进展情况</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手机支付业务情况</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摩宝项目是否在 四川省战略新兴产业发展专项资金项目中标？补贴多 少</w:t>
            </w:r>
            <w:r>
              <w:rPr>
                <w:rFonts w:ascii="Times New Roman" w:hAnsi="Times New Roman" w:cs="Times New Roman" w:eastAsia="Times New Roman" w:hint="default"/>
                <w:sz w:val="18"/>
                <w:szCs w:val="18"/>
              </w:rPr>
              <w:t>?</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公司业绩修正原因。</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股价走低的原因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三季度比半年利润高出很多的原因</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支付项目进展情况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超声波支付项目进展情况</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公司年度业绩预告为什么 比同行业低？</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希望公司的移动支付业务发展速度能够加快一些，在竞 争中抢占先机。</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股价创新低的原因</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公司公告的内容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希望公司管理层提高管理水平，提 高信息披露质量。</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摩宝业务情况如何，何时能赢利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云计算安全项目进 展如何？到了什么阶段？是否投放市场？</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刘先生</w:t>
            </w:r>
          </w:p>
        </w:tc>
        <w:tc>
          <w:tcPr>
            <w:tcW w:w="4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关于业绩公告的咨询</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240"/>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before="44"/>
        <w:ind w:left="0" w:right="175"/>
        <w:jc w:val="right"/>
      </w:pPr>
      <w:r>
        <w:rPr/>
        <w:pict>
          <v:shape style="position:absolute;margin-left:56.459999pt;margin-top:-114.517845pt;width:479.35pt;height:560.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709"/>
                    <w:gridCol w:w="709"/>
                    <w:gridCol w:w="850"/>
                    <w:gridCol w:w="709"/>
                    <w:gridCol w:w="535"/>
                    <w:gridCol w:w="798"/>
                    <w:gridCol w:w="798"/>
                    <w:gridCol w:w="798"/>
                    <w:gridCol w:w="798"/>
                    <w:gridCol w:w="796"/>
                    <w:gridCol w:w="797"/>
                  </w:tblGrid>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1"/>
                          <w:jc w:val="right"/>
                          <w:rPr>
                            <w:rFonts w:ascii="宋体" w:hAnsi="宋体" w:cs="宋体" w:eastAsia="宋体" w:hint="default"/>
                            <w:sz w:val="18"/>
                            <w:szCs w:val="18"/>
                          </w:rPr>
                        </w:pPr>
                        <w:r>
                          <w:rPr>
                            <w:rFonts w:ascii="宋体" w:hAnsi="宋体" w:cs="宋体" w:eastAsia="宋体" w:hint="default"/>
                            <w:sz w:val="18"/>
                            <w:szCs w:val="18"/>
                          </w:rPr>
                          <w:t>关联交易方</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0" w:right="77"/>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3"/>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276" w:type="dxa"/>
                        <w:tcBorders>
                          <w:top w:val="single" w:sz="4" w:space="0" w:color="000000"/>
                          <w:left w:val="single" w:sz="4" w:space="0" w:color="000000"/>
                          <w:bottom w:val="nil" w:sz="6" w:space="0" w:color="auto"/>
                          <w:right w:val="single" w:sz="4" w:space="0" w:color="000000"/>
                        </w:tcBorders>
                        <w:shd w:val="clear" w:color="auto" w:fill="C7EDCC"/>
                      </w:tcPr>
                      <w:p>
                        <w:pPr/>
                      </w:p>
                    </w:tc>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50" w:type="dxa"/>
                        <w:tcBorders>
                          <w:top w:val="single" w:sz="4" w:space="0" w:color="000000"/>
                          <w:left w:val="single" w:sz="4" w:space="0" w:color="000000"/>
                          <w:bottom w:val="nil" w:sz="6" w:space="0" w:color="auto"/>
                          <w:right w:val="single" w:sz="4" w:space="0" w:color="000000"/>
                        </w:tcBorders>
                        <w:shd w:val="clear" w:color="auto" w:fill="C7EDCC"/>
                      </w:tcPr>
                      <w:p>
                        <w:pPr/>
                      </w:p>
                    </w:tc>
                    <w:tc>
                      <w:tcPr>
                        <w:tcW w:w="709" w:type="dxa"/>
                        <w:vMerge w:val="restart"/>
                        <w:tcBorders>
                          <w:top w:val="single" w:sz="4" w:space="0" w:color="000000"/>
                          <w:left w:val="single" w:sz="4" w:space="0" w:color="000000"/>
                          <w:right w:val="single" w:sz="4" w:space="0" w:color="000000"/>
                        </w:tcBorders>
                        <w:shd w:val="clear" w:color="auto" w:fill="C7EDCC"/>
                      </w:tcPr>
                      <w:p>
                        <w:pPr/>
                      </w:p>
                    </w:tc>
                    <w:tc>
                      <w:tcPr>
                        <w:tcW w:w="535" w:type="dxa"/>
                        <w:vMerge w:val="restart"/>
                        <w:tcBorders>
                          <w:top w:val="single" w:sz="4" w:space="0" w:color="000000"/>
                          <w:left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shd w:val="clear" w:color="auto" w:fill="C7EDCC"/>
                      </w:tcPr>
                      <w:p>
                        <w:pPr/>
                      </w:p>
                    </w:tc>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850" w:type="dxa"/>
                        <w:tcBorders>
                          <w:top w:val="nil" w:sz="6" w:space="0" w:color="auto"/>
                          <w:left w:val="single" w:sz="4" w:space="0" w:color="000000"/>
                          <w:bottom w:val="nil" w:sz="6" w:space="0" w:color="auto"/>
                          <w:right w:val="single" w:sz="4" w:space="0" w:color="000000"/>
                        </w:tcBorders>
                        <w:shd w:val="clear" w:color="auto" w:fill="C7EDCC"/>
                      </w:tcPr>
                      <w:p>
                        <w:pPr/>
                      </w:p>
                    </w:tc>
                    <w:tc>
                      <w:tcPr>
                        <w:tcW w:w="709" w:type="dxa"/>
                        <w:vMerge/>
                        <w:tcBorders>
                          <w:left w:val="single" w:sz="4" w:space="0" w:color="000000"/>
                          <w:right w:val="single" w:sz="4" w:space="0" w:color="000000"/>
                        </w:tcBorders>
                        <w:shd w:val="clear" w:color="auto" w:fill="C7EDCC"/>
                      </w:tcPr>
                      <w:p>
                        <w:pPr/>
                      </w:p>
                    </w:tc>
                    <w:tc>
                      <w:tcPr>
                        <w:tcW w:w="535" w:type="dxa"/>
                        <w:vMerge/>
                        <w:tcBorders>
                          <w:left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shd w:val="clear" w:color="auto" w:fill="C7EDCC"/>
                      </w:tcPr>
                      <w:p>
                        <w:pPr/>
                      </w:p>
                    </w:tc>
                    <w:tc>
                      <w:tcPr>
                        <w:tcW w:w="798" w:type="dxa"/>
                        <w:vMerge/>
                        <w:tcBorders>
                          <w:left w:val="single" w:sz="4" w:space="0" w:color="000000"/>
                          <w:right w:val="single" w:sz="4" w:space="0" w:color="000000"/>
                        </w:tcBorders>
                        <w:shd w:val="clear" w:color="auto" w:fill="C7EDCC"/>
                      </w:tcPr>
                      <w:p>
                        <w:pPr/>
                      </w:p>
                    </w:tc>
                    <w:tc>
                      <w:tcPr>
                        <w:tcW w:w="79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932" w:hRule="exact"/>
                    </w:trPr>
                    <w:tc>
                      <w:tcPr>
                        <w:tcW w:w="12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61"/>
                          <w:jc w:val="both"/>
                          <w:rPr>
                            <w:rFonts w:ascii="宋体" w:hAnsi="宋体" w:cs="宋体" w:eastAsia="宋体" w:hint="default"/>
                            <w:sz w:val="18"/>
                            <w:szCs w:val="18"/>
                          </w:rPr>
                        </w:pPr>
                        <w:r>
                          <w:rPr>
                            <w:rFonts w:ascii="宋体" w:hAnsi="宋体" w:cs="宋体" w:eastAsia="宋体" w:hint="default"/>
                            <w:sz w:val="18"/>
                            <w:szCs w:val="18"/>
                          </w:rPr>
                          <w:t>中国电子科技 集团第三十研 究所</w:t>
                        </w:r>
                      </w:p>
                    </w:tc>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95"/>
                          <w:jc w:val="both"/>
                          <w:rPr>
                            <w:rFonts w:ascii="宋体" w:hAnsi="宋体" w:cs="宋体" w:eastAsia="宋体" w:hint="default"/>
                            <w:sz w:val="18"/>
                            <w:szCs w:val="18"/>
                          </w:rPr>
                        </w:pPr>
                        <w:r>
                          <w:rPr>
                            <w:rFonts w:ascii="宋体" w:hAnsi="宋体" w:cs="宋体" w:eastAsia="宋体" w:hint="default"/>
                            <w:sz w:val="18"/>
                            <w:szCs w:val="18"/>
                          </w:rPr>
                          <w:t>采购元器 件及集成 设备</w:t>
                        </w:r>
                      </w:p>
                    </w:tc>
                    <w:tc>
                      <w:tcPr>
                        <w:tcW w:w="709" w:type="dxa"/>
                        <w:vMerge/>
                        <w:tcBorders>
                          <w:left w:val="single" w:sz="4" w:space="0" w:color="000000"/>
                          <w:right w:val="single" w:sz="4" w:space="0" w:color="000000"/>
                        </w:tcBorders>
                        <w:shd w:val="clear" w:color="auto" w:fill="C7EDCC"/>
                      </w:tcPr>
                      <w:p>
                        <w:pPr/>
                      </w:p>
                    </w:tc>
                    <w:tc>
                      <w:tcPr>
                        <w:tcW w:w="535" w:type="dxa"/>
                        <w:vMerge/>
                        <w:tcBorders>
                          <w:left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84.83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0.33%</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vMerge/>
                        <w:tcBorders>
                          <w:left w:val="single" w:sz="4" w:space="0" w:color="000000"/>
                          <w:right w:val="single" w:sz="4" w:space="0" w:color="000000"/>
                        </w:tcBorders>
                        <w:shd w:val="clear" w:color="auto" w:fill="C7EDCC"/>
                      </w:tcPr>
                      <w:p>
                        <w:pP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42"/>
                          <w:jc w:val="both"/>
                          <w:rPr>
                            <w:rFonts w:ascii="宋体" w:hAnsi="宋体" w:cs="宋体" w:eastAsia="宋体" w:hint="default"/>
                            <w:sz w:val="18"/>
                            <w:szCs w:val="18"/>
                          </w:rPr>
                        </w:pPr>
                        <w:r>
                          <w:rPr>
                            <w:rFonts w:ascii="宋体" w:hAnsi="宋体" w:cs="宋体" w:eastAsia="宋体" w:hint="default"/>
                            <w:sz w:val="18"/>
                            <w:szCs w:val="18"/>
                          </w:rPr>
                          <w:t>《日常关 联交易预 </w:t>
                        </w:r>
                        <w:r>
                          <w:rPr>
                            <w:rFonts w:ascii="宋体" w:hAnsi="宋体" w:cs="宋体" w:eastAsia="宋体" w:hint="default"/>
                            <w:spacing w:val="-23"/>
                            <w:sz w:val="18"/>
                            <w:szCs w:val="18"/>
                          </w:rPr>
                          <w:t>计公告》</w:t>
                        </w:r>
                        <w:r>
                          <w:rPr>
                            <w:rFonts w:ascii="宋体" w:hAnsi="宋体" w:cs="宋体" w:eastAsia="宋体" w:hint="default"/>
                            <w:sz w:val="18"/>
                            <w:szCs w:val="18"/>
                          </w:rPr>
                        </w: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C7EDCC"/>
                      </w:tcPr>
                      <w:p>
                        <w:pPr/>
                      </w:p>
                    </w:tc>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850" w:type="dxa"/>
                        <w:tcBorders>
                          <w:top w:val="nil" w:sz="6" w:space="0" w:color="auto"/>
                          <w:left w:val="single" w:sz="4" w:space="0" w:color="000000"/>
                          <w:bottom w:val="nil" w:sz="6" w:space="0" w:color="auto"/>
                          <w:right w:val="single" w:sz="4" w:space="0" w:color="000000"/>
                        </w:tcBorders>
                        <w:shd w:val="clear" w:color="auto" w:fill="C7EDCC"/>
                      </w:tcPr>
                      <w:p>
                        <w:pPr/>
                      </w:p>
                    </w:tc>
                    <w:tc>
                      <w:tcPr>
                        <w:tcW w:w="709" w:type="dxa"/>
                        <w:vMerge/>
                        <w:tcBorders>
                          <w:left w:val="single" w:sz="4" w:space="0" w:color="000000"/>
                          <w:right w:val="single" w:sz="4" w:space="0" w:color="000000"/>
                        </w:tcBorders>
                        <w:shd w:val="clear" w:color="auto" w:fill="C7EDCC"/>
                      </w:tcPr>
                      <w:p>
                        <w:pPr/>
                      </w:p>
                    </w:tc>
                    <w:tc>
                      <w:tcPr>
                        <w:tcW w:w="535" w:type="dxa"/>
                        <w:vMerge/>
                        <w:tcBorders>
                          <w:left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shd w:val="clear" w:color="auto" w:fill="C7EDCC"/>
                      </w:tcPr>
                      <w:p>
                        <w:pPr/>
                      </w:p>
                    </w:tc>
                    <w:tc>
                      <w:tcPr>
                        <w:tcW w:w="798" w:type="dxa"/>
                        <w:vMerge/>
                        <w:tcBorders>
                          <w:left w:val="single" w:sz="4" w:space="0" w:color="000000"/>
                          <w:right w:val="single" w:sz="4" w:space="0" w:color="000000"/>
                        </w:tcBorders>
                        <w:shd w:val="clear" w:color="auto" w:fill="C7EDCC"/>
                      </w:tcPr>
                      <w:p>
                        <w:pPr/>
                      </w:p>
                    </w:tc>
                    <w:tc>
                      <w:tcPr>
                        <w:tcW w:w="796"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356" w:hRule="exact"/>
                    </w:trPr>
                    <w:tc>
                      <w:tcPr>
                        <w:tcW w:w="1276" w:type="dxa"/>
                        <w:tcBorders>
                          <w:top w:val="nil" w:sz="6" w:space="0" w:color="auto"/>
                          <w:left w:val="single" w:sz="4" w:space="0" w:color="000000"/>
                          <w:bottom w:val="single" w:sz="4" w:space="0" w:color="000000"/>
                          <w:right w:val="single" w:sz="4" w:space="0" w:color="000000"/>
                        </w:tcBorders>
                        <w:shd w:val="clear" w:color="auto" w:fill="C7EDCC"/>
                      </w:tcPr>
                      <w:p>
                        <w:pPr/>
                      </w:p>
                    </w:tc>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50" w:type="dxa"/>
                        <w:tcBorders>
                          <w:top w:val="nil" w:sz="6" w:space="0" w:color="auto"/>
                          <w:left w:val="single" w:sz="4" w:space="0" w:color="000000"/>
                          <w:bottom w:val="single" w:sz="4" w:space="0" w:color="000000"/>
                          <w:right w:val="single" w:sz="4" w:space="0" w:color="000000"/>
                        </w:tcBorders>
                        <w:shd w:val="clear" w:color="auto" w:fill="C7EDCC"/>
                      </w:tcPr>
                      <w:p>
                        <w:pPr/>
                      </w:p>
                    </w:tc>
                    <w:tc>
                      <w:tcPr>
                        <w:tcW w:w="709" w:type="dxa"/>
                        <w:vMerge/>
                        <w:tcBorders>
                          <w:left w:val="single" w:sz="4" w:space="0" w:color="000000"/>
                          <w:bottom w:val="single" w:sz="4" w:space="0" w:color="000000"/>
                          <w:right w:val="single" w:sz="4" w:space="0" w:color="000000"/>
                        </w:tcBorders>
                        <w:shd w:val="clear" w:color="auto" w:fill="C7EDCC"/>
                      </w:tcPr>
                      <w:p>
                        <w:pPr/>
                      </w:p>
                    </w:tc>
                    <w:tc>
                      <w:tcPr>
                        <w:tcW w:w="535" w:type="dxa"/>
                        <w:vMerge/>
                        <w:tcBorders>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中国电子科技 集团第三十研 究所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采购固定 资产</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中国电子科技 集团第三十研 究所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w w:val="95"/>
                            <w:sz w:val="18"/>
                          </w:rPr>
                          <w:t>6.11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成都三零嘉微 电子有限公司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采购元器 件及集成 设备</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成都三零嘉微 电子有限公司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成都三零瑞通 移动通信有限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采购元器 件及集成 设备</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w w:val="95"/>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广州杰赛科技 股份有限公司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4" w:right="133"/>
                          <w:jc w:val="both"/>
                          <w:rPr>
                            <w:rFonts w:ascii="宋体" w:hAnsi="宋体" w:cs="宋体" w:eastAsia="宋体" w:hint="default"/>
                            <w:sz w:val="18"/>
                            <w:szCs w:val="18"/>
                          </w:rPr>
                        </w:pPr>
                        <w:r>
                          <w:rPr>
                            <w:rFonts w:ascii="宋体" w:hAnsi="宋体" w:cs="宋体" w:eastAsia="宋体" w:hint="default"/>
                            <w:sz w:val="18"/>
                            <w:szCs w:val="18"/>
                          </w:rPr>
                          <w:t>受同一 最终控 制人控 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4"/>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采购元器 件及集成 设备</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成都三零凯天 通信实业有限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采购固定 资产</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161"/>
                          <w:jc w:val="right"/>
                          <w:rPr>
                            <w:rFonts w:ascii="宋体" w:hAnsi="宋体" w:cs="宋体" w:eastAsia="宋体" w:hint="default"/>
                            <w:sz w:val="18"/>
                            <w:szCs w:val="18"/>
                          </w:rPr>
                        </w:pPr>
                        <w:r>
                          <w:rPr>
                            <w:rFonts w:ascii="宋体" w:hAnsi="宋体" w:cs="宋体" w:eastAsia="宋体" w:hint="default"/>
                            <w:sz w:val="18"/>
                            <w:szCs w:val="18"/>
                          </w:rPr>
                          <w:t>中国电子科技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2,613.31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709"/>
        <w:gridCol w:w="709"/>
        <w:gridCol w:w="850"/>
        <w:gridCol w:w="709"/>
        <w:gridCol w:w="535"/>
        <w:gridCol w:w="798"/>
        <w:gridCol w:w="798"/>
        <w:gridCol w:w="798"/>
        <w:gridCol w:w="798"/>
        <w:gridCol w:w="796"/>
        <w:gridCol w:w="797"/>
      </w:tblGrid>
      <w:tr>
        <w:trPr>
          <w:trHeight w:val="674"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集团公司第三 十研究所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成都三零盛安 信息系统有限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成都三零普瑞 科技有限公司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成都三零瑞通 移动通信有限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成都三零嘉微 电子有限公司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上海三零卫士 信息安全有限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成都三零凯天 通信实业有限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安徽四创电子 股份有限公司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最终控 制人控 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中国电子科技 集团公司下属 其他研究院所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最终控 制人控 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4"/>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安全产品 及集成等</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631.52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2.09%</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成都三零嘉微 电子有限公司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成都三零盛安 信息系统有限 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中国电子科技 集团公司下属 其他研究院所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33"/>
              <w:jc w:val="both"/>
              <w:rPr>
                <w:rFonts w:ascii="宋体" w:hAnsi="宋体" w:cs="宋体" w:eastAsia="宋体" w:hint="default"/>
                <w:sz w:val="18"/>
                <w:szCs w:val="18"/>
              </w:rPr>
            </w:pPr>
            <w:r>
              <w:rPr>
                <w:rFonts w:ascii="宋体" w:hAnsi="宋体" w:cs="宋体" w:eastAsia="宋体" w:hint="default"/>
                <w:sz w:val="18"/>
                <w:szCs w:val="18"/>
              </w:rPr>
              <w:t>受同一 最终控 制人控 制</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4"/>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2.48%</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中国电子科技 集团公司第三 十研究所</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44"/>
        <w:gridCol w:w="709"/>
        <w:gridCol w:w="535"/>
        <w:gridCol w:w="798"/>
        <w:gridCol w:w="798"/>
        <w:gridCol w:w="798"/>
        <w:gridCol w:w="798"/>
        <w:gridCol w:w="796"/>
        <w:gridCol w:w="79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4,984.73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26.01%</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028"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9" w:hRule="exact"/>
        </w:trPr>
        <w:tc>
          <w:tcPr>
            <w:tcW w:w="35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028" w:type="dxa"/>
            <w:gridSpan w:val="8"/>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52"/>
              <w:jc w:val="both"/>
              <w:rPr>
                <w:rFonts w:ascii="宋体" w:hAnsi="宋体" w:cs="宋体" w:eastAsia="宋体" w:hint="default"/>
                <w:sz w:val="18"/>
                <w:szCs w:val="18"/>
              </w:rPr>
            </w:pPr>
            <w:r>
              <w:rPr>
                <w:rFonts w:ascii="宋体" w:hAnsi="宋体" w:cs="宋体" w:eastAsia="宋体" w:hint="default"/>
                <w:sz w:val="18"/>
                <w:szCs w:val="18"/>
              </w:rPr>
              <w:t>①因公司是国内领先的信息安全系统的整体解决方案供应商、安全产品提供 商、安全集成商和安全服务提供商，关联方为了解决自身的安全需要，会通 过招标方式采购公司产品及服务；②因公司控股子公司四川卫士通信息安全 平台技术有限公司主要从事模块、整机及平台产品的研制开发与销售，其产 品在国内属于领先水平，因其产品特性，在公司控股股东三十所及三十所控 股公司产品中得到应用。</w:t>
            </w:r>
          </w:p>
        </w:tc>
      </w:tr>
      <w:tr>
        <w:trPr>
          <w:trHeight w:val="704" w:hRule="exact"/>
        </w:trPr>
        <w:tc>
          <w:tcPr>
            <w:tcW w:w="35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关联交易的必要性、持续性、选择与关联方</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（而非市场其他交易方）进行交易的原因</w:t>
            </w:r>
          </w:p>
        </w:tc>
        <w:tc>
          <w:tcPr>
            <w:tcW w:w="6028" w:type="dxa"/>
            <w:gridSpan w:val="8"/>
            <w:vMerge/>
            <w:tcBorders>
              <w:left w:val="single" w:sz="4" w:space="0" w:color="000000"/>
              <w:right w:val="single" w:sz="4" w:space="0" w:color="000000"/>
            </w:tcBorders>
            <w:shd w:val="clear" w:color="auto" w:fill="C7EDCC"/>
          </w:tcPr>
          <w:p>
            <w:pPr/>
          </w:p>
        </w:tc>
      </w:tr>
      <w:tr>
        <w:trPr>
          <w:trHeight w:val="629" w:hRule="exact"/>
        </w:trPr>
        <w:tc>
          <w:tcPr>
            <w:tcW w:w="35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028" w:type="dxa"/>
            <w:gridSpan w:val="8"/>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028"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关联交易不影响公司独立性</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公司对关联方的依赖程度，以及相关解决措 施（如有）</w:t>
            </w:r>
          </w:p>
        </w:tc>
        <w:tc>
          <w:tcPr>
            <w:tcW w:w="6028"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因关联交易占收入的比重不大，不形成公司对关联方的依赖</w:t>
            </w:r>
          </w:p>
        </w:tc>
      </w:tr>
      <w:tr>
        <w:trPr>
          <w:trHeight w:val="1026"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 </w:t>
            </w:r>
            <w:r>
              <w:rPr>
                <w:rFonts w:ascii="宋体" w:hAnsi="宋体" w:cs="宋体" w:eastAsia="宋体" w:hint="default"/>
                <w:spacing w:val="-6"/>
                <w:sz w:val="18"/>
                <w:szCs w:val="18"/>
              </w:rPr>
              <w:t>金额预计的，在报告期内的实际履行情况（如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w:t>
            </w:r>
          </w:p>
        </w:tc>
        <w:tc>
          <w:tcPr>
            <w:tcW w:w="6028"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公司报告期实际发生的各类关联交易金额均在预计金额之内</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6028"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中审亚太会计师事务所有限公司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张平，黄秀娟</w:t>
            </w:r>
          </w:p>
        </w:tc>
      </w:tr>
    </w:tbl>
    <w:p>
      <w:pPr>
        <w:pStyle w:val="BodyText"/>
        <w:spacing w:line="240" w:lineRule="auto" w:before="51"/>
        <w:ind w:right="0"/>
        <w:jc w:val="left"/>
      </w:pPr>
      <w:r>
        <w:rPr/>
        <w:t>当期是否改聘会计师事务所</w:t>
      </w:r>
    </w:p>
    <w:p>
      <w:pPr>
        <w:pStyle w:val="BodyText"/>
        <w:spacing w:line="338" w:lineRule="auto" w:before="117"/>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9,831,241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-1,205,614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-1,205,614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8,625,627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4,375,800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4,375,800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5,455,441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-1,205,614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-1,205,614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4,249,827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162,880,8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1,205,614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1,205,614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164,086,4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95.01%</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162,880,8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1,205,614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1,205,614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164,086,4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95.01%</w:t>
            </w:r>
          </w:p>
        </w:tc>
      </w:tr>
      <w:tr>
        <w:trPr>
          <w:trHeight w:val="715"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172,712,0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172,712,0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51"/>
        <w:ind w:left="153" w:right="5631"/>
        <w:jc w:val="left"/>
      </w:pPr>
      <w:r>
        <w:rPr/>
        <w:t>股份变动的原因 报告期内，由于公司高管的变动导致限售股份变动。 股份变动的批准情况</w:t>
      </w:r>
    </w:p>
    <w:p>
      <w:pPr>
        <w:pStyle w:val="BodyText"/>
        <w:spacing w:line="338" w:lineRule="auto" w:before="29"/>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240" w:lineRule="auto" w:before="43"/>
        <w:ind w:right="0"/>
        <w:jc w:val="left"/>
      </w:pPr>
      <w:r>
        <w:rPr/>
        <w:t>股份变动对最近一年和最近一期基本每股收益和稀释每股收益、归属于公司普通股股东的每股净资产等财务指标的影响</w:t>
      </w:r>
    </w:p>
    <w:p>
      <w:pPr>
        <w:pStyle w:val="BodyText"/>
        <w:spacing w:line="338"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2"/>
        <w:gridCol w:w="175"/>
        <w:gridCol w:w="816"/>
        <w:gridCol w:w="553"/>
        <w:gridCol w:w="440"/>
        <w:gridCol w:w="994"/>
        <w:gridCol w:w="850"/>
        <w:gridCol w:w="851"/>
        <w:gridCol w:w="981"/>
        <w:gridCol w:w="578"/>
        <w:gridCol w:w="779"/>
      </w:tblGrid>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19,280</w:t>
            </w:r>
          </w:p>
        </w:tc>
        <w:tc>
          <w:tcPr>
            <w:tcW w:w="411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9" w:right="0"/>
              <w:jc w:val="left"/>
              <w:rPr>
                <w:rFonts w:ascii="Times New Roman" w:hAnsi="Times New Roman" w:cs="Times New Roman" w:eastAsia="Times New Roman" w:hint="default"/>
                <w:sz w:val="18"/>
                <w:szCs w:val="18"/>
              </w:rPr>
            </w:pPr>
            <w:r>
              <w:rPr>
                <w:rFonts w:ascii="Times New Roman"/>
                <w:sz w:val="18"/>
              </w:rPr>
              <w:t>18,433</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382" w:hRule="exact"/>
        </w:trPr>
        <w:tc>
          <w:tcPr>
            <w:tcW w:w="2552" w:type="dxa"/>
            <w:tcBorders>
              <w:top w:val="single" w:sz="4" w:space="0" w:color="000000"/>
              <w:left w:val="single" w:sz="4" w:space="0" w:color="000000"/>
              <w:bottom w:val="nil" w:sz="6" w:space="0" w:color="auto"/>
              <w:right w:val="single" w:sz="4" w:space="0" w:color="000000"/>
            </w:tcBorders>
            <w:shd w:val="clear" w:color="auto" w:fill="D3D3D3"/>
          </w:tcPr>
          <w:p>
            <w:pPr/>
          </w:p>
        </w:tc>
        <w:tc>
          <w:tcPr>
            <w:tcW w:w="99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60"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0" w:right="2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71"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gridSpan w:val="2"/>
            <w:vMerge/>
            <w:tcBorders>
              <w:left w:val="single" w:sz="4" w:space="0" w:color="000000"/>
              <w:right w:val="single" w:sz="4" w:space="0" w:color="000000"/>
            </w:tcBorders>
            <w:shd w:val="clear" w:color="auto" w:fill="D3D3D3"/>
          </w:tcPr>
          <w:p>
            <w:pPr/>
          </w:p>
        </w:tc>
        <w:tc>
          <w:tcPr>
            <w:tcW w:w="992" w:type="dxa"/>
            <w:gridSpan w:val="2"/>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981" w:type="dxa"/>
            <w:vMerge/>
            <w:tcBorders>
              <w:left w:val="single" w:sz="4" w:space="0" w:color="000000"/>
              <w:right w:val="single" w:sz="4" w:space="0" w:color="000000"/>
            </w:tcBorders>
            <w:shd w:val="clear" w:color="auto" w:fill="D3D3D3"/>
          </w:tcPr>
          <w:p>
            <w:pP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109"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7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62" w:hRule="exact"/>
        </w:trPr>
        <w:tc>
          <w:tcPr>
            <w:tcW w:w="2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991" w:type="dxa"/>
            <w:gridSpan w:val="2"/>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981"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77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西南通信研究所（中国电子科技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集团公司第三十研究所）</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34.83%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60,154,937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60,154,937</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2"/>
        <w:gridCol w:w="991"/>
        <w:gridCol w:w="992"/>
        <w:gridCol w:w="142"/>
        <w:gridCol w:w="852"/>
        <w:gridCol w:w="850"/>
        <w:gridCol w:w="452"/>
        <w:gridCol w:w="398"/>
        <w:gridCol w:w="981"/>
        <w:gridCol w:w="578"/>
        <w:gridCol w:w="779"/>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何海波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5,350,000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5,350,000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全国社会保障基金理事会转持 二户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4,375,800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4,375,800</w:t>
            </w:r>
          </w:p>
        </w:tc>
        <w:tc>
          <w:tcPr>
            <w:tcW w:w="9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中国人民人寿保险股份有限公 司－分红－个险分红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4,176,274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4,176,274</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中国人民财产保险股份有限公 司－传统－普通保险产品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3,231,190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3,231,190</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中国农业银行－长信银利精选 证券投资基金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2,369,936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2,369,936</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罗天文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1,964,146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982,073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982,073</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黄月江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1,561,237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1,561,237</w:t>
            </w:r>
          </w:p>
        </w:tc>
        <w:tc>
          <w:tcPr>
            <w:tcW w:w="9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游小明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1,258,243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1,258,243</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招商银行股份有限公司－中银 蓝筹精选灵活配置混合型证券 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1,116,271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1,116,271</w:t>
            </w:r>
          </w:p>
        </w:tc>
        <w:tc>
          <w:tcPr>
            <w:tcW w:w="57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p>
        </w:tc>
        <w:tc>
          <w:tcPr>
            <w:tcW w:w="6024" w:type="dxa"/>
            <w:gridSpan w:val="9"/>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354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024" w:type="dxa"/>
            <w:gridSpan w:val="9"/>
            <w:vMerge w:val="restart"/>
            <w:tcBorders>
              <w:top w:val="single" w:sz="4" w:space="0" w:color="000000"/>
              <w:left w:val="single" w:sz="4" w:space="0" w:color="000000"/>
              <w:right w:val="single" w:sz="4" w:space="0" w:color="000000"/>
            </w:tcBorders>
            <w:shd w:val="clear" w:color="auto" w:fill="C7EDCC"/>
          </w:tcPr>
          <w:p>
            <w:pPr>
              <w:pStyle w:val="TableParagraph"/>
              <w:spacing w:line="309"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黄月江在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月期间担任中国电子科技集团公司第三 十研究所所长。除此之外，公司未知上述其余股东之间是否存在关联关系和 一致行动人情形。</w:t>
            </w:r>
          </w:p>
        </w:tc>
      </w:tr>
      <w:tr>
        <w:trPr>
          <w:trHeight w:val="392" w:hRule="exact"/>
        </w:trPr>
        <w:tc>
          <w:tcPr>
            <w:tcW w:w="354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24" w:type="dxa"/>
            <w:gridSpan w:val="9"/>
            <w:vMerge/>
            <w:tcBorders>
              <w:left w:val="single" w:sz="4" w:space="0" w:color="000000"/>
              <w:right w:val="single" w:sz="4" w:space="0" w:color="000000"/>
            </w:tcBorders>
            <w:shd w:val="clear" w:color="auto" w:fill="C7EDCC"/>
          </w:tcPr>
          <w:p>
            <w:pPr/>
          </w:p>
        </w:tc>
      </w:tr>
      <w:tr>
        <w:trPr>
          <w:trHeight w:val="317" w:hRule="exact"/>
        </w:trPr>
        <w:tc>
          <w:tcPr>
            <w:tcW w:w="354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024" w:type="dxa"/>
            <w:gridSpan w:val="9"/>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4678"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215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555" w:right="79" w:hanging="473"/>
              <w:jc w:val="left"/>
              <w:rPr>
                <w:rFonts w:ascii="宋体" w:hAnsi="宋体" w:cs="宋体" w:eastAsia="宋体" w:hint="default"/>
                <w:sz w:val="18"/>
                <w:szCs w:val="18"/>
              </w:rPr>
            </w:pPr>
            <w:r>
              <w:rPr>
                <w:rFonts w:ascii="宋体" w:hAnsi="宋体" w:cs="宋体" w:eastAsia="宋体" w:hint="default"/>
                <w:sz w:val="18"/>
                <w:szCs w:val="18"/>
              </w:rPr>
              <w:t>年末持有无限售条件股份 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4678"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54" w:type="dxa"/>
            <w:gridSpan w:val="3"/>
            <w:vMerge/>
            <w:tcBorders>
              <w:left w:val="single" w:sz="4" w:space="0" w:color="000000"/>
              <w:right w:val="single" w:sz="4" w:space="0" w:color="000000"/>
            </w:tcBorders>
            <w:shd w:val="clear" w:color="auto" w:fill="D3D3D3"/>
          </w:tcPr>
          <w:p>
            <w:pPr/>
          </w:p>
        </w:tc>
        <w:tc>
          <w:tcPr>
            <w:tcW w:w="2736"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4678" w:type="dxa"/>
            <w:gridSpan w:val="4"/>
            <w:vMerge/>
            <w:tcBorders>
              <w:left w:val="single" w:sz="4" w:space="0" w:color="000000"/>
              <w:bottom w:val="nil" w:sz="6" w:space="0" w:color="auto"/>
              <w:right w:val="single" w:sz="4" w:space="0" w:color="000000"/>
            </w:tcBorders>
            <w:shd w:val="clear" w:color="auto" w:fill="D3D3D3"/>
          </w:tcPr>
          <w:p>
            <w:pPr/>
          </w:p>
        </w:tc>
        <w:tc>
          <w:tcPr>
            <w:tcW w:w="2154" w:type="dxa"/>
            <w:gridSpan w:val="3"/>
            <w:vMerge/>
            <w:tcBorders>
              <w:left w:val="single" w:sz="4" w:space="0" w:color="000000"/>
              <w:right w:val="single" w:sz="4" w:space="0" w:color="000000"/>
            </w:tcBorders>
            <w:shd w:val="clear" w:color="auto" w:fill="D3D3D3"/>
          </w:tcPr>
          <w:p>
            <w:pPr/>
          </w:p>
        </w:tc>
        <w:tc>
          <w:tcPr>
            <w:tcW w:w="13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678"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2154" w:type="dxa"/>
            <w:gridSpan w:val="3"/>
            <w:vMerge/>
            <w:tcBorders>
              <w:left w:val="single" w:sz="4" w:space="0" w:color="000000"/>
              <w:bottom w:val="single" w:sz="4" w:space="0" w:color="000000"/>
              <w:right w:val="single" w:sz="4" w:space="0" w:color="000000"/>
            </w:tcBorders>
            <w:shd w:val="clear" w:color="auto" w:fill="D3D3D3"/>
          </w:tcPr>
          <w:p>
            <w:pPr/>
          </w:p>
        </w:tc>
        <w:tc>
          <w:tcPr>
            <w:tcW w:w="1379" w:type="dxa"/>
            <w:gridSpan w:val="2"/>
            <w:vMerge/>
            <w:tcBorders>
              <w:left w:val="single" w:sz="4" w:space="0" w:color="000000"/>
              <w:bottom w:val="single" w:sz="4" w:space="0" w:color="000000"/>
              <w:right w:val="single" w:sz="4" w:space="0" w:color="000000"/>
            </w:tcBorders>
            <w:shd w:val="clear" w:color="auto" w:fill="D3D3D3"/>
          </w:tcPr>
          <w:p>
            <w:pPr/>
          </w:p>
        </w:tc>
        <w:tc>
          <w:tcPr>
            <w:tcW w:w="1357"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西南通信研究所（中国电子科技集团公司第三十研究所）</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1" w:right="0"/>
              <w:jc w:val="left"/>
              <w:rPr>
                <w:rFonts w:ascii="Times New Roman" w:hAnsi="Times New Roman" w:cs="Times New Roman" w:eastAsia="Times New Roman" w:hint="default"/>
                <w:sz w:val="18"/>
                <w:szCs w:val="18"/>
              </w:rPr>
            </w:pPr>
            <w:r>
              <w:rPr>
                <w:rFonts w:ascii="Times New Roman"/>
                <w:sz w:val="18"/>
              </w:rPr>
              <w:t>60,154,937</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60,154,937</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何海波</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5,350,000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5,350,000</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中国人民人寿保险股份有限公司－分红－个险分红</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4,176,274</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4,176,274</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中国人民财产保险股份有限公司－传统－普通保险产品</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3,231,190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3,231,190</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中国农业银行－长信银利精选证券投资基金</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2,369,936</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2,369,936</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游小明</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1,258,243</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1,258,243</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招商银行股份有限公司－中银蓝筹精选灵活配置混合型证 券投资基金</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8" w:right="0"/>
              <w:jc w:val="left"/>
              <w:rPr>
                <w:rFonts w:ascii="Times New Roman" w:hAnsi="Times New Roman" w:cs="Times New Roman" w:eastAsia="Times New Roman" w:hint="default"/>
                <w:sz w:val="18"/>
                <w:szCs w:val="18"/>
              </w:rPr>
            </w:pPr>
            <w:r>
              <w:rPr>
                <w:rFonts w:ascii="Times New Roman"/>
                <w:sz w:val="18"/>
              </w:rPr>
              <w:t>1,116,271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1,116,271</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袁琴</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1,103,254</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1,103,254</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吕文杰</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1" w:right="0"/>
              <w:jc w:val="left"/>
              <w:rPr>
                <w:rFonts w:ascii="Times New Roman" w:hAnsi="Times New Roman" w:cs="Times New Roman" w:eastAsia="Times New Roman" w:hint="default"/>
                <w:sz w:val="18"/>
                <w:szCs w:val="18"/>
              </w:rPr>
            </w:pPr>
            <w:r>
              <w:rPr>
                <w:rFonts w:ascii="Times New Roman"/>
                <w:sz w:val="18"/>
              </w:rPr>
              <w:t>1,009,438</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1,009,438</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罗天文</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982,073</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9" w:right="0"/>
              <w:jc w:val="left"/>
              <w:rPr>
                <w:rFonts w:ascii="Times New Roman" w:hAnsi="Times New Roman" w:cs="Times New Roman" w:eastAsia="Times New Roman" w:hint="default"/>
                <w:sz w:val="18"/>
                <w:szCs w:val="18"/>
              </w:rPr>
            </w:pPr>
            <w:r>
              <w:rPr>
                <w:rFonts w:ascii="Times New Roman"/>
                <w:sz w:val="18"/>
              </w:rPr>
              <w:t>982,073</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890"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4"/>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公司未知上述股东之间是否存在关联关系和一致行动人情形。</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2"/>
        <w:gridCol w:w="1134"/>
        <w:gridCol w:w="1134"/>
        <w:gridCol w:w="1559"/>
        <w:gridCol w:w="1385"/>
        <w:gridCol w:w="1804"/>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18" w:hRule="exact"/>
        </w:trPr>
        <w:tc>
          <w:tcPr>
            <w:tcW w:w="2552"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45075706-3</w:t>
            </w:r>
          </w:p>
        </w:tc>
        <w:tc>
          <w:tcPr>
            <w:tcW w:w="138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4"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军用信息安全和保密， 通信网络和信息系统 </w:t>
            </w:r>
            <w:r>
              <w:rPr>
                <w:rFonts w:ascii="宋体" w:hAnsi="宋体" w:cs="宋体" w:eastAsia="宋体" w:hint="default"/>
                <w:spacing w:val="-6"/>
                <w:sz w:val="18"/>
                <w:szCs w:val="18"/>
              </w:rPr>
              <w:t>领域的装备研制、工程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建设和信息服务等。</w:t>
            </w:r>
          </w:p>
        </w:tc>
      </w:tr>
      <w:tr>
        <w:trPr>
          <w:trHeight w:val="703" w:hRule="exact"/>
        </w:trPr>
        <w:tc>
          <w:tcPr>
            <w:tcW w:w="25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西南通信研究所（中国电子科技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集团公司第三十研究所）</w:t>
            </w:r>
          </w:p>
        </w:tc>
        <w:tc>
          <w:tcPr>
            <w:tcW w:w="1134" w:type="dxa"/>
            <w:vMerge/>
            <w:tcBorders>
              <w:left w:val="single" w:sz="4" w:space="0" w:color="000000"/>
              <w:right w:val="single" w:sz="4" w:space="0" w:color="000000"/>
            </w:tcBorders>
            <w:shd w:val="clear" w:color="auto" w:fill="C7EDCC"/>
          </w:tcPr>
          <w:p>
            <w:pPr/>
          </w:p>
        </w:tc>
        <w:tc>
          <w:tcPr>
            <w:tcW w:w="1134"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shd w:val="clear" w:color="auto" w:fill="C7EDCC"/>
          </w:tcPr>
          <w:p>
            <w:pPr/>
          </w:p>
        </w:tc>
        <w:tc>
          <w:tcPr>
            <w:tcW w:w="1385" w:type="dxa"/>
            <w:vMerge/>
            <w:tcBorders>
              <w:left w:val="single" w:sz="4" w:space="0" w:color="000000"/>
              <w:right w:val="single" w:sz="4" w:space="0" w:color="000000"/>
            </w:tcBorders>
            <w:shd w:val="clear" w:color="auto" w:fill="C7EDCC"/>
          </w:tcPr>
          <w:p>
            <w:pPr/>
          </w:p>
        </w:tc>
        <w:tc>
          <w:tcPr>
            <w:tcW w:w="1804" w:type="dxa"/>
            <w:vMerge/>
            <w:tcBorders>
              <w:left w:val="single" w:sz="4" w:space="0" w:color="000000"/>
              <w:right w:val="single" w:sz="4" w:space="0" w:color="000000"/>
            </w:tcBorders>
            <w:shd w:val="clear" w:color="auto" w:fill="C7EDCC"/>
          </w:tcPr>
          <w:p>
            <w:pPr/>
          </w:p>
        </w:tc>
      </w:tr>
      <w:tr>
        <w:trPr>
          <w:trHeight w:val="317" w:hRule="exact"/>
        </w:trPr>
        <w:tc>
          <w:tcPr>
            <w:tcW w:w="2552"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vMerge/>
            <w:tcBorders>
              <w:left w:val="single" w:sz="4" w:space="0" w:color="000000"/>
              <w:bottom w:val="single" w:sz="4" w:space="0" w:color="000000"/>
              <w:right w:val="single" w:sz="4" w:space="0" w:color="000000"/>
            </w:tcBorders>
            <w:shd w:val="clear" w:color="auto" w:fill="C7EDCC"/>
          </w:tcPr>
          <w:p>
            <w:pPr/>
          </w:p>
        </w:tc>
        <w:tc>
          <w:tcPr>
            <w:tcW w:w="1134"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shd w:val="clear" w:color="auto" w:fill="C7EDCC"/>
          </w:tcPr>
          <w:p>
            <w:pPr/>
          </w:p>
        </w:tc>
        <w:tc>
          <w:tcPr>
            <w:tcW w:w="1385" w:type="dxa"/>
            <w:vMerge/>
            <w:tcBorders>
              <w:left w:val="single" w:sz="4" w:space="0" w:color="000000"/>
              <w:bottom w:val="single" w:sz="4" w:space="0" w:color="000000"/>
              <w:right w:val="single" w:sz="4" w:space="0" w:color="000000"/>
            </w:tcBorders>
            <w:shd w:val="clear" w:color="auto" w:fill="C7EDCC"/>
          </w:tcPr>
          <w:p>
            <w:pPr/>
          </w:p>
        </w:tc>
        <w:tc>
          <w:tcPr>
            <w:tcW w:w="1804"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2552" w:type="dxa"/>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316" w:lineRule="auto" w:before="52"/>
              <w:ind w:left="22" w:right="15"/>
              <w:jc w:val="left"/>
              <w:rPr>
                <w:rFonts w:ascii="宋体" w:hAnsi="宋体" w:cs="宋体" w:eastAsia="宋体" w:hint="default"/>
                <w:sz w:val="18"/>
                <w:szCs w:val="18"/>
              </w:rPr>
            </w:pPr>
            <w:r>
              <w:rPr>
                <w:rFonts w:ascii="宋体" w:hAnsi="宋体" w:cs="宋体" w:eastAsia="宋体" w:hint="default"/>
                <w:spacing w:val="-2"/>
                <w:sz w:val="18"/>
                <w:szCs w:val="18"/>
              </w:rPr>
              <w:t>经营成果、财务状况、现金流和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未来发展战略等</w:t>
            </w:r>
          </w:p>
        </w:tc>
        <w:tc>
          <w:tcPr>
            <w:tcW w:w="7015" w:type="dxa"/>
            <w:gridSpan w:val="5"/>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按照国家相关法律法规，中国电子科技集团公司第三十研究所作为军工科研事业单位，其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重要财务信息及发展战略属于保密信息，暂不披露。</w:t>
            </w:r>
          </w:p>
        </w:tc>
      </w:tr>
      <w:tr>
        <w:trPr>
          <w:trHeight w:val="317" w:hRule="exact"/>
        </w:trPr>
        <w:tc>
          <w:tcPr>
            <w:tcW w:w="25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015"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1" w:hRule="exact"/>
        </w:trPr>
        <w:tc>
          <w:tcPr>
            <w:tcW w:w="2552" w:type="dxa"/>
            <w:vMerge/>
            <w:tcBorders>
              <w:left w:val="single" w:sz="4" w:space="0" w:color="000000"/>
              <w:right w:val="single" w:sz="4" w:space="0" w:color="000000"/>
            </w:tcBorders>
            <w:shd w:val="clear" w:color="auto" w:fill="D3D3D3"/>
          </w:tcPr>
          <w:p>
            <w:pPr/>
          </w:p>
        </w:tc>
        <w:tc>
          <w:tcPr>
            <w:tcW w:w="7015"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552" w:type="dxa"/>
            <w:vMerge/>
            <w:tcBorders>
              <w:left w:val="single" w:sz="4" w:space="0" w:color="000000"/>
              <w:bottom w:val="single" w:sz="4" w:space="0" w:color="000000"/>
              <w:right w:val="single" w:sz="4" w:space="0" w:color="000000"/>
            </w:tcBorders>
            <w:shd w:val="clear" w:color="auto" w:fill="D3D3D3"/>
          </w:tcPr>
          <w:p>
            <w:pPr/>
          </w:p>
        </w:tc>
        <w:tc>
          <w:tcPr>
            <w:tcW w:w="7015"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2"/>
        <w:ind w:right="0"/>
        <w:jc w:val="left"/>
      </w:pPr>
      <w:r>
        <w:rPr/>
        <w:t>报告期控股股东变更</w:t>
      </w:r>
    </w:p>
    <w:p>
      <w:pPr>
        <w:spacing w:line="547" w:lineRule="auto" w:before="116"/>
        <w:ind w:left="154" w:right="7557" w:firstLine="0"/>
        <w:jc w:val="left"/>
        <w:rPr>
          <w:rFonts w:ascii="宋体" w:hAnsi="宋体" w:cs="宋体" w:eastAsia="宋体" w:hint="default"/>
          <w:sz w:val="18"/>
          <w:szCs w:val="18"/>
        </w:rPr>
      </w:pPr>
      <w:r>
        <w:rPr/>
        <w:pict>
          <v:shape style="position:absolute;margin-left:56.459999pt;margin-top:84.112343pt;width:479.1pt;height:327.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880"/>
                    <w:gridCol w:w="212"/>
                    <w:gridCol w:w="889"/>
                    <w:gridCol w:w="718"/>
                    <w:gridCol w:w="1082"/>
                    <w:gridCol w:w="505"/>
                    <w:gridCol w:w="1296"/>
                    <w:gridCol w:w="684"/>
                    <w:gridCol w:w="1120"/>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91"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2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1092"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熊群力</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71092949-8</w:t>
                        </w: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主要从事国家重要军 民用大型电子信息系 </w:t>
                        </w:r>
                        <w:r>
                          <w:rPr>
                            <w:rFonts w:ascii="宋体" w:hAnsi="宋体" w:cs="宋体" w:eastAsia="宋体" w:hint="default"/>
                            <w:spacing w:val="-6"/>
                            <w:sz w:val="18"/>
                            <w:szCs w:val="18"/>
                          </w:rPr>
                          <w:t>统的工程建设，重大装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备、通信与电子设备、 软件和关键元器件的 研制生产。</w:t>
                        </w:r>
                      </w:p>
                    </w:tc>
                  </w:tr>
                  <w:tr>
                    <w:trPr>
                      <w:trHeight w:val="1031" w:hRule="exact"/>
                    </w:trPr>
                    <w:tc>
                      <w:tcPr>
                        <w:tcW w:w="2182"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9"/>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4" w:right="20"/>
                          <w:jc w:val="both"/>
                          <w:rPr>
                            <w:rFonts w:ascii="宋体" w:hAnsi="宋体" w:cs="宋体" w:eastAsia="宋体" w:hint="default"/>
                            <w:sz w:val="18"/>
                            <w:szCs w:val="18"/>
                          </w:rPr>
                        </w:pPr>
                        <w:r>
                          <w:rPr>
                            <w:rFonts w:ascii="宋体" w:hAnsi="宋体" w:cs="宋体" w:eastAsia="宋体" w:hint="default"/>
                            <w:spacing w:val="-1"/>
                            <w:sz w:val="18"/>
                            <w:szCs w:val="18"/>
                          </w:rPr>
                          <w:t>中国电子科技集团公司未来将由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以军为主、以民为辅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以军为核心、以民为主体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的军民融</w:t>
                        </w:r>
                        <w:r>
                          <w:rPr>
                            <w:rFonts w:ascii="宋体" w:hAnsi="宋体" w:cs="宋体" w:eastAsia="宋体" w:hint="default"/>
                            <w:spacing w:val="-60"/>
                            <w:sz w:val="18"/>
                            <w:szCs w:val="18"/>
                          </w:rPr>
                          <w:t> </w:t>
                        </w:r>
                        <w:r>
                          <w:rPr>
                            <w:rFonts w:ascii="宋体" w:hAnsi="宋体" w:cs="宋体" w:eastAsia="宋体" w:hint="default"/>
                            <w:spacing w:val="-2"/>
                            <w:sz w:val="18"/>
                            <w:szCs w:val="18"/>
                          </w:rPr>
                          <w:t>合转型，从国内企业向国际化企业转变，成为世界一流的高端电子信息产品供应商、信息技术</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为支撑的系统集成商、电子信息营运服务商。</w:t>
                        </w:r>
                      </w:p>
                    </w:tc>
                  </w:tr>
                  <w:tr>
                    <w:trPr>
                      <w:trHeight w:val="407" w:hRule="exact"/>
                    </w:trPr>
                    <w:tc>
                      <w:tcPr>
                        <w:tcW w:w="2182" w:type="dxa"/>
                        <w:vMerge w:val="restart"/>
                        <w:tcBorders>
                          <w:top w:val="single" w:sz="4" w:space="0" w:color="000000"/>
                          <w:left w:val="single" w:sz="4" w:space="0" w:color="000000"/>
                          <w:right w:val="single" w:sz="17"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2" w:right="150"/>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880" w:type="dxa"/>
                        <w:tcBorders>
                          <w:top w:val="single" w:sz="8" w:space="0" w:color="000000"/>
                          <w:left w:val="single" w:sz="17" w:space="0" w:color="000000"/>
                          <w:bottom w:val="single" w:sz="4" w:space="0" w:color="000000"/>
                          <w:right w:val="single" w:sz="4" w:space="0" w:color="000000"/>
                        </w:tcBorders>
                        <w:shd w:val="clear" w:color="auto" w:fill="C7EDCC"/>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819" w:type="dxa"/>
                        <w:gridSpan w:val="3"/>
                        <w:tcBorders>
                          <w:top w:val="single" w:sz="8"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588" w:type="dxa"/>
                        <w:gridSpan w:val="2"/>
                        <w:tcBorders>
                          <w:top w:val="single" w:sz="8"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代码</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持有股份（万股）</w:t>
                        </w:r>
                      </w:p>
                    </w:tc>
                    <w:tc>
                      <w:tcPr>
                        <w:tcW w:w="1120" w:type="dxa"/>
                        <w:vMerge w:val="restart"/>
                        <w:tcBorders>
                          <w:top w:val="single" w:sz="4" w:space="0" w:color="000000"/>
                          <w:left w:val="single" w:sz="4" w:space="0" w:color="000000"/>
                          <w:right w:val="single" w:sz="4" w:space="0" w:color="000000"/>
                        </w:tcBorders>
                        <w:shd w:val="clear" w:color="auto" w:fill="C7EDCC"/>
                      </w:tcPr>
                      <w:p>
                        <w:pPr/>
                      </w:p>
                    </w:tc>
                  </w:tr>
                  <w:tr>
                    <w:trPr>
                      <w:trHeight w:val="402" w:hRule="exact"/>
                    </w:trPr>
                    <w:tc>
                      <w:tcPr>
                        <w:tcW w:w="2182" w:type="dxa"/>
                        <w:vMerge/>
                        <w:tcBorders>
                          <w:left w:val="single" w:sz="4" w:space="0" w:color="000000"/>
                          <w:right w:val="single" w:sz="17" w:space="0" w:color="000000"/>
                        </w:tcBorders>
                        <w:shd w:val="clear" w:color="auto" w:fill="D3D3D3"/>
                      </w:tcPr>
                      <w:p>
                        <w:pPr/>
                      </w:p>
                    </w:tc>
                    <w:tc>
                      <w:tcPr>
                        <w:tcW w:w="880" w:type="dxa"/>
                        <w:tcBorders>
                          <w:top w:val="single" w:sz="4" w:space="0" w:color="000000"/>
                          <w:left w:val="single" w:sz="17" w:space="0" w:color="000000"/>
                          <w:bottom w:val="single" w:sz="4" w:space="0" w:color="000000"/>
                          <w:right w:val="single" w:sz="4" w:space="0" w:color="000000"/>
                        </w:tcBorders>
                        <w:shd w:val="clear" w:color="auto" w:fill="C7EDCC"/>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杰赛科技</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002544</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6046.60</w:t>
                        </w:r>
                      </w:p>
                    </w:tc>
                    <w:tc>
                      <w:tcPr>
                        <w:tcW w:w="1120" w:type="dxa"/>
                        <w:vMerge/>
                        <w:tcBorders>
                          <w:left w:val="single" w:sz="4" w:space="0" w:color="000000"/>
                          <w:right w:val="single" w:sz="4" w:space="0" w:color="000000"/>
                        </w:tcBorders>
                        <w:shd w:val="clear" w:color="auto" w:fill="C7EDCC"/>
                      </w:tcPr>
                      <w:p>
                        <w:pPr/>
                      </w:p>
                    </w:tc>
                  </w:tr>
                  <w:tr>
                    <w:trPr>
                      <w:trHeight w:val="402" w:hRule="exact"/>
                    </w:trPr>
                    <w:tc>
                      <w:tcPr>
                        <w:tcW w:w="2182" w:type="dxa"/>
                        <w:vMerge/>
                        <w:tcBorders>
                          <w:left w:val="single" w:sz="4" w:space="0" w:color="000000"/>
                          <w:right w:val="single" w:sz="17" w:space="0" w:color="000000"/>
                        </w:tcBorders>
                        <w:shd w:val="clear" w:color="auto" w:fill="D3D3D3"/>
                      </w:tcPr>
                      <w:p>
                        <w:pPr/>
                      </w:p>
                    </w:tc>
                    <w:tc>
                      <w:tcPr>
                        <w:tcW w:w="880" w:type="dxa"/>
                        <w:tcBorders>
                          <w:top w:val="single" w:sz="4" w:space="0" w:color="000000"/>
                          <w:left w:val="single" w:sz="17" w:space="0" w:color="000000"/>
                          <w:bottom w:val="single" w:sz="4" w:space="0" w:color="000000"/>
                          <w:right w:val="single" w:sz="4" w:space="0" w:color="000000"/>
                        </w:tcBorders>
                        <w:shd w:val="clear" w:color="auto" w:fill="C7EDCC"/>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2</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海康威视</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002415</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85210.00</w:t>
                        </w:r>
                      </w:p>
                    </w:tc>
                    <w:tc>
                      <w:tcPr>
                        <w:tcW w:w="1120" w:type="dxa"/>
                        <w:vMerge/>
                        <w:tcBorders>
                          <w:left w:val="single" w:sz="4" w:space="0" w:color="000000"/>
                          <w:right w:val="single" w:sz="4" w:space="0" w:color="000000"/>
                        </w:tcBorders>
                        <w:shd w:val="clear" w:color="auto" w:fill="C7EDCC"/>
                      </w:tcPr>
                      <w:p>
                        <w:pPr/>
                      </w:p>
                    </w:tc>
                  </w:tr>
                  <w:tr>
                    <w:trPr>
                      <w:trHeight w:val="402" w:hRule="exact"/>
                    </w:trPr>
                    <w:tc>
                      <w:tcPr>
                        <w:tcW w:w="2182" w:type="dxa"/>
                        <w:vMerge/>
                        <w:tcBorders>
                          <w:left w:val="single" w:sz="4" w:space="0" w:color="000000"/>
                          <w:right w:val="single" w:sz="17" w:space="0" w:color="000000"/>
                        </w:tcBorders>
                        <w:shd w:val="clear" w:color="auto" w:fill="D3D3D3"/>
                      </w:tcPr>
                      <w:p>
                        <w:pPr/>
                      </w:p>
                    </w:tc>
                    <w:tc>
                      <w:tcPr>
                        <w:tcW w:w="880" w:type="dxa"/>
                        <w:tcBorders>
                          <w:top w:val="single" w:sz="4" w:space="0" w:color="000000"/>
                          <w:left w:val="single" w:sz="17" w:space="0" w:color="000000"/>
                          <w:bottom w:val="single" w:sz="4" w:space="0" w:color="000000"/>
                          <w:right w:val="single" w:sz="4" w:space="0" w:color="000000"/>
                        </w:tcBorders>
                        <w:shd w:val="clear" w:color="auto" w:fill="C7EDCC"/>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3</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华东电脑</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600850</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14816.57</w:t>
                        </w:r>
                      </w:p>
                    </w:tc>
                    <w:tc>
                      <w:tcPr>
                        <w:tcW w:w="1120" w:type="dxa"/>
                        <w:vMerge/>
                        <w:tcBorders>
                          <w:left w:val="single" w:sz="4" w:space="0" w:color="000000"/>
                          <w:right w:val="single" w:sz="4" w:space="0" w:color="000000"/>
                        </w:tcBorders>
                        <w:shd w:val="clear" w:color="auto" w:fill="C7EDCC"/>
                      </w:tcPr>
                      <w:p>
                        <w:pPr/>
                      </w:p>
                    </w:tc>
                  </w:tr>
                  <w:tr>
                    <w:trPr>
                      <w:trHeight w:val="402" w:hRule="exact"/>
                    </w:trPr>
                    <w:tc>
                      <w:tcPr>
                        <w:tcW w:w="2182" w:type="dxa"/>
                        <w:vMerge/>
                        <w:tcBorders>
                          <w:left w:val="single" w:sz="4" w:space="0" w:color="000000"/>
                          <w:right w:val="single" w:sz="17" w:space="0" w:color="000000"/>
                        </w:tcBorders>
                        <w:shd w:val="clear" w:color="auto" w:fill="D3D3D3"/>
                      </w:tcPr>
                      <w:p>
                        <w:pPr/>
                      </w:p>
                    </w:tc>
                    <w:tc>
                      <w:tcPr>
                        <w:tcW w:w="880" w:type="dxa"/>
                        <w:tcBorders>
                          <w:top w:val="single" w:sz="4" w:space="0" w:color="000000"/>
                          <w:left w:val="single" w:sz="17" w:space="0" w:color="000000"/>
                          <w:bottom w:val="single" w:sz="4" w:space="0" w:color="000000"/>
                          <w:right w:val="single" w:sz="4" w:space="0" w:color="000000"/>
                        </w:tcBorders>
                        <w:shd w:val="clear" w:color="auto" w:fill="C7EDCC"/>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4</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四创电子</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600990</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5741.67</w:t>
                        </w:r>
                      </w:p>
                    </w:tc>
                    <w:tc>
                      <w:tcPr>
                        <w:tcW w:w="1120" w:type="dxa"/>
                        <w:vMerge/>
                        <w:tcBorders>
                          <w:left w:val="single" w:sz="4" w:space="0" w:color="000000"/>
                          <w:right w:val="single" w:sz="4" w:space="0" w:color="000000"/>
                        </w:tcBorders>
                        <w:shd w:val="clear" w:color="auto" w:fill="C7EDCC"/>
                      </w:tcPr>
                      <w:p>
                        <w:pPr/>
                      </w:p>
                    </w:tc>
                  </w:tr>
                  <w:tr>
                    <w:trPr>
                      <w:trHeight w:val="402" w:hRule="exact"/>
                    </w:trPr>
                    <w:tc>
                      <w:tcPr>
                        <w:tcW w:w="2182" w:type="dxa"/>
                        <w:vMerge/>
                        <w:tcBorders>
                          <w:left w:val="single" w:sz="4" w:space="0" w:color="000000"/>
                          <w:right w:val="single" w:sz="17" w:space="0" w:color="000000"/>
                        </w:tcBorders>
                        <w:shd w:val="clear" w:color="auto" w:fill="D3D3D3"/>
                      </w:tcPr>
                      <w:p>
                        <w:pPr/>
                      </w:p>
                    </w:tc>
                    <w:tc>
                      <w:tcPr>
                        <w:tcW w:w="880" w:type="dxa"/>
                        <w:tcBorders>
                          <w:top w:val="single" w:sz="4" w:space="0" w:color="000000"/>
                          <w:left w:val="single" w:sz="17" w:space="0" w:color="000000"/>
                          <w:bottom w:val="single" w:sz="4" w:space="0" w:color="000000"/>
                          <w:right w:val="single" w:sz="4" w:space="0" w:color="000000"/>
                        </w:tcBorders>
                        <w:shd w:val="clear" w:color="auto" w:fill="C7EDCC"/>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5</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太极股份</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002368</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1038.94</w:t>
                        </w:r>
                      </w:p>
                    </w:tc>
                    <w:tc>
                      <w:tcPr>
                        <w:tcW w:w="1120" w:type="dxa"/>
                        <w:vMerge/>
                        <w:tcBorders>
                          <w:left w:val="single" w:sz="4" w:space="0" w:color="000000"/>
                          <w:right w:val="single" w:sz="4" w:space="0" w:color="000000"/>
                        </w:tcBorders>
                        <w:shd w:val="clear" w:color="auto" w:fill="C7EDCC"/>
                      </w:tcPr>
                      <w:p>
                        <w:pPr/>
                      </w:p>
                    </w:tc>
                  </w:tr>
                  <w:tr>
                    <w:trPr>
                      <w:trHeight w:val="412" w:hRule="exact"/>
                    </w:trPr>
                    <w:tc>
                      <w:tcPr>
                        <w:tcW w:w="2182" w:type="dxa"/>
                        <w:vMerge/>
                        <w:tcBorders>
                          <w:left w:val="single" w:sz="4" w:space="0" w:color="000000"/>
                          <w:bottom w:val="single" w:sz="4" w:space="0" w:color="000000"/>
                          <w:right w:val="single" w:sz="17" w:space="0" w:color="000000"/>
                        </w:tcBorders>
                        <w:shd w:val="clear" w:color="auto" w:fill="D3D3D3"/>
                      </w:tcPr>
                      <w:p>
                        <w:pPr/>
                      </w:p>
                    </w:tc>
                    <w:tc>
                      <w:tcPr>
                        <w:tcW w:w="880" w:type="dxa"/>
                        <w:tcBorders>
                          <w:top w:val="single" w:sz="4" w:space="0" w:color="000000"/>
                          <w:left w:val="single" w:sz="17" w:space="0" w:color="000000"/>
                          <w:bottom w:val="single" w:sz="8" w:space="0" w:color="000000"/>
                          <w:right w:val="single" w:sz="4" w:space="0" w:color="000000"/>
                        </w:tcBorders>
                        <w:shd w:val="clear" w:color="auto" w:fill="C7EDCC"/>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6</w:t>
                        </w:r>
                      </w:p>
                    </w:tc>
                    <w:tc>
                      <w:tcPr>
                        <w:tcW w:w="1819" w:type="dxa"/>
                        <w:gridSpan w:val="3"/>
                        <w:tcBorders>
                          <w:top w:val="single" w:sz="4" w:space="0" w:color="000000"/>
                          <w:left w:val="single" w:sz="4" w:space="0" w:color="000000"/>
                          <w:bottom w:val="single" w:sz="8" w:space="0" w:color="000000"/>
                          <w:right w:val="single" w:sz="4" w:space="0" w:color="000000"/>
                        </w:tcBorders>
                        <w:shd w:val="clear" w:color="auto" w:fill="C7EDCC"/>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高淳陶瓷</w:t>
                        </w:r>
                      </w:p>
                    </w:tc>
                    <w:tc>
                      <w:tcPr>
                        <w:tcW w:w="1588" w:type="dxa"/>
                        <w:gridSpan w:val="2"/>
                        <w:tcBorders>
                          <w:top w:val="single" w:sz="4" w:space="0" w:color="000000"/>
                          <w:left w:val="single" w:sz="4" w:space="0" w:color="000000"/>
                          <w:bottom w:val="single" w:sz="8"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600562</w:t>
                        </w:r>
                      </w:p>
                    </w:tc>
                    <w:tc>
                      <w:tcPr>
                        <w:tcW w:w="1980" w:type="dxa"/>
                        <w:gridSpan w:val="2"/>
                        <w:tcBorders>
                          <w:top w:val="single" w:sz="4" w:space="0" w:color="000000"/>
                          <w:left w:val="single" w:sz="4" w:space="0" w:color="000000"/>
                          <w:bottom w:val="single" w:sz="8" w:space="0" w:color="000000"/>
                          <w:right w:val="single" w:sz="4" w:space="0" w:color="000000"/>
                        </w:tcBorders>
                        <w:shd w:val="clear" w:color="auto" w:fill="C7EDCC"/>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2298.16</w:t>
                        </w:r>
                      </w:p>
                    </w:tc>
                    <w:tc>
                      <w:tcPr>
                        <w:tcW w:w="1120" w:type="dxa"/>
                        <w:vMerge/>
                        <w:tcBorders>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报告期实际控制人变更</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公司与实际控制人之间的产权及控制关系的方框图</w:t>
      </w:r>
    </w:p>
    <w:p>
      <w:pPr>
        <w:spacing w:line="240" w:lineRule="auto" w:before="0"/>
        <w:rPr>
          <w:rFonts w:ascii="宋体" w:hAnsi="宋体" w:cs="宋体" w:eastAsia="宋体" w:hint="default"/>
          <w:sz w:val="26"/>
          <w:szCs w:val="26"/>
        </w:rPr>
      </w:pPr>
    </w:p>
    <w:p>
      <w:pPr>
        <w:spacing w:line="3882" w:lineRule="exact"/>
        <w:ind w:left="189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884655" cy="246564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884655" cy="2465641"/>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0"/>
        <w:rPr>
          <w:rFonts w:ascii="宋体" w:hAnsi="宋体" w:cs="宋体" w:eastAsia="宋体" w:hint="default"/>
          <w:sz w:val="19"/>
          <w:szCs w:val="19"/>
        </w:rPr>
      </w:pPr>
    </w:p>
    <w:p>
      <w:pPr>
        <w:pStyle w:val="Heading3"/>
        <w:spacing w:line="240" w:lineRule="auto"/>
        <w:ind w:left="153"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528"/>
        <w:gridCol w:w="568"/>
        <w:gridCol w:w="426"/>
        <w:gridCol w:w="1416"/>
        <w:gridCol w:w="141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8" w:right="7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黄月江</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1,561,237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1,561,237</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雷吉成</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893,307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893,307</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魏建平</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杨丹</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廖晓宜</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董秘，副总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528"/>
        <w:gridCol w:w="568"/>
        <w:gridCol w:w="426"/>
        <w:gridCol w:w="1416"/>
        <w:gridCol w:w="1410"/>
        <w:gridCol w:w="869"/>
        <w:gridCol w:w="869"/>
        <w:gridCol w:w="869"/>
        <w:gridCol w:w="869"/>
      </w:tblGrid>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吕涛</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罗伟</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胡安友</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2,471,244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2,471,244</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9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spacing w:val="-2"/>
        </w:rPr>
        <w:t>董事长李成刚先生：历任中国电子科技集团公司第十研究所副所长、中国电子科技集团公司第三十研究所党委书记兼副</w:t>
      </w:r>
    </w:p>
    <w:p>
      <w:pPr>
        <w:pStyle w:val="BodyText"/>
        <w:spacing w:line="300" w:lineRule="auto" w:before="2"/>
        <w:ind w:right="180"/>
        <w:jc w:val="left"/>
      </w:pPr>
      <w:r>
        <w:rPr/>
        <w:t>所长，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月至今任中国电子科技集团公司第三十研究所所长兼党委书记；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月，任本公司副董事</w:t>
      </w:r>
      <w:r>
        <w:rPr>
          <w:spacing w:val="-83"/>
        </w:rPr>
        <w:t> </w:t>
      </w:r>
      <w:r>
        <w:rPr>
          <w:spacing w:val="-83"/>
        </w:rPr>
      </w:r>
      <w:r>
        <w:rPr/>
        <w:t>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月至今，任本公司董事长。</w:t>
      </w:r>
    </w:p>
    <w:p>
      <w:pPr>
        <w:pStyle w:val="BodyText"/>
        <w:spacing w:line="300" w:lineRule="auto" w:before="13"/>
        <w:ind w:right="90" w:firstLine="360"/>
        <w:jc w:val="left"/>
      </w:pPr>
      <w:r>
        <w:rPr>
          <w:spacing w:val="-2"/>
        </w:rPr>
        <w:t>董事雷吉成先生：</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月至今，任中国电子科技集团公司第三十研究所副所长，</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月，曾任本公</w:t>
      </w:r>
      <w:r>
        <w:rPr/>
        <w:t> 司董事，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月至今，任本公司董事。</w:t>
      </w:r>
    </w:p>
    <w:p>
      <w:pPr>
        <w:pStyle w:val="BodyText"/>
        <w:spacing w:line="300" w:lineRule="auto" w:before="13"/>
        <w:ind w:right="90" w:firstLine="360"/>
        <w:jc w:val="left"/>
      </w:pPr>
      <w:r>
        <w:rPr/>
        <w:t>董事、总经理杨新先生：曾任中国电子科技集团公司第三十研究所副所长；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月至今任本公司总经理，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 </w:t>
      </w:r>
      <w:r>
        <w:rPr/>
        <w:t>月至今任本公司董事。</w:t>
      </w:r>
    </w:p>
    <w:p>
      <w:pPr>
        <w:pStyle w:val="BodyText"/>
        <w:spacing w:line="300" w:lineRule="auto" w:before="31"/>
        <w:ind w:right="182" w:firstLine="359"/>
        <w:jc w:val="left"/>
      </w:pPr>
      <w:r>
        <w:rPr/>
        <w:t>董事王文胜先生：历任中国电子科技集团公司第三十研究所专业</w:t>
      </w:r>
      <w:r>
        <w:rPr>
          <w:spacing w:val="-1"/>
        </w:rPr>
        <w:t> </w:t>
      </w:r>
      <w:r>
        <w:rPr/>
        <w:t>部主任、副总工程师，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月至今任中国电子科 技集团公司第三十研究所副所长；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月至今任本公司董事。</w:t>
      </w:r>
    </w:p>
    <w:p>
      <w:pPr>
        <w:pStyle w:val="BodyText"/>
        <w:spacing w:line="300" w:lineRule="auto" w:before="13"/>
        <w:ind w:right="90" w:firstLine="360"/>
        <w:jc w:val="left"/>
      </w:pPr>
      <w:r>
        <w:rPr>
          <w:spacing w:val="-2"/>
        </w:rPr>
        <w:t>董事卿昱女士：历任中国电子科技集团公司第三十研究所研究室副主任、主任、副总工程师，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月至今，任中国</w:t>
      </w:r>
      <w:r>
        <w:rPr/>
        <w:t> 电子科技集团公司第三十研究所副所长；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月至今，任本公司董事。</w:t>
      </w:r>
    </w:p>
    <w:p>
      <w:pPr>
        <w:pStyle w:val="BodyText"/>
        <w:spacing w:line="300" w:lineRule="auto" w:before="13"/>
        <w:ind w:left="514" w:right="90"/>
        <w:jc w:val="left"/>
        <w:rPr>
          <w:rFonts w:ascii="Times New Roman" w:hAnsi="Times New Roman" w:cs="Times New Roman" w:eastAsia="Times New Roman" w:hint="default"/>
        </w:rPr>
      </w:pPr>
      <w:r>
        <w:rPr/>
        <w:t>董事、副总经理雷利民先生：</w:t>
      </w:r>
      <w:r>
        <w:rPr>
          <w:rFonts w:ascii="Times New Roman" w:hAnsi="Times New Roman" w:cs="Times New Roman" w:eastAsia="Times New Roman" w:hint="default"/>
        </w:rPr>
        <w:t>1999</w:t>
      </w:r>
      <w:r>
        <w:rPr/>
        <w:t>年至今，任本公司副总经理；</w:t>
      </w:r>
      <w:r>
        <w:rPr>
          <w:rFonts w:ascii="Times New Roman" w:hAnsi="Times New Roman" w:cs="Times New Roman" w:eastAsia="Times New Roman" w:hint="default"/>
        </w:rPr>
        <w:t>2001</w:t>
      </w:r>
      <w:r>
        <w:rPr/>
        <w:t>年至今任本公司董事。 独立董事罗光春先生：</w:t>
      </w:r>
      <w:r>
        <w:rPr>
          <w:rFonts w:ascii="Times New Roman" w:hAnsi="Times New Roman" w:cs="Times New Roman" w:eastAsia="Times New Roman" w:hint="default"/>
        </w:rPr>
        <w:t>2007</w:t>
      </w:r>
      <w:r>
        <w:rPr/>
        <w:t>年至今任电子科技大学研究生院副院长。</w:t>
      </w:r>
      <w:r>
        <w:rPr>
          <w:spacing w:val="-18"/>
        </w:rPr>
        <w:t> </w:t>
      </w:r>
      <w:r>
        <w:rPr>
          <w:rFonts w:ascii="Times New Roman" w:hAnsi="Times New Roman" w:cs="Times New Roman" w:eastAsia="Times New Roman" w:hint="default"/>
        </w:rPr>
        <w:t>2007</w:t>
      </w:r>
      <w:r>
        <w:rPr/>
        <w:t>年至今担任本公司独立董事。 独立董事张力上先生：</w:t>
      </w:r>
      <w:r>
        <w:rPr>
          <w:rFonts w:ascii="Times New Roman" w:hAnsi="Times New Roman" w:cs="Times New Roman" w:eastAsia="Times New Roman" w:hint="default"/>
        </w:rPr>
        <w:t>2006</w:t>
      </w:r>
      <w:r>
        <w:rPr/>
        <w:t>年至今担任西南财经大学会计学院会计系主任；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月至今担任本公司独立董事。 监事会主席张建华女士：历任任中国电子科技集团公司第三十研究财务处处长、副总会计师兼财务处处长，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p>
    <w:p>
      <w:pPr>
        <w:pStyle w:val="BodyText"/>
        <w:spacing w:line="300" w:lineRule="auto" w:before="13"/>
        <w:ind w:left="513" w:right="90" w:hanging="360"/>
        <w:jc w:val="left"/>
      </w:pPr>
      <w:r>
        <w:rPr/>
        <w:t>月至今，任中国电子科技集团公司第三十研究总会计师；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月至今任本公司监事会主席。 </w:t>
      </w:r>
      <w:r>
        <w:rPr>
          <w:spacing w:val="-2"/>
        </w:rPr>
        <w:t>监事程虹女士：曾任中国电子科技集团公司第三十研究所计审法规处副处长；</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月至今任三十所计审法规处处长；</w:t>
      </w:r>
    </w:p>
    <w:p>
      <w:pPr>
        <w:pStyle w:val="BodyText"/>
        <w:spacing w:line="300" w:lineRule="auto" w:before="13"/>
        <w:ind w:left="513" w:right="2251" w:hanging="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月至今任本公司监事。 职工监事廖晓宜先生：</w:t>
      </w:r>
      <w:r>
        <w:rPr>
          <w:rFonts w:ascii="Times New Roman" w:hAnsi="Times New Roman" w:cs="Times New Roman" w:eastAsia="Times New Roman" w:hint="default"/>
        </w:rPr>
        <w:t>1998</w:t>
      </w:r>
      <w:r>
        <w:rPr/>
        <w:t>年至今任本公司产品总监，</w:t>
      </w:r>
      <w:r>
        <w:rPr>
          <w:rFonts w:ascii="Times New Roman" w:hAnsi="Times New Roman" w:cs="Times New Roman" w:eastAsia="Times New Roman" w:hint="default"/>
        </w:rPr>
        <w:t>2007</w:t>
      </w:r>
      <w:r>
        <w:rPr/>
        <w:t>年至今任本公司职工代表监事。</w:t>
      </w:r>
    </w:p>
    <w:p>
      <w:pPr>
        <w:pStyle w:val="BodyText"/>
        <w:spacing w:line="300" w:lineRule="auto" w:before="13"/>
        <w:ind w:right="90" w:firstLine="360"/>
        <w:jc w:val="left"/>
      </w:pPr>
      <w:r>
        <w:rPr>
          <w:spacing w:val="-2"/>
        </w:rPr>
        <w:t>董事会秘书、副总经理胡凯春先生：历任中国电子科技集团公司第三十研究所综合管理部主任、民品产业处处长；</w:t>
      </w:r>
      <w:r>
        <w:rPr>
          <w:rFonts w:ascii="Times New Roman" w:hAnsi="Times New Roman" w:cs="Times New Roman" w:eastAsia="Times New Roman" w:hint="default"/>
          <w:spacing w:val="-2"/>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月至今任任本公司副总经理，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月至今任本公司董事会秘书。</w:t>
      </w:r>
    </w:p>
    <w:p>
      <w:pPr>
        <w:pStyle w:val="BodyText"/>
        <w:spacing w:line="300" w:lineRule="auto" w:before="13"/>
        <w:ind w:left="514" w:right="5130"/>
        <w:jc w:val="left"/>
      </w:pPr>
      <w:r>
        <w:rPr/>
        <w:t>副总经理赵秀玲女士：</w:t>
      </w:r>
      <w:r>
        <w:rPr>
          <w:rFonts w:ascii="Times New Roman" w:hAnsi="Times New Roman" w:cs="Times New Roman" w:eastAsia="Times New Roman" w:hint="default"/>
        </w:rPr>
        <w:t>2003</w:t>
      </w:r>
      <w:r>
        <w:rPr/>
        <w:t>年至今任本公司副总经理。 副总经理吕涛先生：</w:t>
      </w:r>
      <w:r>
        <w:rPr>
          <w:rFonts w:ascii="Times New Roman" w:hAnsi="Times New Roman" w:cs="Times New Roman" w:eastAsia="Times New Roman" w:hint="default"/>
        </w:rPr>
        <w:t>2004</w:t>
      </w:r>
      <w:r>
        <w:rPr/>
        <w:t>年至今任本公司副总经理。 副总经理魏洪宽先生</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2006</w:t>
      </w:r>
      <w:r>
        <w:rPr/>
        <w:t>年至今任本公司副总经理。</w:t>
      </w:r>
    </w:p>
    <w:p>
      <w:pPr>
        <w:pStyle w:val="BodyText"/>
        <w:spacing w:line="340" w:lineRule="auto" w:before="13"/>
        <w:ind w:left="153" w:right="361" w:firstLine="360"/>
        <w:jc w:val="left"/>
      </w:pPr>
      <w:r>
        <w:rPr/>
        <w:t>财务总监罗伟先生：历任本公司财务部副经理、证券部经理、证券事务代表；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月至今，任本公司财务总监。 在股东单位任职情况</w:t>
      </w:r>
    </w:p>
    <w:p>
      <w:pPr>
        <w:pStyle w:val="BodyText"/>
        <w:spacing w:line="240" w:lineRule="auto" w:before="40"/>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所长，党委书</w:t>
            </w:r>
            <w:r>
              <w:rPr>
                <w:rFonts w:ascii="宋体" w:hAnsi="宋体" w:cs="宋体" w:eastAsia="宋体" w:hint="default"/>
                <w:sz w:val="18"/>
                <w:szCs w:val="18"/>
              </w:rPr>
              <w:t> 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雷吉成</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2976"/>
        <w:gridCol w:w="1133"/>
        <w:gridCol w:w="1547"/>
        <w:gridCol w:w="1572"/>
        <w:gridCol w:w="1345"/>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雷吉成</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976"/>
        <w:gridCol w:w="1133"/>
        <w:gridCol w:w="1547"/>
        <w:gridCol w:w="1572"/>
        <w:gridCol w:w="134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常务副社长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魏建平</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成都盈泰投资管理有限公司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魏建平</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成都国腾电子技术股份有限公司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吉峰农机连锁股份有限公司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成都前锋电子股份有限公司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监事会委员</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吕涛</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w:t>
            </w:r>
          </w:p>
        </w:tc>
        <w:tc>
          <w:tcPr>
            <w:tcW w:w="2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pStyle w:val="BodyText"/>
        <w:spacing w:line="240" w:lineRule="auto" w:before="116"/>
        <w:ind w:left="153" w:right="0"/>
        <w:jc w:val="left"/>
      </w:pPr>
      <w:r>
        <w:rPr>
          <w:rFonts w:ascii="Times New Roman" w:hAnsi="Times New Roman" w:cs="Times New Roman" w:eastAsia="Times New Roman" w:hint="default"/>
        </w:rPr>
        <w:t>1</w:t>
      </w:r>
      <w:r>
        <w:rPr/>
        <w:t>、公司独立董事津贴</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t>年，其他董事、全体监事不领取津贴。在公司任职的董事、监事按其工作岗位确定薪酬。</w:t>
      </w:r>
    </w:p>
    <w:p>
      <w:pPr>
        <w:pStyle w:val="BodyText"/>
        <w:spacing w:line="302" w:lineRule="auto" w:before="102"/>
        <w:ind w:right="140"/>
        <w:jc w:val="left"/>
      </w:pPr>
      <w:r>
        <w:rPr>
          <w:rFonts w:ascii="Times New Roman" w:hAnsi="Times New Roman" w:cs="Times New Roman" w:eastAsia="Times New Roman" w:hint="default"/>
        </w:rPr>
        <w:t>2</w:t>
      </w:r>
      <w:r>
        <w:rPr/>
        <w:t>、依据公司《董事会薪酬与考核委员会工作制度》，公司高级管理人员薪酬经由薪酬与考核委员会考核，报经董事会批准</w:t>
      </w:r>
      <w:r>
        <w:rPr>
          <w:spacing w:val="-83"/>
        </w:rPr>
        <w:t> </w:t>
      </w:r>
      <w:r>
        <w:rPr>
          <w:spacing w:val="-83"/>
        </w:rPr>
      </w:r>
      <w:r>
        <w:rPr/>
        <w:t>后授权实施。</w:t>
      </w:r>
    </w:p>
    <w:p>
      <w:pPr>
        <w:pStyle w:val="BodyText"/>
        <w:spacing w:line="240" w:lineRule="auto" w:before="69"/>
        <w:ind w:right="0"/>
        <w:jc w:val="left"/>
      </w:pPr>
      <w:r>
        <w:rPr/>
        <w:t>公司报告期内董事、监事和高级管理人员报酬情况</w:t>
      </w:r>
    </w:p>
    <w:p>
      <w:pPr>
        <w:pStyle w:val="BodyText"/>
        <w:spacing w:line="240" w:lineRule="auto" w:before="116"/>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黄月江</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雷吉成</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魏建平</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杨丹</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廖晓宜</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董秘，副总经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吕涛</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胡安友</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341.56</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966"/>
        <w:gridCol w:w="361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黄月江</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魏建平</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胡安友</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10"/>
        <w:rPr>
          <w:rFonts w:ascii="宋体" w:hAnsi="宋体" w:cs="宋体" w:eastAsia="宋体" w:hint="default"/>
          <w:b/>
          <w:bCs/>
          <w:sz w:val="22"/>
          <w:szCs w:val="22"/>
        </w:rPr>
      </w:pPr>
    </w:p>
    <w:p>
      <w:pPr>
        <w:pStyle w:val="Heading3"/>
        <w:spacing w:line="322" w:lineRule="exact"/>
        <w:ind w:right="0"/>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日，公司员工总人数为</w:t>
      </w:r>
      <w:r>
        <w:rPr>
          <w:rFonts w:ascii="Times New Roman" w:hAnsi="Times New Roman" w:cs="Times New Roman" w:eastAsia="Times New Roman" w:hint="default"/>
        </w:rPr>
        <w:t>701</w:t>
      </w:r>
      <w:r>
        <w:rPr/>
        <w:t>人。</w:t>
      </w:r>
    </w:p>
    <w:p>
      <w:pPr>
        <w:pStyle w:val="Heading3"/>
        <w:spacing w:line="322" w:lineRule="exact"/>
        <w:ind w:left="633" w:right="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日，公司员工结构情况：</w:t>
      </w:r>
    </w:p>
    <w:p>
      <w:pPr>
        <w:spacing w:line="240" w:lineRule="auto" w:before="9"/>
        <w:rPr>
          <w:rFonts w:ascii="宋体" w:hAnsi="宋体" w:cs="宋体" w:eastAsia="宋体" w:hint="default"/>
          <w:sz w:val="10"/>
          <w:szCs w:val="10"/>
        </w:rPr>
      </w:pPr>
    </w:p>
    <w:p>
      <w:pPr>
        <w:spacing w:line="3500" w:lineRule="exact"/>
        <w:ind w:left="15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352357" cy="222265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352357" cy="2222658"/>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1"/>
        <w:rPr>
          <w:rFonts w:ascii="宋体" w:hAnsi="宋体" w:cs="宋体" w:eastAsia="宋体" w:hint="default"/>
          <w:sz w:val="16"/>
          <w:szCs w:val="16"/>
        </w:rPr>
      </w:pPr>
    </w:p>
    <w:p>
      <w:pPr>
        <w:spacing w:line="4171" w:lineRule="exact"/>
        <w:ind w:left="154"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324645" cy="264918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324645" cy="2649188"/>
                    </a:xfrm>
                    <a:prstGeom prst="rect">
                      <a:avLst/>
                    </a:prstGeom>
                  </pic:spPr>
                </pic:pic>
              </a:graphicData>
            </a:graphic>
          </wp:inline>
        </w:drawing>
      </w:r>
      <w:r>
        <w:rPr>
          <w:rFonts w:ascii="宋体" w:hAnsi="宋体" w:cs="宋体" w:eastAsia="宋体" w:hint="default"/>
          <w:position w:val="-82"/>
          <w:sz w:val="20"/>
          <w:szCs w:val="20"/>
        </w:rPr>
      </w:r>
    </w:p>
    <w:p>
      <w:pPr>
        <w:pStyle w:val="Heading3"/>
        <w:spacing w:line="240" w:lineRule="auto" w:before="59"/>
        <w:ind w:right="0"/>
        <w:jc w:val="left"/>
      </w:pPr>
      <w:r>
        <w:rPr>
          <w:rFonts w:ascii="Times New Roman" w:hAnsi="Times New Roman" w:cs="Times New Roman" w:eastAsia="Times New Roman" w:hint="default"/>
        </w:rPr>
        <w:t>3</w:t>
      </w:r>
      <w:r>
        <w:rPr/>
        <w:t>、公司没有需承担费用的离退休职工。</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975" w:right="1011"/>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01" w:firstLine="360"/>
        <w:jc w:val="left"/>
      </w:pPr>
      <w:r>
        <w:rPr>
          <w:spacing w:val="-2"/>
        </w:rPr>
        <w:t>报告期内，公司严格按照《公司法》、《证券法》、《上市公司治理准则》、深圳证券交易所《股票上市规则》、《中</w:t>
      </w:r>
      <w:r>
        <w:rPr/>
        <w:t> </w:t>
      </w:r>
      <w:r>
        <w:rPr>
          <w:spacing w:val="-2"/>
        </w:rPr>
        <w:t>小企业板上市公司规范运作指引》等有关法律法规和规范性指引的要求，不断完善公司治理结构，建立健全内部管理和控制</w:t>
      </w:r>
      <w:r>
        <w:rPr>
          <w:spacing w:val="-66"/>
        </w:rPr>
        <w:t> </w:t>
      </w:r>
      <w:r>
        <w:rPr>
          <w:spacing w:val="-66"/>
        </w:rPr>
      </w:r>
      <w:r>
        <w:rPr>
          <w:spacing w:val="-7"/>
        </w:rPr>
        <w:t>制度，进一步完善了公司利润分配政策，健全了股东权益尤其是中小股东权益保护机制。报告期内，公司修订了《公司章程》，</w:t>
      </w:r>
      <w:r>
        <w:rPr>
          <w:spacing w:val="-52"/>
        </w:rPr>
        <w:t> </w:t>
      </w:r>
      <w:r>
        <w:rPr>
          <w:spacing w:val="-52"/>
        </w:rPr>
      </w:r>
      <w:r>
        <w:rPr/>
        <w:t>发布了《未来三年（</w:t>
      </w:r>
      <w:r>
        <w:rPr>
          <w:rFonts w:ascii="Times New Roman" w:hAnsi="Times New Roman" w:cs="Times New Roman" w:eastAsia="Times New Roman" w:hint="default"/>
        </w:rPr>
        <w:t>2012-2014</w:t>
      </w:r>
      <w:r>
        <w:rPr/>
        <w:t>年）股东回报规划》，制定了《内幕信息知情人登记管理制度》。公司运作规范，公司治理 的实际情况符合中国证监会有关上市公司治理的规范性文件的要求。</w:t>
      </w:r>
    </w:p>
    <w:p>
      <w:pPr>
        <w:pStyle w:val="BodyText"/>
        <w:spacing w:line="240" w:lineRule="auto" w:before="61"/>
        <w:ind w:left="153" w:right="90"/>
        <w:jc w:val="left"/>
      </w:pPr>
      <w:r>
        <w:rPr/>
        <w:t>公司治理与《公司法》和中国证监会相关规定的要求是否存在差异</w:t>
      </w:r>
    </w:p>
    <w:p>
      <w:pPr>
        <w:pStyle w:val="BodyText"/>
        <w:spacing w:line="340" w:lineRule="auto" w:before="116"/>
        <w:ind w:left="153" w:right="45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left="153" w:right="90"/>
        <w:jc w:val="left"/>
      </w:pPr>
      <w:r>
        <w:rPr/>
        <w:t>公司治理专项活动开展情况以及内幕信息知情人登记管理制度的制定、实施情况</w:t>
      </w:r>
    </w:p>
    <w:p>
      <w:pPr>
        <w:pStyle w:val="BodyText"/>
        <w:spacing w:line="309" w:lineRule="auto" w:before="115"/>
        <w:ind w:left="153" w:right="191" w:firstLine="630"/>
        <w:jc w:val="both"/>
      </w:pPr>
      <w:r>
        <w:rPr>
          <w:spacing w:val="-1"/>
        </w:rPr>
        <w:t>根据证监会公告</w:t>
      </w:r>
      <w:r>
        <w:rPr>
          <w:rFonts w:ascii="Times New Roman" w:hAnsi="Times New Roman" w:cs="Times New Roman" w:eastAsia="Times New Roman" w:hint="default"/>
          <w:spacing w:val="-1"/>
        </w:rPr>
        <w:t>[2011]30</w:t>
      </w:r>
      <w:r>
        <w:rPr>
          <w:rFonts w:ascii="Times New Roman" w:hAnsi="Times New Roman" w:cs="Times New Roman" w:eastAsia="Times New Roman" w:hint="default"/>
          <w:spacing w:val="10"/>
        </w:rPr>
        <w:t> </w:t>
      </w:r>
      <w:r>
        <w:rPr>
          <w:spacing w:val="-4"/>
        </w:rPr>
        <w:t>号《关于上市公司建立内幕信息知情人登记管理制度的规定》，公司制定并发布了《内幕信</w:t>
      </w:r>
      <w:r>
        <w:rPr/>
        <w:t> </w:t>
      </w:r>
      <w:r>
        <w:rPr>
          <w:spacing w:val="-2"/>
        </w:rPr>
        <w:t>息知情人登记管理制度》，在原有《内幕信息知情人管理制度》的基础上进行了完善与细化，尤其加强了对内幕信息知情人</w:t>
      </w:r>
      <w:r>
        <w:rPr>
          <w:spacing w:val="-72"/>
        </w:rPr>
        <w:t> </w:t>
      </w:r>
      <w:r>
        <w:rPr>
          <w:spacing w:val="-72"/>
        </w:rPr>
      </w:r>
      <w:r>
        <w:rPr/>
        <w:t>登记管理的规定，增强了制度的可操作性，为公平信息披露、杜绝内幕交易加强了相关管理措施。</w:t>
      </w:r>
    </w:p>
    <w:p>
      <w:pPr>
        <w:spacing w:line="240" w:lineRule="auto" w:before="1"/>
        <w:rPr>
          <w:rFonts w:ascii="宋体" w:hAnsi="宋体" w:cs="宋体" w:eastAsia="宋体" w:hint="default"/>
          <w:sz w:val="21"/>
          <w:szCs w:val="21"/>
        </w:rPr>
      </w:pPr>
    </w:p>
    <w:p>
      <w:pPr>
        <w:pStyle w:val="Heading2"/>
        <w:spacing w:line="240" w:lineRule="auto"/>
        <w:ind w:right="9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700"/>
        <w:gridCol w:w="1985"/>
        <w:gridCol w:w="1309"/>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381"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1309"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2012-018</w:t>
            </w:r>
            <w:r>
              <w:rPr>
                <w:rFonts w:ascii="宋体" w:hAnsi="宋体" w:cs="宋体" w:eastAsia="宋体" w:hint="default"/>
                <w:spacing w:val="-90"/>
                <w:sz w:val="18"/>
                <w:szCs w:val="18"/>
              </w:rPr>
              <w:t>，</w:t>
            </w:r>
            <w:r>
              <w:rPr>
                <w:rFonts w:ascii="宋体" w:hAnsi="宋体" w:cs="宋体" w:eastAsia="宋体" w:hint="default"/>
                <w:sz w:val="18"/>
                <w:szCs w:val="18"/>
              </w:rPr>
              <w:t>《成都卫</w:t>
            </w:r>
          </w:p>
        </w:tc>
      </w:tr>
      <w:tr>
        <w:trPr>
          <w:trHeight w:val="93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00" w:lineRule="auto"/>
              <w:ind w:left="22" w:right="1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年度董 事会工作报告》</w:t>
            </w:r>
          </w:p>
        </w:tc>
        <w:tc>
          <w:tcPr>
            <w:tcW w:w="1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6"/>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3" w:right="119"/>
              <w:jc w:val="both"/>
              <w:rPr>
                <w:rFonts w:ascii="宋体" w:hAnsi="宋体" w:cs="宋体" w:eastAsia="宋体" w:hint="default"/>
                <w:sz w:val="18"/>
                <w:szCs w:val="18"/>
              </w:rPr>
            </w:pPr>
            <w:r>
              <w:rPr>
                <w:rFonts w:ascii="宋体" w:hAnsi="宋体" w:cs="宋体" w:eastAsia="宋体" w:hint="default"/>
                <w:sz w:val="18"/>
                <w:szCs w:val="18"/>
              </w:rPr>
              <w:t>士通信息产业股份 有限公司二〇一一 年度股东大会决议</w:t>
            </w:r>
          </w:p>
        </w:tc>
      </w:tr>
      <w:tr>
        <w:trPr>
          <w:trHeight w:val="350"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381"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1309"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年度监 事会工作报告》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 务决算报告》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 报告及摘要》</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1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 润分配预案》</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72,079,181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99.94</w:t>
            </w:r>
            <w:r>
              <w:rPr>
                <w:rFonts w:ascii="宋体" w:hAnsi="宋体" w:cs="宋体" w:eastAsia="宋体" w:hint="default"/>
                <w:sz w:val="18"/>
                <w:szCs w:val="18"/>
              </w:rPr>
              <w:t>％；反对</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r>
        <w:rPr/>
        <w:pict>
          <v:shape style="position:absolute;margin-left:199.860001pt;margin-top:676.440002pt;width:189.75pt;height:66.45pt;mso-position-horizontal-relative:page;mso-position-vertical-relative:page;z-index:-859672" type="#_x0000_t202" filled="false" stroked="false">
            <v:textbox inset="0,0,0,0">
              <w:txbxContent>
                <w:p>
                  <w:pPr>
                    <w:pStyle w:val="BodyText"/>
                    <w:spacing w:line="240" w:lineRule="auto" w:before="51"/>
                    <w:ind w:left="0" w:right="0"/>
                    <w:jc w:val="left"/>
                  </w:pPr>
                  <w:r>
                    <w:rPr/>
                    <w:t>《关于选举雷吉成先生、</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96"/>
        <w:gridCol w:w="1381"/>
        <w:gridCol w:w="1700"/>
        <w:gridCol w:w="1985"/>
        <w:gridCol w:w="1309"/>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《关于续聘会计师事 务所的议案》</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《关于公司日常关联 交易的议案》</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《关于选举李成刚先 生、卿昱女士为公司 第五届董事会董事的 议案》</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25"/>
              <w:jc w:val="left"/>
              <w:rPr>
                <w:rFonts w:ascii="宋体" w:hAnsi="宋体" w:cs="宋体" w:eastAsia="宋体" w:hint="default"/>
                <w:sz w:val="18"/>
                <w:szCs w:val="18"/>
              </w:rPr>
            </w:pPr>
            <w:r>
              <w:rPr>
                <w:rFonts w:ascii="宋体" w:hAnsi="宋体" w:cs="宋体" w:eastAsia="宋体" w:hint="default"/>
                <w:sz w:val="18"/>
                <w:szCs w:val="18"/>
              </w:rPr>
              <w:t>《关于修改公司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 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72,121,481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股，占出</w:t>
            </w:r>
            <w:r>
              <w:rPr>
                <w:rFonts w:ascii="宋体" w:hAnsi="宋体" w:cs="宋体" w:eastAsia="宋体" w:hint="default"/>
                <w:sz w:val="18"/>
                <w:szCs w:val="18"/>
              </w:rPr>
              <w:t> 席会议有表决权股份总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949"/>
        <w:gridCol w:w="1879"/>
        <w:gridCol w:w="1309"/>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240" w:type="dxa"/>
            <w:tcBorders>
              <w:top w:val="single" w:sz="4" w:space="0" w:color="000000"/>
              <w:left w:val="single" w:sz="4" w:space="0" w:color="000000"/>
              <w:bottom w:val="nil" w:sz="6" w:space="0" w:color="auto"/>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shd w:val="clear" w:color="auto" w:fill="C7EDCC"/>
          </w:tcPr>
          <w:p>
            <w:pPr/>
          </w:p>
        </w:tc>
        <w:tc>
          <w:tcPr>
            <w:tcW w:w="1879" w:type="dxa"/>
            <w:tcBorders>
              <w:top w:val="single" w:sz="4" w:space="0" w:color="000000"/>
              <w:left w:val="single" w:sz="4" w:space="0" w:color="000000"/>
              <w:bottom w:val="nil" w:sz="6" w:space="0" w:color="auto"/>
              <w:right w:val="single" w:sz="4" w:space="0" w:color="000000"/>
            </w:tcBorders>
            <w:shd w:val="clear" w:color="auto" w:fill="C7EDCC"/>
          </w:tcPr>
          <w:p>
            <w:pPr/>
          </w:p>
        </w:tc>
        <w:tc>
          <w:tcPr>
            <w:tcW w:w="1309"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2012-031</w:t>
            </w:r>
            <w:r>
              <w:rPr>
                <w:rFonts w:ascii="宋体" w:hAnsi="宋体" w:cs="宋体" w:eastAsia="宋体" w:hint="default"/>
                <w:spacing w:val="-90"/>
                <w:sz w:val="18"/>
                <w:szCs w:val="18"/>
              </w:rPr>
              <w:t>，</w:t>
            </w:r>
            <w:r>
              <w:rPr>
                <w:rFonts w:ascii="宋体" w:hAnsi="宋体" w:cs="宋体" w:eastAsia="宋体" w:hint="default"/>
                <w:sz w:val="18"/>
                <w:szCs w:val="18"/>
              </w:rPr>
              <w:t>《成都卫</w:t>
            </w:r>
          </w:p>
        </w:tc>
      </w:tr>
      <w:tr>
        <w:trPr>
          <w:trHeight w:val="1244"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《关于公司未来三年</w:t>
            </w:r>
          </w:p>
          <w:p>
            <w:pPr>
              <w:pStyle w:val="TableParagraph"/>
              <w:spacing w:line="302"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年）股东回</w:t>
            </w:r>
            <w:r>
              <w:rPr>
                <w:rFonts w:ascii="宋体" w:hAnsi="宋体" w:cs="宋体" w:eastAsia="宋体" w:hint="default"/>
                <w:sz w:val="18"/>
                <w:szCs w:val="18"/>
              </w:rPr>
              <w:t> 报规划的议案》</w:t>
            </w: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61"/>
              <w:ind w:left="22" w:right="44"/>
              <w:jc w:val="both"/>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61,732,874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 出席会议有表决权股份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2"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士通信息产业股份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 一次临时股东大会 </w:t>
            </w:r>
            <w:r>
              <w:rPr>
                <w:rFonts w:ascii="宋体" w:hAnsi="宋体" w:cs="宋体" w:eastAsia="宋体" w:hint="default"/>
                <w:spacing w:val="-10"/>
                <w:sz w:val="18"/>
                <w:szCs w:val="18"/>
              </w:rPr>
              <w:t>决议公告》，巨潮资</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240"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shd w:val="clear" w:color="auto" w:fill="C7EDCC"/>
          </w:tcPr>
          <w:p>
            <w:pPr/>
          </w:p>
        </w:tc>
        <w:tc>
          <w:tcPr>
            <w:tcW w:w="1879" w:type="dxa"/>
            <w:tcBorders>
              <w:top w:val="nil" w:sz="6" w:space="0" w:color="auto"/>
              <w:left w:val="single" w:sz="4" w:space="0" w:color="000000"/>
              <w:bottom w:val="single" w:sz="4" w:space="0" w:color="000000"/>
              <w:right w:val="single" w:sz="4" w:space="0" w:color="000000"/>
            </w:tcBorders>
            <w:shd w:val="clear" w:color="auto" w:fill="C7EDCC"/>
          </w:tcPr>
          <w:p>
            <w:pPr/>
          </w:p>
        </w:tc>
        <w:tc>
          <w:tcPr>
            <w:tcW w:w="1309"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90"/>
              <w:jc w:val="left"/>
              <w:rPr>
                <w:rFonts w:ascii="宋体" w:hAnsi="宋体" w:cs="宋体" w:eastAsia="宋体" w:hint="default"/>
                <w:sz w:val="18"/>
                <w:szCs w:val="18"/>
              </w:rPr>
            </w:pPr>
            <w:r>
              <w:rPr>
                <w:rFonts w:ascii="宋体" w:hAnsi="宋体" w:cs="宋体" w:eastAsia="宋体" w:hint="default"/>
                <w:sz w:val="18"/>
                <w:szCs w:val="18"/>
              </w:rPr>
              <w:t>《关于修改公司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的议案》</w:t>
            </w:r>
          </w:p>
        </w:tc>
        <w:tc>
          <w:tcPr>
            <w:tcW w:w="18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61,732,874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 出席会议有表决权股份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《关于将节余募集资金 及利息收入永久补充公 司流动资金的议案》</w:t>
            </w:r>
          </w:p>
        </w:tc>
        <w:tc>
          <w:tcPr>
            <w:tcW w:w="18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61,732,874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 出席会议有表决权股份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240" w:type="dxa"/>
            <w:tcBorders>
              <w:top w:val="single" w:sz="4" w:space="0" w:color="000000"/>
              <w:left w:val="single" w:sz="4" w:space="0" w:color="000000"/>
              <w:bottom w:val="nil" w:sz="6" w:space="0" w:color="auto"/>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shd w:val="clear" w:color="auto" w:fill="C7EDCC"/>
          </w:tcPr>
          <w:p>
            <w:pPr/>
          </w:p>
        </w:tc>
        <w:tc>
          <w:tcPr>
            <w:tcW w:w="1879" w:type="dxa"/>
            <w:tcBorders>
              <w:top w:val="single" w:sz="4" w:space="0" w:color="000000"/>
              <w:left w:val="single" w:sz="4" w:space="0" w:color="000000"/>
              <w:bottom w:val="nil" w:sz="6" w:space="0" w:color="auto"/>
              <w:right w:val="single" w:sz="4" w:space="0" w:color="000000"/>
            </w:tcBorders>
            <w:shd w:val="clear" w:color="auto" w:fill="C7EDCC"/>
          </w:tcPr>
          <w:p>
            <w:pPr/>
          </w:p>
        </w:tc>
        <w:tc>
          <w:tcPr>
            <w:tcW w:w="1309"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2012-046</w:t>
            </w:r>
            <w:r>
              <w:rPr>
                <w:rFonts w:ascii="宋体" w:hAnsi="宋体" w:cs="宋体" w:eastAsia="宋体" w:hint="default"/>
                <w:spacing w:val="-90"/>
                <w:sz w:val="18"/>
                <w:szCs w:val="18"/>
              </w:rPr>
              <w:t>，</w:t>
            </w:r>
            <w:r>
              <w:rPr>
                <w:rFonts w:ascii="宋体" w:hAnsi="宋体" w:cs="宋体" w:eastAsia="宋体" w:hint="default"/>
                <w:sz w:val="18"/>
                <w:szCs w:val="18"/>
              </w:rPr>
              <w:t>《成都卫</w:t>
            </w:r>
          </w:p>
        </w:tc>
      </w:tr>
      <w:tr>
        <w:trPr>
          <w:trHeight w:val="1244"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02" w:lineRule="auto"/>
              <w:ind w:left="22" w:right="90"/>
              <w:jc w:val="left"/>
              <w:rPr>
                <w:rFonts w:ascii="宋体" w:hAnsi="宋体" w:cs="宋体" w:eastAsia="宋体" w:hint="default"/>
                <w:sz w:val="18"/>
                <w:szCs w:val="18"/>
              </w:rPr>
            </w:pPr>
            <w:r>
              <w:rPr>
                <w:rFonts w:ascii="宋体" w:hAnsi="宋体" w:cs="宋体" w:eastAsia="宋体" w:hint="default"/>
                <w:sz w:val="18"/>
                <w:szCs w:val="18"/>
              </w:rPr>
              <w:t>《关于修改公司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的议案》</w:t>
            </w: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61"/>
              <w:ind w:left="22" w:right="44"/>
              <w:jc w:val="both"/>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61,064,944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 出席会议有表决权股份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2"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士通信息产业股份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 二次临时股东大会 </w:t>
            </w:r>
            <w:r>
              <w:rPr>
                <w:rFonts w:ascii="宋体" w:hAnsi="宋体" w:cs="宋体" w:eastAsia="宋体" w:hint="default"/>
                <w:spacing w:val="-10"/>
                <w:sz w:val="18"/>
                <w:szCs w:val="18"/>
              </w:rPr>
              <w:t>决议公告》，巨潮资</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240" w:type="dxa"/>
            <w:tcBorders>
              <w:top w:val="nil" w:sz="6" w:space="0" w:color="auto"/>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shd w:val="clear" w:color="auto" w:fill="C7EDCC"/>
          </w:tcPr>
          <w:p>
            <w:pPr/>
          </w:p>
        </w:tc>
        <w:tc>
          <w:tcPr>
            <w:tcW w:w="1879" w:type="dxa"/>
            <w:tcBorders>
              <w:top w:val="nil" w:sz="6" w:space="0" w:color="auto"/>
              <w:left w:val="single" w:sz="4" w:space="0" w:color="000000"/>
              <w:bottom w:val="single" w:sz="4" w:space="0" w:color="000000"/>
              <w:right w:val="single" w:sz="4" w:space="0" w:color="000000"/>
            </w:tcBorders>
            <w:shd w:val="clear" w:color="auto" w:fill="C7EDCC"/>
          </w:tcPr>
          <w:p>
            <w:pPr/>
          </w:p>
        </w:tc>
        <w:tc>
          <w:tcPr>
            <w:tcW w:w="1309"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114"/>
              <w:jc w:val="both"/>
              <w:rPr>
                <w:rFonts w:ascii="宋体" w:hAnsi="宋体" w:cs="宋体" w:eastAsia="宋体" w:hint="default"/>
                <w:sz w:val="18"/>
                <w:szCs w:val="18"/>
              </w:rPr>
            </w:pPr>
            <w:r>
              <w:rPr>
                <w:rFonts w:ascii="宋体" w:hAnsi="宋体" w:cs="宋体" w:eastAsia="宋体" w:hint="default"/>
                <w:sz w:val="18"/>
                <w:szCs w:val="18"/>
              </w:rPr>
              <w:t>王文胜先生为公司第五 届董事会非独立董事的 议案》</w:t>
            </w:r>
          </w:p>
        </w:tc>
        <w:tc>
          <w:tcPr>
            <w:tcW w:w="18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2" w:right="44"/>
              <w:jc w:val="both"/>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61,064,944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 出席会议有表决权股份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9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3" w:right="7111"/>
        <w:jc w:val="left"/>
      </w:pPr>
      <w:r>
        <w:rPr/>
        <w:t>连续两次未亲自出席董事会的说明 无。</w:t>
      </w:r>
    </w:p>
    <w:p>
      <w:pPr>
        <w:spacing w:line="240" w:lineRule="auto" w:before="11"/>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独立董事对公司有关事项是否提出异议</w:t>
      </w:r>
    </w:p>
    <w:p>
      <w:pPr>
        <w:pStyle w:val="BodyText"/>
        <w:spacing w:line="338" w:lineRule="auto" w:before="117"/>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9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独立董事对公司有关建议是否被采纳</w:t>
      </w:r>
    </w:p>
    <w:p>
      <w:pPr>
        <w:pStyle w:val="BodyText"/>
        <w:spacing w:line="340"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91" w:firstLine="434"/>
        <w:jc w:val="both"/>
      </w:pPr>
      <w:r>
        <w:rPr/>
        <w:t>报告期内，公司独立董事根据《公司法》、《公司章程》、《公司独立董事工作制度》等的规定，切实履行独立董事 </w:t>
      </w:r>
      <w:r>
        <w:rPr>
          <w:spacing w:val="-2"/>
        </w:rPr>
        <w:t>职责，对公司日常经营及日常管理等情况进行了解和监督，积极参加相关会议，与公司其他董事、监事、高管及外部审计机</w:t>
      </w:r>
      <w:r>
        <w:rPr>
          <w:spacing w:val="-66"/>
        </w:rPr>
        <w:t> </w:t>
      </w:r>
      <w:r>
        <w:rPr>
          <w:spacing w:val="-66"/>
        </w:rPr>
      </w:r>
      <w:r>
        <w:rPr>
          <w:spacing w:val="-2"/>
        </w:rPr>
        <w:t>构进行良好的沟通交流，对关联交易、募集资金使用、股东回报规划、选举董事等情况发表独立意见，得到了公司的重视和</w:t>
      </w:r>
      <w:r>
        <w:rPr>
          <w:spacing w:val="-66"/>
        </w:rPr>
        <w:t> </w:t>
      </w:r>
      <w:r>
        <w:rPr>
          <w:spacing w:val="-66"/>
        </w:rPr>
      </w:r>
      <w:r>
        <w:rPr/>
        <w:t>采纳，对促进公司相关业务规范化、提升公司治理水平及保护中小股东权益起到了积极作用。</w:t>
      </w:r>
    </w:p>
    <w:p>
      <w:pPr>
        <w:spacing w:line="240" w:lineRule="auto" w:before="10"/>
        <w:rPr>
          <w:rFonts w:ascii="宋体" w:hAnsi="宋体" w:cs="宋体" w:eastAsia="宋体" w:hint="default"/>
          <w:sz w:val="20"/>
          <w:szCs w:val="20"/>
        </w:rPr>
      </w:pPr>
    </w:p>
    <w:p>
      <w:pPr>
        <w:pStyle w:val="Heading2"/>
        <w:spacing w:line="240" w:lineRule="auto"/>
        <w:ind w:right="90"/>
        <w:jc w:val="left"/>
        <w:rPr>
          <w:b w:val="0"/>
          <w:bCs w:val="0"/>
        </w:rPr>
      </w:pPr>
      <w:r>
        <w:rPr/>
        <w:t>四、董事会下设专门委员会在报告期内履行职责情况</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90"/>
        <w:jc w:val="left"/>
      </w:pPr>
      <w:r>
        <w:rPr>
          <w:rFonts w:ascii="Times New Roman" w:hAnsi="Times New Roman" w:cs="Times New Roman" w:eastAsia="Times New Roman" w:hint="default"/>
        </w:rPr>
        <w:t>1</w:t>
      </w:r>
      <w:r>
        <w:rPr/>
        <w:t>、审计委员会</w:t>
      </w:r>
    </w:p>
    <w:p>
      <w:pPr>
        <w:pStyle w:val="BodyText"/>
        <w:spacing w:line="300" w:lineRule="auto" w:before="87"/>
        <w:ind w:left="153" w:right="91" w:firstLine="360"/>
        <w:jc w:val="left"/>
      </w:pPr>
      <w:r>
        <w:rPr/>
        <w:t>报告期内，公司董事会审计委员会共召开了</w:t>
      </w:r>
      <w:r>
        <w:rPr>
          <w:rFonts w:ascii="Times New Roman" w:hAnsi="Times New Roman" w:cs="Times New Roman" w:eastAsia="Times New Roman" w:hint="default"/>
        </w:rPr>
        <w:t>4</w:t>
      </w:r>
      <w:r>
        <w:rPr/>
        <w:t>次会议，分别审议并通过了以下议案：《公司</w:t>
      </w:r>
      <w:r>
        <w:rPr>
          <w:rFonts w:ascii="Times New Roman" w:hAnsi="Times New Roman" w:cs="Times New Roman" w:eastAsia="Times New Roman" w:hint="default"/>
        </w:rPr>
        <w:t>2011</w:t>
      </w:r>
      <w:r>
        <w:rPr/>
        <w:t>年度财务报告》、《关 于</w:t>
      </w:r>
      <w:r>
        <w:rPr>
          <w:rFonts w:ascii="Times New Roman" w:hAnsi="Times New Roman" w:cs="Times New Roman" w:eastAsia="Times New Roman" w:hint="default"/>
        </w:rPr>
        <w:t>&lt;</w:t>
      </w:r>
      <w:r>
        <w:rPr/>
        <w:t>年报审计会计师事务所年度审计工作总结</w:t>
      </w:r>
      <w:r>
        <w:rPr>
          <w:rFonts w:ascii="Times New Roman" w:hAnsi="Times New Roman" w:cs="Times New Roman" w:eastAsia="Times New Roman" w:hint="default"/>
        </w:rPr>
        <w:t>&gt;</w:t>
      </w:r>
      <w:r>
        <w:rPr/>
        <w:t>的议案》、《公司</w:t>
      </w:r>
      <w:r>
        <w:rPr>
          <w:rFonts w:ascii="Times New Roman" w:hAnsi="Times New Roman" w:cs="Times New Roman" w:eastAsia="Times New Roman" w:hint="default"/>
        </w:rPr>
        <w:t>2011</w:t>
      </w:r>
      <w:r>
        <w:rPr/>
        <w:t>年度内部控制自我评价报告》、《公司</w:t>
      </w:r>
      <w:r>
        <w:rPr>
          <w:rFonts w:ascii="Times New Roman" w:hAnsi="Times New Roman" w:cs="Times New Roman" w:eastAsia="Times New Roman" w:hint="default"/>
        </w:rPr>
        <w:t>2011</w:t>
      </w:r>
      <w:r>
        <w:rPr/>
        <w:t>年度募集 </w:t>
      </w:r>
      <w:r>
        <w:rPr>
          <w:spacing w:val="-2"/>
        </w:rPr>
        <w:t>资金存放与使用情况的内部审计报告》、《公司</w:t>
      </w:r>
      <w:r>
        <w:rPr>
          <w:rFonts w:ascii="Times New Roman" w:hAnsi="Times New Roman" w:cs="Times New Roman" w:eastAsia="Times New Roman" w:hint="default"/>
          <w:spacing w:val="-2"/>
        </w:rPr>
        <w:t>2011</w:t>
      </w:r>
      <w:r>
        <w:rPr>
          <w:spacing w:val="-2"/>
        </w:rPr>
        <w:t>年度关联交易及关联资金往来的审计报告》、《关于摩宝公司的内部审</w:t>
      </w:r>
      <w:r>
        <w:rPr>
          <w:spacing w:val="-64"/>
        </w:rPr>
        <w:t> </w:t>
      </w:r>
      <w:r>
        <w:rPr>
          <w:spacing w:val="-64"/>
        </w:rPr>
      </w:r>
      <w:r>
        <w:rPr>
          <w:spacing w:val="-5"/>
        </w:rPr>
        <w:t>计报告》、《公司内部审计</w:t>
      </w:r>
      <w:r>
        <w:rPr>
          <w:rFonts w:ascii="Times New Roman" w:hAnsi="Times New Roman" w:cs="Times New Roman" w:eastAsia="Times New Roman" w:hint="default"/>
          <w:spacing w:val="-5"/>
        </w:rPr>
        <w:t>2011</w:t>
      </w:r>
      <w:r>
        <w:rPr>
          <w:spacing w:val="-5"/>
        </w:rPr>
        <w:t>年度工作总结及</w:t>
      </w:r>
      <w:r>
        <w:rPr>
          <w:rFonts w:ascii="Times New Roman" w:hAnsi="Times New Roman" w:cs="Times New Roman" w:eastAsia="Times New Roman" w:hint="default"/>
          <w:spacing w:val="-5"/>
        </w:rPr>
        <w:t>2012</w:t>
      </w:r>
      <w:r>
        <w:rPr>
          <w:spacing w:val="-5"/>
        </w:rPr>
        <w:t>年度工作计划》、《关于聘任</w:t>
      </w:r>
      <w:r>
        <w:rPr>
          <w:rFonts w:ascii="Times New Roman" w:hAnsi="Times New Roman" w:cs="Times New Roman" w:eastAsia="Times New Roman" w:hint="default"/>
          <w:spacing w:val="-5"/>
        </w:rPr>
        <w:t>2012</w:t>
      </w:r>
      <w:r>
        <w:rPr>
          <w:spacing w:val="-5"/>
        </w:rPr>
        <w:t>年度审计会计师事务所的议案》、《关</w:t>
      </w:r>
      <w:r>
        <w:rPr>
          <w:spacing w:val="-50"/>
        </w:rPr>
        <w:t> </w:t>
      </w:r>
      <w:r>
        <w:rPr>
          <w:spacing w:val="-50"/>
        </w:rPr>
      </w:r>
      <w:r>
        <w:rPr>
          <w:spacing w:val="-2"/>
        </w:rPr>
        <w:t>于提名公司内部审计负责人的议案》、《公司</w:t>
      </w:r>
      <w:r>
        <w:rPr>
          <w:rFonts w:ascii="Times New Roman" w:hAnsi="Times New Roman" w:cs="Times New Roman" w:eastAsia="Times New Roman" w:hint="default"/>
          <w:spacing w:val="-2"/>
        </w:rPr>
        <w:t>2012</w:t>
      </w:r>
      <w:r>
        <w:rPr>
          <w:spacing w:val="-2"/>
        </w:rPr>
        <w:t>年第一季度财务报告》、《</w:t>
      </w:r>
      <w:r>
        <w:rPr>
          <w:rFonts w:ascii="Times New Roman" w:hAnsi="Times New Roman" w:cs="Times New Roman" w:eastAsia="Times New Roman" w:hint="default"/>
          <w:spacing w:val="-2"/>
        </w:rPr>
        <w:t>2012</w:t>
      </w:r>
      <w:r>
        <w:rPr>
          <w:spacing w:val="-2"/>
        </w:rPr>
        <w:t>年第一季度募集资金存放与使用情况的审</w:t>
      </w:r>
      <w:r>
        <w:rPr>
          <w:spacing w:val="-60"/>
        </w:rPr>
        <w:t> </w:t>
      </w:r>
      <w:r>
        <w:rPr>
          <w:spacing w:val="-60"/>
        </w:rPr>
      </w:r>
      <w:r>
        <w:rPr>
          <w:spacing w:val="-2"/>
        </w:rPr>
        <w:t>计报告》、《</w:t>
      </w:r>
      <w:r>
        <w:rPr>
          <w:rFonts w:ascii="Times New Roman" w:hAnsi="Times New Roman" w:cs="Times New Roman" w:eastAsia="Times New Roman" w:hint="default"/>
          <w:spacing w:val="-2"/>
        </w:rPr>
        <w:t>2012</w:t>
      </w:r>
      <w:r>
        <w:rPr>
          <w:spacing w:val="-2"/>
        </w:rPr>
        <w:t>年第一季度关联交易审计报告》、《内部审计部</w:t>
      </w:r>
      <w:r>
        <w:rPr>
          <w:rFonts w:ascii="Times New Roman" w:hAnsi="Times New Roman" w:cs="Times New Roman" w:eastAsia="Times New Roman" w:hint="default"/>
          <w:spacing w:val="-2"/>
        </w:rPr>
        <w:t>2012</w:t>
      </w:r>
      <w:r>
        <w:rPr>
          <w:spacing w:val="-2"/>
        </w:rPr>
        <w:t>年第一季度工作报告及第二季度工作计划》、《公司</w:t>
      </w:r>
      <w:r>
        <w:rPr>
          <w:spacing w:val="-62"/>
        </w:rPr>
        <w:t> </w:t>
      </w:r>
      <w:r>
        <w:rPr>
          <w:spacing w:val="-62"/>
        </w:rPr>
      </w:r>
      <w:r>
        <w:rPr>
          <w:rFonts w:ascii="Times New Roman" w:hAnsi="Times New Roman" w:cs="Times New Roman" w:eastAsia="Times New Roman" w:hint="default"/>
        </w:rPr>
        <w:t>2012</w:t>
      </w:r>
      <w:r>
        <w:rPr/>
        <w:t>年半年度财务报告》、《</w:t>
      </w:r>
      <w:r>
        <w:rPr>
          <w:rFonts w:ascii="Times New Roman" w:hAnsi="Times New Roman" w:cs="Times New Roman" w:eastAsia="Times New Roman" w:hint="default"/>
        </w:rPr>
        <w:t>2012</w:t>
      </w:r>
      <w:r>
        <w:rPr/>
        <w:t>年半年度募集资金存放与使用情况的审计报告》、《</w:t>
      </w:r>
      <w:r>
        <w:rPr>
          <w:rFonts w:ascii="Times New Roman" w:hAnsi="Times New Roman" w:cs="Times New Roman" w:eastAsia="Times New Roman" w:hint="default"/>
        </w:rPr>
        <w:t>2012</w:t>
      </w:r>
      <w:r>
        <w:rPr/>
        <w:t>年半年度关联交易审计报告》、</w:t>
      </w:r>
    </w:p>
    <w:p>
      <w:pPr>
        <w:pStyle w:val="BodyText"/>
        <w:spacing w:line="300" w:lineRule="auto" w:before="13"/>
        <w:ind w:right="90"/>
        <w:jc w:val="left"/>
      </w:pPr>
      <w:r>
        <w:rPr>
          <w:spacing w:val="-2"/>
        </w:rPr>
        <w:t>《内部审计部</w:t>
      </w:r>
      <w:r>
        <w:rPr>
          <w:rFonts w:ascii="Times New Roman" w:hAnsi="Times New Roman" w:cs="Times New Roman" w:eastAsia="Times New Roman" w:hint="default"/>
          <w:spacing w:val="-2"/>
        </w:rPr>
        <w:t>2012</w:t>
      </w:r>
      <w:r>
        <w:rPr>
          <w:spacing w:val="-2"/>
        </w:rPr>
        <w:t>年半年度工作报告及第三季度工作计划》、《公司</w:t>
      </w:r>
      <w:r>
        <w:rPr>
          <w:rFonts w:ascii="Times New Roman" w:hAnsi="Times New Roman" w:cs="Times New Roman" w:eastAsia="Times New Roman" w:hint="default"/>
          <w:spacing w:val="-2"/>
        </w:rPr>
        <w:t>2012</w:t>
      </w:r>
      <w:r>
        <w:rPr>
          <w:spacing w:val="-2"/>
        </w:rPr>
        <w:t>年第三季度财务报告》、《</w:t>
      </w:r>
      <w:r>
        <w:rPr>
          <w:rFonts w:ascii="Times New Roman" w:hAnsi="Times New Roman" w:cs="Times New Roman" w:eastAsia="Times New Roman" w:hint="default"/>
          <w:spacing w:val="-2"/>
        </w:rPr>
        <w:t>2012</w:t>
      </w:r>
      <w:r>
        <w:rPr>
          <w:spacing w:val="-2"/>
        </w:rPr>
        <w:t>年第三季度募集资</w:t>
      </w:r>
      <w:r>
        <w:rPr>
          <w:spacing w:val="-56"/>
        </w:rPr>
        <w:t> </w:t>
      </w:r>
      <w:r>
        <w:rPr>
          <w:spacing w:val="-2"/>
        </w:rPr>
        <w:t>金存放与使用情况的审计报告》、《</w:t>
      </w:r>
      <w:r>
        <w:rPr>
          <w:rFonts w:ascii="Times New Roman" w:hAnsi="Times New Roman" w:cs="Times New Roman" w:eastAsia="Times New Roman" w:hint="default"/>
          <w:spacing w:val="-2"/>
        </w:rPr>
        <w:t>2012</w:t>
      </w:r>
      <w:r>
        <w:rPr>
          <w:spacing w:val="-2"/>
        </w:rPr>
        <w:t>年第三季度关联交易审计报告》、《内部审计部</w:t>
      </w:r>
      <w:r>
        <w:rPr>
          <w:rFonts w:ascii="Times New Roman" w:hAnsi="Times New Roman" w:cs="Times New Roman" w:eastAsia="Times New Roman" w:hint="default"/>
          <w:spacing w:val="-2"/>
        </w:rPr>
        <w:t>2012</w:t>
      </w:r>
      <w:r>
        <w:rPr>
          <w:spacing w:val="-2"/>
        </w:rPr>
        <w:t>年第三季度工作报告及第四季</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度工作计划》。</w:t>
      </w:r>
    </w:p>
    <w:p>
      <w:pPr>
        <w:pStyle w:val="BodyText"/>
        <w:spacing w:line="312" w:lineRule="auto" w:before="99"/>
        <w:ind w:left="153" w:right="181"/>
        <w:jc w:val="left"/>
      </w:pPr>
      <w:r>
        <w:rPr>
          <w:rFonts w:ascii="Times New Roman" w:hAnsi="Times New Roman" w:cs="Times New Roman" w:eastAsia="Times New Roman" w:hint="default"/>
        </w:rPr>
        <w:t>2</w:t>
      </w:r>
      <w:r>
        <w:rPr/>
        <w:t>、薪酬与考核委员会 报告期内，公司董事会薪酬与考核委员会召开了</w:t>
      </w:r>
      <w:r>
        <w:rPr>
          <w:rFonts w:ascii="Times New Roman" w:hAnsi="Times New Roman" w:cs="Times New Roman" w:eastAsia="Times New Roman" w:hint="default"/>
        </w:rPr>
        <w:t>1</w:t>
      </w:r>
      <w:r>
        <w:rPr/>
        <w:t>次会议，讨论了公司高级管理人员的</w:t>
      </w:r>
      <w:r>
        <w:rPr>
          <w:rFonts w:ascii="Times New Roman" w:hAnsi="Times New Roman" w:cs="Times New Roman" w:eastAsia="Times New Roman" w:hint="default"/>
        </w:rPr>
        <w:t>2011</w:t>
      </w:r>
      <w:r>
        <w:rPr/>
        <w:t>年度工作绩效，并确定了薪酬方 案提交董事会审议。</w:t>
      </w:r>
    </w:p>
    <w:p>
      <w:pPr>
        <w:pStyle w:val="BodyText"/>
        <w:spacing w:line="314" w:lineRule="auto" w:before="45"/>
        <w:ind w:left="153" w:right="181"/>
        <w:jc w:val="left"/>
      </w:pPr>
      <w:r>
        <w:rPr>
          <w:rFonts w:ascii="Times New Roman" w:hAnsi="Times New Roman" w:cs="Times New Roman" w:eastAsia="Times New Roman" w:hint="default"/>
        </w:rPr>
        <w:t>3</w:t>
      </w:r>
      <w:r>
        <w:rPr/>
        <w:t>、提名委员会 报告期内，公司董事会提名委员会共召开</w:t>
      </w:r>
      <w:r>
        <w:rPr>
          <w:rFonts w:ascii="Times New Roman" w:hAnsi="Times New Roman" w:cs="Times New Roman" w:eastAsia="Times New Roman" w:hint="default"/>
        </w:rPr>
        <w:t>2</w:t>
      </w:r>
      <w:r>
        <w:rPr/>
        <w:t>次会议，分别审议并通过了《关于提名李成刚先生、卿昱女士为公司第五届董事 </w:t>
      </w:r>
      <w:r>
        <w:rPr>
          <w:spacing w:val="-2"/>
        </w:rPr>
        <w:t>会董事候选人的议案》、《关于同意聘任胡凯春先生为公司副总经理、罗伟先生为公司财务总监的议案》、《关于提名雷吉</w:t>
      </w:r>
      <w:r>
        <w:rPr>
          <w:spacing w:val="-64"/>
        </w:rPr>
        <w:t> </w:t>
      </w:r>
      <w:r>
        <w:rPr>
          <w:spacing w:val="-64"/>
        </w:rPr>
      </w:r>
      <w:r>
        <w:rPr/>
        <w:t>成先生、王文胜先生为公司第五届董事会非独立董事候选人的议案》。</w:t>
      </w:r>
    </w:p>
    <w:p>
      <w:pPr>
        <w:spacing w:line="240" w:lineRule="auto" w:before="12"/>
        <w:rPr>
          <w:rFonts w:ascii="宋体" w:hAnsi="宋体" w:cs="宋体" w:eastAsia="宋体" w:hint="default"/>
          <w:sz w:val="20"/>
          <w:szCs w:val="20"/>
        </w:rPr>
      </w:pPr>
    </w:p>
    <w:p>
      <w:pPr>
        <w:pStyle w:val="Heading2"/>
        <w:spacing w:line="240" w:lineRule="auto"/>
        <w:ind w:right="9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公司与控股股东在业务、人员、资产、机构、财务等方面相互独立，公司具有独立完整的业务及自主经营能力。</w:t>
      </w:r>
    </w:p>
    <w:p>
      <w:pPr>
        <w:pStyle w:val="BodyText"/>
        <w:spacing w:line="302" w:lineRule="auto" w:before="115"/>
        <w:ind w:left="153" w:right="90"/>
        <w:jc w:val="left"/>
      </w:pPr>
      <w:r>
        <w:rPr>
          <w:rFonts w:ascii="Times New Roman" w:hAnsi="Times New Roman" w:cs="Times New Roman" w:eastAsia="Times New Roman" w:hint="default"/>
        </w:rPr>
        <w:t>1</w:t>
      </w:r>
      <w:r>
        <w:rPr/>
        <w:t>、业务：公司拥有独立、完整的研发、生产、采购和销售系统，独立开展业务，不存在对股东的依赖或与股东单位共同使 用同一采购、销售渠道或同一商标的情况，控股股东不存在直接或间接干预公司经营的情形。</w:t>
      </w:r>
    </w:p>
    <w:p>
      <w:pPr>
        <w:pStyle w:val="BodyText"/>
        <w:spacing w:line="312" w:lineRule="auto" w:before="68"/>
        <w:ind w:left="153" w:right="90"/>
        <w:jc w:val="left"/>
      </w:pPr>
      <w:r>
        <w:rPr>
          <w:rFonts w:ascii="Times New Roman" w:hAnsi="Times New Roman" w:cs="Times New Roman" w:eastAsia="Times New Roman" w:hint="default"/>
          <w:spacing w:val="-2"/>
        </w:rPr>
        <w:t>2</w:t>
      </w:r>
      <w:r>
        <w:rPr>
          <w:spacing w:val="-2"/>
        </w:rPr>
        <w:t>、人员：公司董事、监事及高级管理人员均严格按照相关法律、法规和公司《章程》的规定产生。公司总经理、副总经理、</w:t>
      </w:r>
      <w:r>
        <w:rPr>
          <w:spacing w:val="-65"/>
        </w:rPr>
        <w:t> </w:t>
      </w:r>
      <w:r>
        <w:rPr>
          <w:spacing w:val="-65"/>
        </w:rPr>
      </w:r>
      <w:r>
        <w:rPr>
          <w:spacing w:val="-4"/>
        </w:rPr>
        <w:t>总工程师、财务总监、董事会秘书等高级管理人员均专职于公司并在公司领取报酬，未在股东单位及其下属企业担任除董事、</w:t>
      </w:r>
      <w:r>
        <w:rPr>
          <w:spacing w:val="-44"/>
        </w:rPr>
        <w:t> </w:t>
      </w:r>
      <w:r>
        <w:rPr>
          <w:spacing w:val="-44"/>
        </w:rPr>
      </w:r>
      <w:r>
        <w:rPr>
          <w:spacing w:val="-2"/>
        </w:rPr>
        <w:t>监事以外的任何职务。公司设有人力资源部，有完整的人力资源管理制度，拥有独立的劳动、人事及薪酬考核体系，不存在</w:t>
      </w:r>
      <w:r>
        <w:rPr>
          <w:spacing w:val="-66"/>
        </w:rPr>
        <w:t> </w:t>
      </w:r>
      <w:r>
        <w:rPr>
          <w:spacing w:val="-66"/>
        </w:rPr>
      </w:r>
      <w:r>
        <w:rPr/>
        <w:t>受控股股东干涉的现象。</w:t>
      </w:r>
    </w:p>
    <w:p>
      <w:pPr>
        <w:pStyle w:val="BodyText"/>
        <w:spacing w:line="309" w:lineRule="auto" w:before="62"/>
        <w:ind w:left="153" w:right="191"/>
        <w:jc w:val="both"/>
      </w:pPr>
      <w:r>
        <w:rPr>
          <w:rFonts w:ascii="Times New Roman" w:hAnsi="Times New Roman" w:cs="Times New Roman" w:eastAsia="Times New Roman" w:hint="default"/>
        </w:rPr>
        <w:t>3</w:t>
      </w:r>
      <w:r>
        <w:rPr/>
        <w:t>、资产：公司业务和生产经营必需的机器设备、商标和专有技术及其他资产由公司独立享有、权属明晰，不存在与股东共 </w:t>
      </w:r>
      <w:r>
        <w:rPr>
          <w:spacing w:val="-2"/>
        </w:rPr>
        <w:t>有的情况。公司拥有独立的经营场所。公司没有为各股东及其子公司提供任何形式的担保，公司对所有资产拥有全权的控制</w:t>
      </w:r>
      <w:r>
        <w:rPr>
          <w:spacing w:val="-66"/>
        </w:rPr>
        <w:t> </w:t>
      </w:r>
      <w:r>
        <w:rPr>
          <w:spacing w:val="-66"/>
        </w:rPr>
      </w:r>
      <w:r>
        <w:rPr/>
        <w:t>和支配权，不存在资产、资金被股东占用而损害公司利益的情况。</w:t>
      </w:r>
    </w:p>
    <w:p>
      <w:pPr>
        <w:pStyle w:val="BodyText"/>
        <w:spacing w:line="312" w:lineRule="auto" w:before="62"/>
        <w:ind w:left="153" w:right="189"/>
        <w:jc w:val="both"/>
      </w:pPr>
      <w:r>
        <w:rPr>
          <w:rFonts w:ascii="Times New Roman" w:hAnsi="Times New Roman" w:cs="Times New Roman" w:eastAsia="Times New Roman" w:hint="default"/>
        </w:rPr>
        <w:t>4</w:t>
      </w:r>
      <w:r>
        <w:rPr/>
        <w:t>、机构：公司建立健全了股东大会、董事会、监事会及总经理负责的经理层等机构及相应的三会议事规则和总经理工作细 </w:t>
      </w:r>
      <w:r>
        <w:rPr>
          <w:spacing w:val="-2"/>
        </w:rPr>
        <w:t>则，形成了完善的法人治理结构和规范的运作体系。公司为适应生产经营需要，设置了健全的组织构架体系及相应的规章制</w:t>
      </w:r>
      <w:r>
        <w:rPr>
          <w:spacing w:val="-66"/>
        </w:rPr>
        <w:t> </w:t>
      </w:r>
      <w:r>
        <w:rPr>
          <w:spacing w:val="-66"/>
        </w:rPr>
      </w:r>
      <w:r>
        <w:rPr>
          <w:spacing w:val="-2"/>
        </w:rPr>
        <w:t>度，独立运作。公司与股东单位之间不存在混合经营、合署办公的情况，公司各职能部门与股东单位及其职能部门之间不存</w:t>
      </w:r>
      <w:r>
        <w:rPr>
          <w:spacing w:val="-66"/>
        </w:rPr>
        <w:t> </w:t>
      </w:r>
      <w:r>
        <w:rPr>
          <w:spacing w:val="-66"/>
        </w:rPr>
      </w:r>
      <w:r>
        <w:rPr/>
        <w:t>在上下级关系，不存在股东单位干预本公司组织机构设立与运作的情况。</w:t>
      </w:r>
    </w:p>
    <w:p>
      <w:pPr>
        <w:pStyle w:val="BodyText"/>
        <w:spacing w:line="302" w:lineRule="auto" w:before="61"/>
        <w:ind w:left="153" w:right="181"/>
        <w:jc w:val="left"/>
      </w:pPr>
      <w:r>
        <w:rPr>
          <w:rFonts w:ascii="Times New Roman" w:hAnsi="Times New Roman" w:cs="Times New Roman" w:eastAsia="Times New Roman" w:hint="default"/>
        </w:rPr>
        <w:t>5</w:t>
      </w:r>
      <w:r>
        <w:rPr/>
        <w:t>、财务：公司设有独立的财务会计部门，建立了独立的会计核算体系，并制定了符合上市公司要求的、规范的内部控制制 度。公司独立开设银行账户，独立纳税。</w:t>
      </w:r>
    </w:p>
    <w:p>
      <w:pPr>
        <w:spacing w:line="240" w:lineRule="auto" w:before="6"/>
        <w:rPr>
          <w:rFonts w:ascii="宋体" w:hAnsi="宋体" w:cs="宋体" w:eastAsia="宋体" w:hint="default"/>
          <w:sz w:val="21"/>
          <w:szCs w:val="21"/>
        </w:rPr>
      </w:pPr>
    </w:p>
    <w:p>
      <w:pPr>
        <w:pStyle w:val="Heading2"/>
        <w:spacing w:line="240" w:lineRule="auto"/>
        <w:ind w:right="90"/>
        <w:jc w:val="left"/>
        <w:rPr>
          <w:b w:val="0"/>
          <w:bCs w:val="0"/>
        </w:rPr>
      </w:pPr>
      <w:r>
        <w:rPr/>
        <w:t>七、高级管理人员的考评及激励情况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jc w:val="left"/>
      </w:pPr>
      <w:r>
        <w:rPr>
          <w:spacing w:val="-2"/>
        </w:rPr>
        <w:t>公司建立了公正、有效的高级管理人员的绩效评价表中和激励约束机制，报告期内，公司董事会和薪酬与考核委员会按照公</w:t>
      </w:r>
      <w:r>
        <w:rPr>
          <w:spacing w:val="-66"/>
        </w:rPr>
        <w:t> </w:t>
      </w:r>
      <w:r>
        <w:rPr>
          <w:spacing w:val="-66"/>
        </w:rPr>
      </w:r>
      <w:r>
        <w:rPr>
          <w:spacing w:val="-4"/>
        </w:rPr>
        <w:t>司《董事会薪酬与考核委员会实施细则》的规定及要求，按年度对公司高级管理人员的业绩和履职情况进行考评。报告期内，</w:t>
      </w:r>
      <w:r>
        <w:rPr>
          <w:spacing w:val="-46"/>
        </w:rPr>
        <w:t> </w:t>
      </w:r>
      <w:r>
        <w:rPr>
          <w:spacing w:val="-46"/>
        </w:rPr>
      </w:r>
      <w:r>
        <w:rPr>
          <w:spacing w:val="-2"/>
        </w:rPr>
        <w:t>公司董事会依据公司年度经营业绩状况，高级管理人员的岗位职责和年度工作目标完成情况，经过综合考评，根据考评结果</w:t>
      </w:r>
      <w:r>
        <w:rPr>
          <w:spacing w:val="-66"/>
        </w:rPr>
        <w:t> </w:t>
      </w:r>
      <w:r>
        <w:rPr>
          <w:spacing w:val="-66"/>
        </w:rPr>
      </w:r>
      <w:r>
        <w:rPr/>
        <w:t>拟定高级管理人员的薪酬绩效初步方案并提请审议，促进了高级管理人员良好的履行职责。</w:t>
      </w:r>
    </w:p>
    <w:p>
      <w:pPr>
        <w:spacing w:after="0" w:line="316"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975" w:right="1011"/>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spacing w:val="-22"/>
        </w:rPr>
        <w:t>、</w:t>
      </w:r>
      <w:r>
        <w:rPr/>
        <w:t>公司治理方面公司根</w:t>
      </w:r>
      <w:r>
        <w:rPr>
          <w:spacing w:val="-22"/>
        </w:rPr>
        <w:t>据</w:t>
      </w:r>
      <w:r>
        <w:rPr/>
        <w:t>《公司法</w:t>
      </w:r>
      <w:r>
        <w:rPr>
          <w:spacing w:val="-90"/>
        </w:rPr>
        <w:t>》</w:t>
      </w:r>
      <w:r>
        <w:rPr>
          <w:spacing w:val="-112"/>
        </w:rPr>
        <w:t>、</w:t>
      </w:r>
      <w:r>
        <w:rPr/>
        <w:t>《证券法</w:t>
      </w:r>
      <w:r>
        <w:rPr>
          <w:spacing w:val="-22"/>
        </w:rPr>
        <w:t>》</w:t>
      </w:r>
      <w:r>
        <w:rPr/>
        <w:t>及深交</w:t>
      </w:r>
      <w:r>
        <w:rPr>
          <w:spacing w:val="-22"/>
        </w:rPr>
        <w:t>所</w:t>
      </w:r>
      <w:r>
        <w:rPr/>
        <w:t>《中小板上市公司规范运作指引</w:t>
      </w:r>
      <w:r>
        <w:rPr>
          <w:spacing w:val="-22"/>
        </w:rPr>
        <w:t>》</w:t>
      </w:r>
      <w:r>
        <w:rPr/>
        <w:t>等的规定</w:t>
      </w:r>
      <w:r>
        <w:rPr>
          <w:spacing w:val="-22"/>
        </w:rPr>
        <w:t>，</w:t>
      </w:r>
      <w:r>
        <w:rPr/>
        <w:t>制订了公</w:t>
      </w:r>
      <w:r>
        <w:rPr>
          <w:spacing w:val="-22"/>
        </w:rPr>
        <w:t>司</w:t>
      </w:r>
      <w:r>
        <w:rPr/>
        <w:t>《章程</w:t>
      </w:r>
      <w:r>
        <w:rPr>
          <w:spacing w:val="-90"/>
        </w:rPr>
        <w:t>》</w:t>
      </w:r>
      <w:r>
        <w:rPr/>
        <w:t>、</w:t>
      </w:r>
    </w:p>
    <w:p>
      <w:pPr>
        <w:pStyle w:val="BodyText"/>
        <w:spacing w:line="316" w:lineRule="auto" w:before="63"/>
        <w:ind w:right="101" w:hanging="1"/>
        <w:jc w:val="both"/>
      </w:pPr>
      <w:r>
        <w:rPr/>
        <w:t>《股东大会议事规则</w:t>
      </w:r>
      <w:r>
        <w:rPr>
          <w:spacing w:val="-90"/>
        </w:rPr>
        <w:t>》</w:t>
      </w:r>
      <w:r>
        <w:rPr>
          <w:spacing w:val="-107"/>
        </w:rPr>
        <w:t>、</w:t>
      </w:r>
      <w:r>
        <w:rPr/>
        <w:t>《董事会议事规则</w:t>
      </w:r>
      <w:r>
        <w:rPr>
          <w:spacing w:val="-90"/>
        </w:rPr>
        <w:t>》</w:t>
      </w:r>
      <w:r>
        <w:rPr>
          <w:spacing w:val="-107"/>
        </w:rPr>
        <w:t>、</w:t>
      </w:r>
      <w:r>
        <w:rPr/>
        <w:t>《监事会议事规则</w:t>
      </w:r>
      <w:r>
        <w:rPr>
          <w:spacing w:val="-90"/>
        </w:rPr>
        <w:t>》</w:t>
      </w:r>
      <w:r>
        <w:rPr>
          <w:spacing w:val="-107"/>
        </w:rPr>
        <w:t>、</w:t>
      </w:r>
      <w:r>
        <w:rPr/>
        <w:t>《独立董事工作制度</w:t>
      </w:r>
      <w:r>
        <w:rPr>
          <w:spacing w:val="-90"/>
        </w:rPr>
        <w:t>》</w:t>
      </w:r>
      <w:r>
        <w:rPr>
          <w:spacing w:val="-107"/>
        </w:rPr>
        <w:t>、</w:t>
      </w:r>
      <w:r>
        <w:rPr/>
        <w:t>《总经理工作细则</w:t>
      </w:r>
      <w:r>
        <w:rPr>
          <w:spacing w:val="-90"/>
        </w:rPr>
        <w:t>》</w:t>
      </w:r>
      <w:r>
        <w:rPr>
          <w:spacing w:val="-107"/>
        </w:rPr>
        <w:t>、</w:t>
      </w:r>
      <w:r>
        <w:rPr/>
        <w:t>《战略委员</w:t>
      </w:r>
      <w:r>
        <w:rPr>
          <w:spacing w:val="1"/>
        </w:rPr>
        <w:t>会</w:t>
      </w:r>
      <w:r>
        <w:rPr/>
        <w:t>工</w:t>
      </w:r>
      <w:r>
        <w:rPr/>
        <w:t> 作制度</w:t>
      </w:r>
      <w:r>
        <w:rPr>
          <w:spacing w:val="-90"/>
        </w:rPr>
        <w:t>》</w:t>
      </w:r>
      <w:r>
        <w:rPr>
          <w:spacing w:val="-107"/>
        </w:rPr>
        <w:t>、</w:t>
      </w:r>
      <w:r>
        <w:rPr/>
        <w:t>《提名委员会工作制度</w:t>
      </w:r>
      <w:r>
        <w:rPr>
          <w:spacing w:val="-90"/>
        </w:rPr>
        <w:t>》</w:t>
      </w:r>
      <w:r>
        <w:rPr>
          <w:spacing w:val="-107"/>
        </w:rPr>
        <w:t>、</w:t>
      </w:r>
      <w:r>
        <w:rPr/>
        <w:t>《薪酬与考核委员会工作制度</w:t>
      </w:r>
      <w:r>
        <w:rPr>
          <w:spacing w:val="-90"/>
        </w:rPr>
        <w:t>》</w:t>
      </w:r>
      <w:r>
        <w:rPr>
          <w:spacing w:val="-107"/>
        </w:rPr>
        <w:t>、</w:t>
      </w:r>
      <w:r>
        <w:rPr/>
        <w:t>《审计委员会工作制度</w:t>
      </w:r>
      <w:r>
        <w:rPr>
          <w:spacing w:val="-90"/>
        </w:rPr>
        <w:t>》</w:t>
      </w:r>
      <w:r>
        <w:rPr>
          <w:spacing w:val="-107"/>
        </w:rPr>
        <w:t>、</w:t>
      </w:r>
      <w:r>
        <w:rPr/>
        <w:t>《董事会秘书工作制度</w:t>
      </w:r>
      <w:r>
        <w:rPr>
          <w:spacing w:val="-90"/>
        </w:rPr>
        <w:t>》</w:t>
      </w:r>
      <w:r>
        <w:rPr>
          <w:spacing w:val="-107"/>
        </w:rPr>
        <w:t>、</w:t>
      </w:r>
      <w:r>
        <w:rPr/>
        <w:t>《</w:t>
      </w:r>
      <w:r>
        <w:rPr>
          <w:spacing w:val="1"/>
        </w:rPr>
        <w:t>内</w:t>
      </w:r>
      <w:r>
        <w:rPr/>
        <w:t>部</w:t>
      </w:r>
      <w:r>
        <w:rPr/>
        <w:t> 审计制度</w:t>
      </w:r>
      <w:r>
        <w:rPr>
          <w:spacing w:val="-29"/>
        </w:rPr>
        <w:t>》</w:t>
      </w:r>
      <w:r>
        <w:rPr/>
        <w:t>等重大规章制度</w:t>
      </w:r>
      <w:r>
        <w:rPr>
          <w:spacing w:val="-29"/>
        </w:rPr>
        <w:t>，</w:t>
      </w:r>
      <w:r>
        <w:rPr/>
        <w:t>以保证公司规范运作</w:t>
      </w:r>
      <w:r>
        <w:rPr>
          <w:spacing w:val="-29"/>
        </w:rPr>
        <w:t>，</w:t>
      </w:r>
      <w:r>
        <w:rPr/>
        <w:t>促进公司健康发展。 </w:t>
      </w:r>
      <w:r>
        <w:rPr>
          <w:spacing w:val="-29"/>
        </w:rPr>
        <w:t> </w:t>
      </w:r>
      <w:r>
        <w:rPr>
          <w:rFonts w:ascii="Times New Roman" w:hAnsi="Times New Roman" w:cs="Times New Roman" w:eastAsia="Times New Roman" w:hint="default"/>
        </w:rPr>
        <w:t>2</w:t>
      </w:r>
      <w:r>
        <w:rPr>
          <w:spacing w:val="-29"/>
        </w:rPr>
        <w:t>、</w:t>
      </w:r>
      <w:r>
        <w:rPr/>
        <w:t>日常管理方面  公司制订</w:t>
      </w:r>
      <w:r>
        <w:rPr>
          <w:spacing w:val="-29"/>
        </w:rPr>
        <w:t>了</w:t>
      </w:r>
      <w:r>
        <w:rPr/>
        <w:t>《业务流程制度</w:t>
      </w:r>
      <w:r>
        <w:rPr>
          <w:spacing w:val="-90"/>
        </w:rPr>
        <w:t>》</w:t>
      </w:r>
      <w:r>
        <w:rPr/>
        <w:t>、</w:t>
      </w:r>
    </w:p>
    <w:p>
      <w:pPr>
        <w:pStyle w:val="BodyText"/>
        <w:spacing w:line="316" w:lineRule="auto"/>
        <w:ind w:right="177" w:hanging="1"/>
        <w:jc w:val="left"/>
      </w:pPr>
      <w:r>
        <w:rPr/>
        <w:t>《业务管理制度</w:t>
      </w:r>
      <w:r>
        <w:rPr>
          <w:spacing w:val="-90"/>
        </w:rPr>
        <w:t>》</w:t>
      </w:r>
      <w:r>
        <w:rPr>
          <w:spacing w:val="-104"/>
        </w:rPr>
        <w:t>、</w:t>
      </w:r>
      <w:r>
        <w:rPr/>
        <w:t>《人力资源管理制度</w:t>
      </w:r>
      <w:r>
        <w:rPr>
          <w:spacing w:val="-90"/>
        </w:rPr>
        <w:t>》</w:t>
      </w:r>
      <w:r>
        <w:rPr>
          <w:spacing w:val="-104"/>
        </w:rPr>
        <w:t>、</w:t>
      </w:r>
      <w:r>
        <w:rPr/>
        <w:t>《财务管理制度</w:t>
      </w:r>
      <w:r>
        <w:rPr>
          <w:spacing w:val="-90"/>
        </w:rPr>
        <w:t>》</w:t>
      </w:r>
      <w:r>
        <w:rPr>
          <w:spacing w:val="-104"/>
        </w:rPr>
        <w:t>、</w:t>
      </w:r>
      <w:r>
        <w:rPr/>
        <w:t>《行政管理制度</w:t>
      </w:r>
      <w:r>
        <w:rPr>
          <w:spacing w:val="-90"/>
        </w:rPr>
        <w:t>》</w:t>
      </w:r>
      <w:r>
        <w:rPr>
          <w:spacing w:val="-104"/>
        </w:rPr>
        <w:t>、</w:t>
      </w:r>
      <w:r>
        <w:rPr/>
        <w:t>《公共宣传制度</w:t>
      </w:r>
      <w:r>
        <w:rPr>
          <w:spacing w:val="-90"/>
        </w:rPr>
        <w:t>》</w:t>
      </w:r>
      <w:r>
        <w:rPr>
          <w:spacing w:val="-104"/>
        </w:rPr>
        <w:t>、</w:t>
      </w:r>
      <w:r>
        <w:rPr/>
        <w:t>《信息化管理制度</w:t>
      </w:r>
      <w:r>
        <w:rPr>
          <w:spacing w:val="-90"/>
        </w:rPr>
        <w:t>》</w:t>
      </w:r>
      <w:r>
        <w:rPr>
          <w:spacing w:val="-104"/>
        </w:rPr>
        <w:t>、</w:t>
      </w:r>
      <w:r>
        <w:rPr/>
        <w:t>《</w:t>
      </w:r>
      <w:r>
        <w:rPr>
          <w:spacing w:val="-2"/>
        </w:rPr>
        <w:t>保</w:t>
      </w:r>
      <w:r>
        <w:rPr/>
        <w:t>密</w:t>
      </w:r>
      <w:r>
        <w:rPr/>
        <w:t> 制度</w:t>
      </w:r>
      <w:r>
        <w:rPr>
          <w:spacing w:val="-90"/>
        </w:rPr>
        <w:t>》、</w:t>
      </w:r>
      <w:r>
        <w:rPr/>
        <w:t>《安全生产制度</w:t>
      </w:r>
      <w:r>
        <w:rPr>
          <w:spacing w:val="-90"/>
        </w:rPr>
        <w:t>》、</w:t>
      </w:r>
      <w:r>
        <w:rPr/>
        <w:t>《关联交易制度</w:t>
      </w:r>
      <w:r>
        <w:rPr>
          <w:spacing w:val="-90"/>
        </w:rPr>
        <w:t>》、</w:t>
      </w:r>
      <w:r>
        <w:rPr/>
        <w:t>《募集资金管理制度</w:t>
      </w:r>
      <w:r>
        <w:rPr>
          <w:spacing w:val="-90"/>
        </w:rPr>
        <w:t>》、</w:t>
      </w:r>
      <w:r>
        <w:rPr/>
        <w:t>《投资者关系管理制度</w:t>
      </w:r>
      <w:r>
        <w:rPr>
          <w:spacing w:val="-90"/>
        </w:rPr>
        <w:t>》、</w:t>
      </w:r>
      <w:r>
        <w:rPr/>
        <w:t>《内幕信息知情人管理制度</w:t>
      </w:r>
      <w:r>
        <w:rPr>
          <w:spacing w:val="-90"/>
        </w:rPr>
        <w:t>》</w:t>
      </w:r>
      <w:r>
        <w:rPr/>
        <w:t>、</w:t>
      </w:r>
    </w:p>
    <w:p>
      <w:pPr>
        <w:pStyle w:val="BodyText"/>
        <w:spacing w:line="319" w:lineRule="auto" w:before="19"/>
        <w:ind w:right="177"/>
        <w:jc w:val="left"/>
      </w:pPr>
      <w:r>
        <w:rPr>
          <w:spacing w:val="-11"/>
        </w:rPr>
        <w:t>《信息披露管理制度》、《外部单位报送信息管理制度》、《年报信息披露重大差错责任追究制度》、《内幕信息知情人登记管理</w:t>
      </w:r>
      <w:r>
        <w:rPr>
          <w:spacing w:val="-87"/>
        </w:rPr>
        <w:t> </w:t>
      </w:r>
      <w:r>
        <w:rPr>
          <w:spacing w:val="-87"/>
        </w:rPr>
      </w:r>
      <w:r>
        <w:rPr/>
        <w:t>制度》等涵盖日常经营管理过程的一系列制度，确保公司各项日常工作有章可循，形成了规范的管理体系。</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153" w:right="90"/>
        <w:jc w:val="left"/>
      </w:pPr>
      <w:r>
        <w:rPr>
          <w:spacing w:val="-2"/>
        </w:rPr>
        <w:t>公司董事会及全体董事保证本报告内容不存在任何虚假性记载、误导性陈述或重大遗漏，并对报告内容的真实性、准确性和</w:t>
      </w:r>
      <w:r>
        <w:rPr>
          <w:spacing w:val="-66"/>
        </w:rPr>
        <w:t> </w:t>
      </w:r>
      <w:r>
        <w:rPr>
          <w:spacing w:val="-66"/>
        </w:rPr>
      </w:r>
      <w:r>
        <w:rPr>
          <w:spacing w:val="-4"/>
        </w:rPr>
        <w:t>完整性承担个别及连带责任。建立健全并有效实施内部控制是公司董事会的责任，董事会经过对公司内部控制的自查和分析，</w:t>
      </w:r>
      <w:r>
        <w:rPr>
          <w:spacing w:val="-44"/>
        </w:rPr>
        <w:t> </w:t>
      </w:r>
      <w:r>
        <w:rPr>
          <w:spacing w:val="-44"/>
        </w:rPr>
      </w:r>
      <w:r>
        <w:rPr/>
        <w:t>认为：截至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日，公司已根据相关法律法规和监管部门的要求，建立了较为完善的内部控制制度并得到有效 </w:t>
      </w:r>
      <w:r>
        <w:rPr>
          <w:spacing w:val="-2"/>
        </w:rPr>
        <w:t>执行，能够适应公司日常经营管理的需要和发展的要求，能够对公司经营合法合规、资产安全、财务报告及相关信息真实完</w:t>
      </w:r>
      <w:r>
        <w:rPr>
          <w:spacing w:val="-66"/>
        </w:rPr>
        <w:t> </w:t>
      </w:r>
      <w:r>
        <w:rPr>
          <w:spacing w:val="-66"/>
        </w:rPr>
      </w:r>
      <w:r>
        <w:rPr/>
        <w:t>整、提高经营效率和效果、促进实现发展战略等目标提供合理保证。</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88"/>
        <w:jc w:val="both"/>
      </w:pPr>
      <w:r>
        <w:rPr>
          <w:spacing w:val="-5"/>
        </w:rPr>
        <w:t>公司按照《公司法》对财务会计的要求以及《会计法》、《企业会计准则》等法律法规、行业准则的规定，建立了规范、完整</w:t>
      </w:r>
      <w:r>
        <w:rPr>
          <w:spacing w:val="-80"/>
        </w:rPr>
        <w:t> </w:t>
      </w:r>
      <w:r>
        <w:rPr>
          <w:spacing w:val="-80"/>
        </w:rPr>
      </w:r>
      <w:r>
        <w:rPr>
          <w:spacing w:val="-2"/>
        </w:rPr>
        <w:t>的财务管理控制制度以及相关的操作规程，建立了严格的内部审批流程，划分了清晰的审批权限，对采购、生产、销售、财</w:t>
      </w:r>
      <w:r>
        <w:rPr>
          <w:spacing w:val="-68"/>
        </w:rPr>
        <w:t> </w:t>
      </w:r>
      <w:r>
        <w:rPr>
          <w:spacing w:val="-68"/>
        </w:rPr>
      </w:r>
      <w:r>
        <w:rPr/>
        <w:t>务管理等各个环节进行有效控制，确保会计核算与记录、相关凭证、财务数据的准确性、可靠性和安全性。</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2"/>
                    <w:ind w:left="0" w:right="1"/>
                    <w:jc w:val="center"/>
                  </w:pPr>
                  <w:r>
                    <w:rPr/>
                    <w:t>内部控制审计报告中的审议意见段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我们认为，卫士通公司于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日在所有重大方面有效地保持了按照财政部颁布的《内部控制基本规范》标准 建立的与财务报表相关的有效的内部控制。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1"/>
        <w:ind w:right="0"/>
        <w:jc w:val="both"/>
      </w:pPr>
      <w:r>
        <w:rPr/>
        <w:t>会计师事务所是否出具非标准意见的内部控制审计报告</w:t>
      </w:r>
    </w:p>
    <w:p>
      <w:pPr>
        <w:pStyle w:val="BodyText"/>
        <w:spacing w:line="338" w:lineRule="auto" w:before="117"/>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21"/>
        <w:jc w:val="both"/>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2"/>
        </w:rPr>
        <w:t>月，经公司第四届董事会第二十一次会议审议通过，公司制定并发布了《年报信息披露重大差错责任追究制度》，</w:t>
      </w:r>
      <w:r>
        <w:rPr/>
        <w:t> </w:t>
      </w:r>
      <w:r>
        <w:rPr>
          <w:spacing w:val="-2"/>
        </w:rPr>
        <w:t>对年报信息披露重大差错的责任认定、责任追究的原则与形式等都作了明确规定，为规范公司信息披露工作、提高年报信息</w:t>
      </w:r>
      <w:r>
        <w:rPr>
          <w:spacing w:val="-66"/>
        </w:rPr>
        <w:t> </w:t>
      </w:r>
      <w:r>
        <w:rPr>
          <w:spacing w:val="-66"/>
        </w:rPr>
      </w:r>
      <w:r>
        <w:rPr/>
        <w:t>披露质量起到良好的促进作用。在制度执行期间，尚未产生年报信息披露重大差错。</w:t>
      </w:r>
    </w:p>
    <w:p>
      <w:pPr>
        <w:spacing w:after="0" w:line="309"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975" w:right="1011"/>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中审亚太会计师事务所有限公司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中审亚太审字 </w:t>
            </w:r>
            <w:r>
              <w:rPr>
                <w:rFonts w:ascii="Times New Roman" w:hAnsi="Times New Roman" w:cs="Times New Roman" w:eastAsia="Times New Roman" w:hint="default"/>
                <w:sz w:val="18"/>
                <w:szCs w:val="18"/>
              </w:rPr>
              <w:t>(2013)010230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51"/>
        <w:ind w:left="975" w:right="1012"/>
        <w:jc w:val="center"/>
      </w:pPr>
      <w:r>
        <w:rPr/>
        <w:t>审计报告正文</w:t>
      </w:r>
    </w:p>
    <w:p>
      <w:pPr>
        <w:pStyle w:val="Heading5"/>
        <w:spacing w:line="240" w:lineRule="auto" w:before="147"/>
        <w:ind w:left="975" w:right="448"/>
        <w:jc w:val="center"/>
        <w:rPr>
          <w:b w:val="0"/>
          <w:bCs w:val="0"/>
        </w:rPr>
      </w:pPr>
      <w:r>
        <w:rPr/>
        <w:t>审  计  报</w:t>
      </w:r>
      <w:r>
        <w:rPr>
          <w:spacing w:val="85"/>
        </w:rPr>
        <w:t> </w:t>
      </w:r>
      <w:r>
        <w:rPr/>
        <w:t>告</w:t>
      </w:r>
      <w:r>
        <w:rPr>
          <w:b w:val="0"/>
          <w:bCs w:val="0"/>
        </w:rPr>
      </w:r>
    </w:p>
    <w:p>
      <w:pPr>
        <w:spacing w:line="240" w:lineRule="auto" w:before="12"/>
        <w:rPr>
          <w:rFonts w:ascii="宋体" w:hAnsi="宋体" w:cs="宋体" w:eastAsia="宋体" w:hint="default"/>
          <w:b/>
          <w:bCs/>
          <w:sz w:val="7"/>
          <w:szCs w:val="7"/>
        </w:rPr>
      </w:pPr>
    </w:p>
    <w:p>
      <w:pPr>
        <w:pStyle w:val="BodyText"/>
        <w:spacing w:line="240" w:lineRule="auto" w:before="44"/>
        <w:ind w:left="0" w:right="191"/>
        <w:jc w:val="right"/>
      </w:pPr>
      <w:r>
        <w:rPr/>
        <w:t>中审亚太审字</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rFonts w:ascii="Times New Roman" w:hAnsi="Times New Roman" w:cs="Times New Roman" w:eastAsia="Times New Roman" w:hint="default"/>
        </w:rPr>
        <w:t>(2013)010230</w:t>
      </w:r>
      <w:r>
        <w:rPr/>
        <w:t>号</w:t>
      </w:r>
    </w:p>
    <w:p>
      <w:pPr>
        <w:pStyle w:val="BodyText"/>
        <w:spacing w:line="240" w:lineRule="auto" w:before="63"/>
        <w:ind w:right="90"/>
        <w:jc w:val="left"/>
      </w:pPr>
      <w:r>
        <w:rPr/>
        <w:t>成都卫士通信息产业股份有限公司全体股东：</w:t>
      </w:r>
    </w:p>
    <w:p>
      <w:pPr>
        <w:pStyle w:val="BodyText"/>
        <w:spacing w:line="300" w:lineRule="auto" w:before="76"/>
        <w:ind w:left="153" w:right="191" w:firstLine="567"/>
        <w:jc w:val="both"/>
      </w:pPr>
      <w:r>
        <w:rPr>
          <w:spacing w:val="-1"/>
        </w:rPr>
        <w:t>我们审计了后附的成都卫士通信息产业股份有限公司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卫士通公司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w:t>
      </w:r>
      <w:r>
        <w:rPr/>
        <w:t> </w:t>
      </w:r>
      <w:r>
        <w:rPr>
          <w:spacing w:val="-2"/>
        </w:rPr>
        <w:t>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年度的合并及母公司利润表、合并及母公司现金流量表、合并及母公司所有者权益变动表，以及</w:t>
      </w:r>
      <w:r>
        <w:rPr>
          <w:spacing w:val="-62"/>
        </w:rPr>
        <w:t> </w:t>
      </w:r>
      <w:r>
        <w:rPr>
          <w:spacing w:val="-62"/>
        </w:rPr>
      </w:r>
      <w:r>
        <w:rPr/>
        <w:t>财务报表附注。</w:t>
      </w:r>
    </w:p>
    <w:p>
      <w:pPr>
        <w:spacing w:line="316" w:lineRule="auto" w:before="31"/>
        <w:ind w:left="721" w:right="90"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3"/>
          <w:sz w:val="18"/>
          <w:szCs w:val="18"/>
        </w:rPr>
        <w:t>编制和公允列报财务报表是卫士通公司管理层的责任，这种责任包括：（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）按照企业会计准则的规定编制财务报表，</w:t>
      </w:r>
    </w:p>
    <w:p>
      <w:pPr>
        <w:pStyle w:val="BodyText"/>
        <w:spacing w:line="309" w:lineRule="auto"/>
        <w:ind w:left="721" w:right="243" w:hanging="568"/>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316" w:lineRule="auto" w:before="24"/>
        <w:ind w:left="153" w:right="90"/>
        <w:jc w:val="left"/>
      </w:pPr>
      <w:r>
        <w:rPr>
          <w:spacing w:val="-2"/>
        </w:rPr>
        <w:t>审计工作。中国注册会计师审计准则要求我们遵守中国注册会计师职业道德守则，计划和执行审计工作以对财务报表是否不</w:t>
      </w:r>
      <w:r>
        <w:rPr>
          <w:spacing w:val="-64"/>
        </w:rPr>
        <w:t> </w:t>
      </w:r>
      <w:r>
        <w:rPr>
          <w:spacing w:val="-64"/>
        </w:rPr>
      </w:r>
      <w:r>
        <w:rPr/>
        <w:t>存在重大错报获取合理保证。</w:t>
      </w:r>
    </w:p>
    <w:p>
      <w:pPr>
        <w:pStyle w:val="BodyText"/>
        <w:spacing w:line="316" w:lineRule="auto" w:before="19"/>
        <w:ind w:left="153" w:right="90" w:firstLine="567"/>
        <w:jc w:val="left"/>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允列报相关的内部控制，以设计恰当的审计程序，但目的并非对内部控制的有效性发表意见。审计工作还包括评价管理层选</w:t>
      </w:r>
      <w:r>
        <w:rPr>
          <w:spacing w:val="-66"/>
        </w:rPr>
        <w:t> </w:t>
      </w:r>
      <w:r>
        <w:rPr>
          <w:spacing w:val="-66"/>
        </w:rPr>
      </w:r>
      <w:r>
        <w:rPr/>
        <w:t>用会计政策的恰当性和作出会计估计的合理性，以及评价财务报表的总体列报。</w:t>
      </w:r>
    </w:p>
    <w:p>
      <w:pPr>
        <w:pStyle w:val="BodyText"/>
        <w:spacing w:line="316" w:lineRule="auto" w:before="19"/>
        <w:ind w:left="721" w:right="294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19"/>
        <w:ind w:left="721" w:right="90"/>
        <w:jc w:val="left"/>
      </w:pPr>
      <w:r>
        <w:rPr/>
        <w:t>我们认为，卫士通公司财务报表在所有重大方面按照企业会计准则的规定编制，公允反映了卫士通公司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p>
    <w:p>
      <w:pPr>
        <w:pStyle w:val="BodyText"/>
        <w:spacing w:line="240" w:lineRule="auto" w:before="63"/>
        <w:ind w:left="153" w:right="90"/>
        <w:jc w:val="left"/>
      </w:pPr>
      <w:r>
        <w:rPr>
          <w:rFonts w:ascii="Times New Roman" w:hAnsi="Times New Roman" w:cs="Times New Roman" w:eastAsia="Times New Roman" w:hint="default"/>
        </w:rPr>
        <w:t>31</w:t>
      </w:r>
      <w:r>
        <w:rPr/>
        <w:t>日的合并及母公司财务状况以</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316" w:lineRule="auto"/>
        <w:ind w:left="6003" w:right="1441"/>
        <w:jc w:val="left"/>
      </w:pPr>
      <w:r>
        <w:rPr/>
        <w:t>中审亚太会计师事务所有限公司 中国注册会计师：黄秀娟</w:t>
      </w:r>
    </w:p>
    <w:p>
      <w:pPr>
        <w:spacing w:line="240" w:lineRule="auto" w:before="4"/>
        <w:rPr>
          <w:rFonts w:ascii="宋体" w:hAnsi="宋体" w:cs="宋体" w:eastAsia="宋体" w:hint="default"/>
          <w:sz w:val="25"/>
          <w:szCs w:val="25"/>
        </w:rPr>
      </w:pPr>
    </w:p>
    <w:p>
      <w:pPr>
        <w:pStyle w:val="BodyText"/>
        <w:spacing w:line="316" w:lineRule="auto"/>
        <w:ind w:left="6301" w:right="1891" w:hanging="258"/>
        <w:jc w:val="left"/>
      </w:pPr>
      <w:r>
        <w:rPr/>
        <w:t>中国注册会计师：张 平 中国</w:t>
      </w:r>
      <w:r>
        <w:rPr>
          <w:rFonts w:ascii="Times New Roman" w:hAnsi="Times New Roman" w:cs="Times New Roman" w:eastAsia="Times New Roman" w:hint="default"/>
        </w:rPr>
        <w:t>·</w:t>
      </w:r>
      <w:r>
        <w:rPr/>
        <w:t>北京市</w:t>
      </w:r>
    </w:p>
    <w:p>
      <w:pPr>
        <w:pStyle w:val="BodyText"/>
        <w:spacing w:line="248" w:lineRule="exact"/>
        <w:ind w:left="6071" w:right="90"/>
        <w:jc w:val="left"/>
      </w:pPr>
      <w:r>
        <w:rPr/>
        <w:t>二</w:t>
      </w:r>
      <w:r>
        <w:rPr>
          <w:rFonts w:ascii="Times New Roman" w:hAnsi="Times New Roman" w:cs="Times New Roman" w:eastAsia="Times New Roman" w:hint="default"/>
        </w:rPr>
        <w:t>○</w:t>
      </w:r>
      <w:r>
        <w:rPr/>
        <w:t>一三年四月二十一日</w:t>
      </w:r>
    </w:p>
    <w:p>
      <w:pPr>
        <w:spacing w:after="0" w:line="248" w:lineRule="exact"/>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编制单位：成都卫士通信息产业股份有限公司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389,451,547.71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368,222,224.69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10,188,950.00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209,237,427.53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186,153,514.15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9,070,533.55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11,700,623.93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13,885,366.22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17,131,191.70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75,811,403.60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79,092,671.13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698,026,278.61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672,489,175.60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113,671,147.07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25,583,923.84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70,508,336.33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5,531,679.47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7,991.91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401,698.98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198,991.03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10,619,556.98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7,439,750.64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132,232,074.41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106,693,993.75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830,258,353.02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779,183,169.35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122,895,555.97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92,945,923.32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14,822,739.58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19,751,128.86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3,466,160.48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3,167,620.64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21,194,382.63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30,273,626.05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3,007,746.85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1,385,465.14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14,792,788.47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6,373,654.54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180,179,373.98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153,897,418.55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49,915,095.47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9,528,802.78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49,915,095.47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9,528,802.78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230,094,469.45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163,426,221.33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172,712,065.00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109,613,835.59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109,629,685.36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38,985,088.08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38,682,461.60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202,676,894.05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193,742,778.22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523,987,882.72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514,766,990.18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76,176,000.85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100,989,957.84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600,163,883.57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615,756,948.02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830,258,353.02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779,183,169.35</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编制单位：成都卫士通信息产业股份有限公司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4" w:right="0"/>
              <w:jc w:val="left"/>
              <w:rPr>
                <w:rFonts w:ascii="Times New Roman" w:hAnsi="Times New Roman" w:cs="Times New Roman" w:eastAsia="Times New Roman" w:hint="default"/>
                <w:sz w:val="18"/>
                <w:szCs w:val="18"/>
              </w:rPr>
            </w:pPr>
            <w:r>
              <w:rPr>
                <w:rFonts w:ascii="Times New Roman"/>
                <w:sz w:val="18"/>
              </w:rPr>
              <w:t>147,633,507.48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147,143,750.58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233,015,681.62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205,100,668.83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1,569,047.35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4,001,765.87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12,992,289.29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15,908,888.21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59,913,220.65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66,393,614.88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455,123,746.39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438,948,688.37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97,256,487.72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81,396,730.52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68,821,606.65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17,396,176.42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40,828,149.15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3,411,162.00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374,187.21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198,991.03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4,170,706.72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2,406,861.71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174,034,150.30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142,381,908.83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629,157,896.69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581,330,597.20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107,060,556.88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64,730,829.23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2,559,882.38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3,425,825.12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2,998,870.84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2,975,906.70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2,910,939.12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16,966,009.32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3,007,746.85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27,809,557.00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23,829,268.94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146,347,553.07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111,927,839.31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26,597,238.61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7,580,314.40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26,597,238.61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7,580,314.40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172,944,791.68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119,508,153.71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172,712,065.00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101,070,654.03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101,070,654.03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38,985,088.08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38,682,461.60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143,445,297.90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149,357,262.86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456,213,105.01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461,822,443.49</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629,157,896.69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581,330,597.20</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编制单位：成都卫士通信息产业股份有限公司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1"/>
        <w:gridCol w:w="2977"/>
        <w:gridCol w:w="2479"/>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317,429,705.97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508,358,984.73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317,429,705.97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508,358,984.73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336,119,158.07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422,222,499.75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131,935,638.36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210,730,491.50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6,220,288.73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7,166,426.20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76,907,744.36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85,049,924.72</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103,870,675.94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113,754,939.47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-2,717,050.84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-2,603,844.61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19,901,861.52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8,124,562.47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1,851,949.53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w:t>
            </w:r>
            <w:r>
              <w:rPr>
                <w:rFonts w:ascii="宋体" w:hAnsi="宋体" w:cs="宋体" w:eastAsia="宋体" w:hint="default"/>
                <w:sz w:val="18"/>
                <w:szCs w:val="18"/>
              </w:rPr>
              <w:t>对联营企业和合营企业的投资收益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-18,964,452.10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87,988,434.51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31,788,941.01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19,961,248.83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133,863.62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45,615.01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20,855.98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1,880.94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12,690,625.29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107,904,068.33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2,988,329.31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18,153,274.70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9,702,295.98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89,750,793.63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11"/>
        <w:gridCol w:w="2977"/>
        <w:gridCol w:w="2479"/>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17,872,345.54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86,496,177.37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-8,170,049.56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3,254,616.26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0.5008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0.5008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9,702,295.98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89,750,793.63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17,872,345.54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86,496,177.37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-8,170,049.56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3,254,616.26</w:t>
            </w:r>
          </w:p>
        </w:tc>
      </w:tr>
    </w:tbl>
    <w:p>
      <w:pPr>
        <w:pStyle w:val="BodyText"/>
        <w:spacing w:line="240" w:lineRule="auto" w:before="51"/>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753" w:val="left" w:leader="none"/>
          <w:tab w:pos="7893" w:val="left" w:leader="none"/>
        </w:tabs>
        <w:spacing w:line="240" w:lineRule="auto" w:before="141"/>
        <w:ind w:left="153" w:right="0"/>
        <w:jc w:val="left"/>
      </w:pPr>
      <w:r>
        <w:rPr/>
        <w:t>法定代表人：李成刚</w:t>
        <w:tab/>
        <w:t>主管会计工作负责人：罗伟</w:t>
        <w:tab/>
        <w:t>会计机构负责人：罗伟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编制单位：成都卫士通信息产业股份有限公司</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3"/>
        <w:gridCol w:w="2551"/>
        <w:gridCol w:w="2764"/>
      </w:tblGrid>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166,147,098.93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286,164,829.14</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60,145,308.76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86,240,908.11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2,265,292.82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4,144,723.72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44,070,593.61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54,666,943.32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69,345,350.81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71,787,635.00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-916,503.66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-1,226,681.51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12,535,302.75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2,941,193.06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78"/>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51"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228,436.04</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58"/>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1"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-21,573,246.16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67,838,543.48</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23,131,712.86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17,026,105.67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6,957.20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32,098.86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3,470.02</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1,551,509.50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84,832,550.29</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-1,474,755.25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11,477,181.80</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3,026,264.75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73,355,368.49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3"/>
        <w:gridCol w:w="2551"/>
        <w:gridCol w:w="2764"/>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3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0.4247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3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0.4247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551"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3,026,264.75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73,355,368.49</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编制单位：成都卫士通信息产业股份有限公司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2693"/>
        <w:gridCol w:w="2764"/>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340,777,284.19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512,374,167.27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6"/>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17,231,400.54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7,304,278.37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71,360,267.98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22,980,677.81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429,368,952.71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542,659,123.45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120,254,650.44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261,195,344.61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6"/>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6"/>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102,063,728.94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106,789,732.80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60,982,578.44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67,105,435.60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111"/>
        <w:gridCol w:w="2693"/>
        <w:gridCol w:w="2764"/>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78,531,858.08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93,599,840.10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361,832,815.90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528,690,353.11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67,536,136.81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13,968,770.34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4,865.00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4,865.00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23,992,808.65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29,113,476.73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16,659,757.20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40,652,565.85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31,113,476.73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-40,647,700.85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-31,113,476.73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57,377,391.00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57,377,391.00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57,377,391.00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7,013,321.52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26,571,087.00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67,896.54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7,013,321.52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26,638,983.54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-7,013,321.52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30,738,407.46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19,875,114.44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13,593,701.07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366,249,886.88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352,656,185.81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111"/>
        <w:gridCol w:w="2693"/>
        <w:gridCol w:w="2764"/>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5" w:right="0"/>
              <w:jc w:val="left"/>
              <w:rPr>
                <w:rFonts w:ascii="Times New Roman" w:hAnsi="Times New Roman" w:cs="Times New Roman" w:eastAsia="Times New Roman" w:hint="default"/>
                <w:sz w:val="18"/>
                <w:szCs w:val="18"/>
              </w:rPr>
            </w:pPr>
            <w:r>
              <w:rPr>
                <w:rFonts w:ascii="Times New Roman"/>
                <w:sz w:val="18"/>
              </w:rPr>
              <w:t>386,125,001.32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6" w:right="0"/>
              <w:jc w:val="left"/>
              <w:rPr>
                <w:rFonts w:ascii="Times New Roman" w:hAnsi="Times New Roman" w:cs="Times New Roman" w:eastAsia="Times New Roman" w:hint="default"/>
                <w:sz w:val="18"/>
                <w:szCs w:val="18"/>
              </w:rPr>
            </w:pPr>
            <w:r>
              <w:rPr>
                <w:rFonts w:ascii="Times New Roman"/>
                <w:sz w:val="18"/>
              </w:rPr>
              <w:t>366,249,886.88</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编制单位：成都卫士通信息产业股份有限公司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245"/>
        <w:gridCol w:w="2268"/>
        <w:gridCol w:w="2054"/>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157,253,401.90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250,855,577.78</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17,231,400.54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7,304,278.37</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39,986,503.93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25,032,504.89</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214,471,306.37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283,192,361.04</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42,314,771.34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92,050,999.62</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52,656,052.03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63,165,478.01</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33,302,051.86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40,067,790.38</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50,568,847.41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68,018,051.88</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178,841,722.64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263,302,319.89</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35,629,583.73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19,890,041.15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2,650,319.60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4,865.00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501,906.75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4,865.00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3,152,226.35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12,330,336.83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16,000,276.05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16,659,757.20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6,782,609.00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28,990,094.03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22,782,885.05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-28,985,229.03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-19,630,658.70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45"/>
        <w:gridCol w:w="2268"/>
        <w:gridCol w:w="2054"/>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5,627,856.38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26,571,087.00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67,896.54</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5,627,856.38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26,638,983.54</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-5,627,856.38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-26,638,983.54</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1,016,498.32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-26,379,601.09</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145,657,962.77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172,037,563.86</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146,674,461.09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145,657,962.77</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编制单位：成都卫士通信息产业股份有限公司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755" w:space="516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49"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,065.00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109,629,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685.36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38,682,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461.60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193,742,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778.22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100,989,9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57.84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615,756,94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8.02</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,065.00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109,629,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685.36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38,682,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461.60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193,742,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778.22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100,989,9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57.84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615,756,94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8.02</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302,626</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8,934,11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5.83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-24,813,9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56.99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-15,593,06</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4.45</w:t>
            </w: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17,872,3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45.54</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-8,170,04</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9.56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9,702,295.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17,872,3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45.54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-8,170,04</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9.56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9,702,295.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-16,643,9</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07.43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-16,659,75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7.20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-16,643,9</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07.43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-16,659,75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7.20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302,626</w:t>
            </w:r>
          </w:p>
          <w:p>
            <w:pPr>
              <w:pStyle w:val="TableParagraph"/>
              <w:spacing w:line="240" w:lineRule="auto" w:before="106"/>
              <w:ind w:left="425" w:right="0"/>
              <w:jc w:val="left"/>
              <w:rPr>
                <w:rFonts w:ascii="Times New Roman" w:hAnsi="Times New Roman" w:cs="Times New Roman" w:eastAsia="Times New Roman" w:hint="default"/>
                <w:sz w:val="18"/>
                <w:szCs w:val="18"/>
              </w:rPr>
            </w:pPr>
            <w:r>
              <w:rPr>
                <w:rFonts w:ascii="Times New Roman"/>
                <w:sz w:val="18"/>
              </w:rPr>
              <w:t>.48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-8,938,2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29.71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302,626</w:t>
            </w:r>
          </w:p>
          <w:p>
            <w:pPr>
              <w:pStyle w:val="TableParagraph"/>
              <w:spacing w:line="240" w:lineRule="auto" w:before="106"/>
              <w:ind w:left="425" w:right="0"/>
              <w:jc w:val="left"/>
              <w:rPr>
                <w:rFonts w:ascii="Times New Roman" w:hAnsi="Times New Roman" w:cs="Times New Roman" w:eastAsia="Times New Roman" w:hint="default"/>
                <w:sz w:val="18"/>
                <w:szCs w:val="18"/>
              </w:rPr>
            </w:pPr>
            <w:r>
              <w:rPr>
                <w:rFonts w:ascii="Times New Roman"/>
                <w:sz w:val="18"/>
              </w:rPr>
              <w:t>.48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-302,62</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6.48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-8,635,6</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03.23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,065.00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109,613,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835.59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38,985,</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088.08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202,676,</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894.05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76,176,00</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0.85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600,163,88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3.57</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00000"/>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132,855</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,435.00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149,797,</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813.50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31,346,</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924.75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141,153,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224.70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41,960,44</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4.91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497,113,84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2.86</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132,855</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,435.00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149,797,</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813.50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31,346,</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924.75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141,153,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224.70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41,960,44</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4.91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497,113,84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2.86</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39,856,</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630.00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-40,168,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128.14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7,335,5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36.85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52,589,5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53.52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59,029,51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2.93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118,643,10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5.16</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86,496,1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77.37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3,254,616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89,750,793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86,496,1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77.37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3,254,616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89,750,793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-311,49</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8.14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55,774,89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6.67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55,463,398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1,602,49</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4.33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57,377,39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58,979,885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-1,913,9</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92.47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-1,602,49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4.33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-3,516,486.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7,335,5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36.85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-33,906,</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623.85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-26,571,08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7,335,5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36.85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-7,335,5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36.85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-26,571,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087.00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-26,571,08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39,856,</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630.00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-39,856,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39,856,</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630.00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-39,856,</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,065.00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109,629,</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685.36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38,682,</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461.60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193,742,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778.22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100,989,9</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57.84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615,756,94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8.02</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编制单位：成都卫士通信息产业股份有限公司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755" w:space="516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7"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172,712,06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5.00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101,070,65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4.03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38,682,461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149,357,26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2.86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461,822,44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3.49</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172,712,06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5.00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101,070,65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4.03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38,682,461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149,357,26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2.86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461,822,44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3.49</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302,626.48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-5,911,964.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-5,609,338.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3,026,264.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3,026,264.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shape style="position:absolute;margin-left:138.539993pt;margin-top:239.880005pt;width:86pt;height:19.650pt;mso-position-horizontal-relative:page;mso-position-vertical-relative:page;z-index:-859624"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8.539993pt;margin-top:259.980011pt;width:86pt;height:19.650pt;mso-position-horizontal-relative:page;mso-position-vertical-relative:page;z-index:-859600" type="#_x0000_t202" filled="false" stroked="false">
            <v:textbox inset="0,0,0,0">
              <w:txbxContent>
                <w:p>
                  <w:pPr>
                    <w:pStyle w:val="BodyText"/>
                    <w:spacing w:line="240" w:lineRule="auto" w:before="51"/>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1"/>
        <w:gridCol w:w="890"/>
        <w:gridCol w:w="884"/>
        <w:gridCol w:w="886"/>
        <w:gridCol w:w="886"/>
        <w:gridCol w:w="887"/>
        <w:gridCol w:w="886"/>
        <w:gridCol w:w="886"/>
        <w:gridCol w:w="893"/>
      </w:tblGrid>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302,626.48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-8,938,229.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302,626.48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-302,626.4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90"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90"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172,712,06</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101,070,65</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4.03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38,985,088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143,445,29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7.90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456,213,10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5.01</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132,855,43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140,927,28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4.03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31,346,924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109,908,51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8.22</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415,038,16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6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6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132,855,43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140,927,28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4.03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31,346,924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109,908,51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8.22</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415,038,16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39,856,630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-39,856,63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7,335,536.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39,448,744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46,784,281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73,355,368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73,355,368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39.499405pt;margin-top:387.179993pt;width:85.95pt;height:35.25pt;mso-position-horizontal-relative:page;mso-position-vertical-relative:page;z-index:-859576"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（或股本）</w:t>
                  </w:r>
                </w:p>
              </w:txbxContent>
            </v:textbox>
            <w10:wrap type="none"/>
          </v:shape>
        </w:pict>
      </w:r>
      <w:r>
        <w:rPr/>
        <w:pict>
          <v:shape style="position:absolute;margin-left:139.499405pt;margin-top:422.880005pt;width:85.95pt;height:19.650pt;mso-position-horizontal-relative:page;mso-position-vertical-relative:page;z-index:-859552"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group style="position:absolute;margin-left:181.679993pt;margin-top:387.179993pt;width:43.75pt;height:35.25pt;mso-position-horizontal-relative:page;mso-position-vertical-relative:page;z-index:-859528" coordorigin="3634,7744" coordsize="875,705">
            <v:group style="position:absolute;left:3634;top:7744;width:875;height:705" coordorigin="3634,7744" coordsize="875,705">
              <v:shape style="position:absolute;left:3634;top:7744;width:875;height:705" coordorigin="3634,7744" coordsize="875,705" path="m3634,8448l4508,8448,4508,7744,3634,7744,3634,8448xe" filled="true" fillcolor="#ffffff" stroked="false">
                <v:path arrowok="t"/>
                <v:fill type="solid"/>
              </v:shape>
            </v:group>
            <v:group style="position:absolute;left:3656;top:7744;width:830;height:353" coordorigin="3656,7744" coordsize="830,353">
              <v:shape style="position:absolute;left:3656;top:7744;width:830;height:353" coordorigin="3656,7744" coordsize="830,353" path="m3656,8096l4486,8096,4486,7744,3656,7744,3656,8096xe" filled="true" fillcolor="#ffffff" stroked="false">
                <v:path arrowok="t"/>
                <v:fill type="solid"/>
              </v:shape>
            </v:group>
            <v:group style="position:absolute;left:3656;top:8096;width:830;height:352" coordorigin="3656,8096" coordsize="830,352">
              <v:shape style="position:absolute;left:3656;top:8096;width:830;height:352" coordorigin="3656,8096" coordsize="830,352" path="m3656,8448l4486,8448,4486,8096,3656,8096,3656,84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73,355,368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73,355,368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-33,906,62</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3.85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-26,571,08</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7.00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-26,571,08</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7.00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-26,571,08</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39,856,630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-39,856,63</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39,856,630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-39,856,63</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172,712,06</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101,070,65</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4.03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38,682,461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149,357,26</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2.86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461,822,44</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3.49</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r>
        <w:rPr/>
        <w:t>法定代表人：李成刚</w:t>
        <w:tab/>
        <w:t>主管会计工作负责人：罗伟</w:t>
        <w:tab/>
        <w:t>会计机构负责人：罗伟</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pStyle w:val="BodyText"/>
        <w:spacing w:line="440" w:lineRule="atLeast" w:before="142"/>
        <w:ind w:left="514" w:right="0"/>
        <w:jc w:val="left"/>
      </w:pPr>
      <w:r>
        <w:rPr>
          <w:rFonts w:ascii="宋体" w:hAnsi="宋体" w:cs="宋体" w:eastAsia="宋体" w:hint="default"/>
          <w:b/>
          <w:bCs/>
        </w:rPr>
        <w:t>（一）公司历史沿革</w:t>
      </w:r>
      <w:r>
        <w:rPr>
          <w:rFonts w:ascii="宋体" w:hAnsi="宋体" w:cs="宋体" w:eastAsia="宋体" w:hint="default"/>
          <w:b/>
          <w:bCs/>
          <w:spacing w:val="1"/>
          <w:w w:val="99"/>
        </w:rPr>
        <w:t> </w:t>
      </w:r>
      <w:r>
        <w:rPr>
          <w:spacing w:val="-2"/>
        </w:rPr>
        <w:t>成都卫士通信息产业股份有限公司（以下简称本公司或公司）是于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日经成都市经济体制改革委员会</w:t>
      </w:r>
      <w:r>
        <w:rPr>
          <w:rFonts w:ascii="Times New Roman" w:hAnsi="Times New Roman" w:cs="Times New Roman" w:eastAsia="Times New Roman" w:hint="default"/>
          <w:spacing w:val="-2"/>
        </w:rPr>
        <w:t>“</w:t>
      </w:r>
      <w:r>
        <w:rPr>
          <w:spacing w:val="-2"/>
        </w:rPr>
        <w:t>成体改</w:t>
      </w:r>
    </w:p>
    <w:p>
      <w:pPr>
        <w:pStyle w:val="BodyText"/>
        <w:spacing w:line="300" w:lineRule="auto" w:before="63"/>
        <w:ind w:right="0"/>
        <w:jc w:val="left"/>
      </w:pPr>
      <w:r>
        <w:rPr>
          <w:rFonts w:ascii="Times New Roman" w:hAnsi="Times New Roman" w:cs="Times New Roman" w:eastAsia="Times New Roman" w:hint="default"/>
        </w:rPr>
        <w:t>[1998]</w:t>
      </w:r>
      <w:r>
        <w:rPr/>
        <w:t>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批准成立的股份有限公司，公司由中国电子科技集团公司第三十研究所、西南通信研究所、成都西通开发公</w:t>
      </w:r>
      <w:r>
        <w:rPr>
          <w:spacing w:val="-26"/>
        </w:rPr>
        <w:t> </w:t>
      </w:r>
      <w:r>
        <w:rPr>
          <w:spacing w:val="-26"/>
        </w:rPr>
      </w:r>
      <w:r>
        <w:rPr/>
        <w:t>司及罗天文等</w:t>
      </w:r>
      <w:r>
        <w:rPr>
          <w:rFonts w:ascii="Times New Roman" w:hAnsi="Times New Roman" w:cs="Times New Roman" w:eastAsia="Times New Roman" w:hint="default"/>
        </w:rPr>
        <w:t>1418</w:t>
      </w:r>
      <w:r>
        <w:rPr/>
        <w:t>名自然人共同出资以发起设立方式组建，公司注册资本人民币</w:t>
      </w:r>
      <w:r>
        <w:rPr>
          <w:rFonts w:ascii="Times New Roman" w:hAnsi="Times New Roman" w:cs="Times New Roman" w:eastAsia="Times New Roman" w:hint="default"/>
        </w:rPr>
        <w:t>1,201</w:t>
      </w:r>
      <w:r>
        <w:rPr/>
        <w:t>万元。</w:t>
      </w:r>
    </w:p>
    <w:p>
      <w:pPr>
        <w:pStyle w:val="BodyText"/>
        <w:spacing w:line="240" w:lineRule="auto" w:before="133"/>
        <w:ind w:left="514" w:right="0"/>
        <w:jc w:val="left"/>
      </w:pPr>
      <w:r>
        <w:rPr/>
        <w:t>公司于</w:t>
      </w:r>
      <w:r>
        <w:rPr>
          <w:rFonts w:ascii="Times New Roman" w:hAnsi="Times New Roman" w:cs="Times New Roman" w:eastAsia="Times New Roman" w:hint="default"/>
        </w:rPr>
        <w:t>2000</w:t>
      </w:r>
      <w:r>
        <w:rPr/>
        <w:t>年实施</w:t>
      </w:r>
      <w:r>
        <w:rPr>
          <w:rFonts w:ascii="Times New Roman" w:hAnsi="Times New Roman" w:cs="Times New Roman" w:eastAsia="Times New Roman" w:hint="default"/>
        </w:rPr>
        <w:t>1999</w:t>
      </w:r>
      <w:r>
        <w:rPr/>
        <w:t>年度分配方案，以</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日累计可供分配利润向全体股东每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5.6</w:t>
      </w:r>
      <w:r>
        <w:rPr/>
        <w:t>股，共计派发股票</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股利</w:t>
      </w:r>
      <w:r>
        <w:rPr>
          <w:rFonts w:ascii="Times New Roman" w:hAnsi="Times New Roman" w:cs="Times New Roman" w:eastAsia="Times New Roman" w:hint="default"/>
        </w:rPr>
        <w:t>6,725,600.00</w:t>
      </w:r>
      <w:r>
        <w:rPr/>
        <w:t>元，变更后总股本</w:t>
      </w:r>
      <w:r>
        <w:rPr>
          <w:rFonts w:ascii="Times New Roman" w:hAnsi="Times New Roman" w:cs="Times New Roman" w:eastAsia="Times New Roman" w:hint="default"/>
        </w:rPr>
        <w:t>18,735,600</w:t>
      </w:r>
      <w:r>
        <w:rPr/>
        <w:t>股。</w:t>
      </w:r>
    </w:p>
    <w:p>
      <w:pPr>
        <w:spacing w:line="240" w:lineRule="auto" w:before="13"/>
        <w:rPr>
          <w:rFonts w:ascii="宋体" w:hAnsi="宋体" w:cs="宋体" w:eastAsia="宋体" w:hint="default"/>
          <w:sz w:val="13"/>
          <w:szCs w:val="13"/>
        </w:rPr>
      </w:pPr>
    </w:p>
    <w:p>
      <w:pPr>
        <w:pStyle w:val="BodyText"/>
        <w:spacing w:line="300" w:lineRule="auto"/>
        <w:ind w:right="148" w:firstLine="360"/>
        <w:jc w:val="both"/>
      </w:pPr>
      <w:r>
        <w:rPr/>
        <w:t>公司于</w:t>
      </w:r>
      <w:r>
        <w:rPr>
          <w:rFonts w:ascii="Times New Roman" w:hAnsi="Times New Roman" w:cs="Times New Roman" w:eastAsia="Times New Roman" w:hint="default"/>
        </w:rPr>
        <w:t>2001</w:t>
      </w:r>
      <w:r>
        <w:rPr/>
        <w:t>年实施</w:t>
      </w:r>
      <w:r>
        <w:rPr>
          <w:rFonts w:ascii="Times New Roman" w:hAnsi="Times New Roman" w:cs="Times New Roman" w:eastAsia="Times New Roman" w:hint="default"/>
        </w:rPr>
        <w:t>2000</w:t>
      </w:r>
      <w:r>
        <w:rPr/>
        <w:t>年度分配方案，以</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日累计可供分配利润向全体股东每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股，共计派发股票股 利</w:t>
      </w:r>
      <w:r>
        <w:rPr>
          <w:rFonts w:ascii="Times New Roman" w:hAnsi="Times New Roman" w:cs="Times New Roman" w:eastAsia="Times New Roman" w:hint="default"/>
        </w:rPr>
        <w:t>5,620,680.00</w:t>
      </w:r>
      <w:r>
        <w:rPr/>
        <w:t>元，变更后总股本</w:t>
      </w:r>
      <w:r>
        <w:rPr>
          <w:rFonts w:ascii="Times New Roman" w:hAnsi="Times New Roman" w:cs="Times New Roman" w:eastAsia="Times New Roman" w:hint="default"/>
        </w:rPr>
        <w:t>24,356,280</w:t>
      </w:r>
      <w:r>
        <w:rPr/>
        <w:t>股。</w:t>
      </w:r>
    </w:p>
    <w:p>
      <w:pPr>
        <w:pStyle w:val="BodyText"/>
        <w:spacing w:line="304" w:lineRule="auto" w:before="133"/>
        <w:ind w:left="153" w:right="148" w:firstLine="36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月公司发起人股东在持有本公司股份满三年后进行合法转让，自然人分别转让</w:t>
      </w:r>
      <w:r>
        <w:rPr>
          <w:rFonts w:ascii="Times New Roman" w:hAnsi="Times New Roman" w:cs="Times New Roman" w:eastAsia="Times New Roman" w:hint="default"/>
        </w:rPr>
        <w:t>860</w:t>
      </w:r>
      <w:r>
        <w:rPr/>
        <w:t>万股和</w:t>
      </w:r>
      <w:r>
        <w:rPr>
          <w:rFonts w:ascii="Times New Roman" w:hAnsi="Times New Roman" w:cs="Times New Roman" w:eastAsia="Times New Roman" w:hint="default"/>
        </w:rPr>
        <w:t>120</w:t>
      </w:r>
      <w:r>
        <w:rPr/>
        <w:t>万股给成都新兴创 </w:t>
      </w:r>
      <w:r>
        <w:rPr>
          <w:spacing w:val="-2"/>
        </w:rPr>
        <w:t>业投资有限责任公司和成都三实立科技实业有限公司，同时自然人股东内部也进行了转让，上述股权转让已在成都市工商局</w:t>
      </w:r>
      <w:r>
        <w:rPr>
          <w:spacing w:val="-64"/>
        </w:rPr>
        <w:t> </w:t>
      </w:r>
      <w:r>
        <w:rPr>
          <w:spacing w:val="-64"/>
        </w:rPr>
      </w:r>
      <w:r>
        <w:rPr/>
        <w:t>办理备查登记，转让后，股本结构变化为中国电子科技集团公司第三十研究所持股</w:t>
      </w:r>
      <w:r>
        <w:rPr>
          <w:rFonts w:ascii="Times New Roman" w:hAnsi="Times New Roman" w:cs="Times New Roman" w:eastAsia="Times New Roman" w:hint="default"/>
        </w:rPr>
        <w:t>42.96%</w:t>
      </w:r>
      <w:r>
        <w:rPr/>
        <w:t>，成都新兴创业投资有限责任公</w:t>
      </w:r>
      <w:r>
        <w:rPr>
          <w:spacing w:val="-24"/>
        </w:rPr>
        <w:t> </w:t>
      </w:r>
      <w:r>
        <w:rPr>
          <w:spacing w:val="-24"/>
        </w:rPr>
      </w:r>
      <w:r>
        <w:rPr>
          <w:spacing w:val="-1"/>
        </w:rPr>
        <w:t>司持股</w:t>
      </w:r>
      <w:r>
        <w:rPr>
          <w:rFonts w:ascii="Times New Roman" w:hAnsi="Times New Roman" w:cs="Times New Roman" w:eastAsia="Times New Roman" w:hint="default"/>
          <w:spacing w:val="-1"/>
        </w:rPr>
        <w:t>35.31%</w:t>
      </w:r>
      <w:r>
        <w:rPr>
          <w:spacing w:val="-1"/>
        </w:rPr>
        <w:t>，西南通信研究所持股</w:t>
      </w:r>
      <w:r>
        <w:rPr>
          <w:rFonts w:ascii="Times New Roman" w:hAnsi="Times New Roman" w:cs="Times New Roman" w:eastAsia="Times New Roman" w:hint="default"/>
          <w:spacing w:val="-1"/>
        </w:rPr>
        <w:t>5%</w:t>
      </w:r>
      <w:r>
        <w:rPr>
          <w:spacing w:val="-1"/>
        </w:rPr>
        <w:t>，成都三实立科技实业有限公司持股</w:t>
      </w:r>
      <w:r>
        <w:rPr>
          <w:rFonts w:ascii="Times New Roman" w:hAnsi="Times New Roman" w:cs="Times New Roman" w:eastAsia="Times New Roman" w:hint="default"/>
          <w:spacing w:val="-1"/>
        </w:rPr>
        <w:t>4.93%</w:t>
      </w:r>
      <w:r>
        <w:rPr>
          <w:spacing w:val="-1"/>
        </w:rPr>
        <w:t>，成都西通开发公司持股</w:t>
      </w:r>
      <w:r>
        <w:rPr>
          <w:rFonts w:ascii="Times New Roman" w:hAnsi="Times New Roman" w:cs="Times New Roman" w:eastAsia="Times New Roman" w:hint="default"/>
          <w:spacing w:val="-1"/>
        </w:rPr>
        <w:t>2.08%</w:t>
      </w:r>
      <w:r>
        <w:rPr>
          <w:spacing w:val="-1"/>
        </w:rPr>
        <w:t>，</w:t>
      </w:r>
      <w:r>
        <w:rPr>
          <w:rFonts w:ascii="Times New Roman" w:hAnsi="Times New Roman" w:cs="Times New Roman" w:eastAsia="Times New Roman" w:hint="default"/>
          <w:spacing w:val="-1"/>
        </w:rPr>
        <w:t>16</w:t>
      </w:r>
      <w:r>
        <w:rPr>
          <w:spacing w:val="-1"/>
        </w:rPr>
        <w:t>名自</w:t>
      </w:r>
      <w:r>
        <w:rPr>
          <w:spacing w:val="-40"/>
        </w:rPr>
        <w:t> </w:t>
      </w:r>
      <w:r>
        <w:rPr/>
        <w:t>然人持股</w:t>
      </w:r>
      <w:r>
        <w:rPr>
          <w:rFonts w:ascii="Times New Roman" w:hAnsi="Times New Roman" w:cs="Times New Roman" w:eastAsia="Times New Roman" w:hint="default"/>
        </w:rPr>
        <w:t>9.72%</w:t>
      </w:r>
      <w:r>
        <w:rPr/>
        <w:t>。</w:t>
      </w:r>
    </w:p>
    <w:p>
      <w:pPr>
        <w:pStyle w:val="BodyText"/>
        <w:spacing w:line="300" w:lineRule="auto" w:before="129"/>
        <w:ind w:right="148" w:firstLine="359"/>
        <w:jc w:val="both"/>
      </w:pPr>
      <w:r>
        <w:rPr/>
        <w:t>公司于</w:t>
      </w:r>
      <w:r>
        <w:rPr>
          <w:rFonts w:ascii="Times New Roman" w:hAnsi="Times New Roman" w:cs="Times New Roman" w:eastAsia="Times New Roman" w:hint="default"/>
        </w:rPr>
        <w:t>2002</w:t>
      </w:r>
      <w:r>
        <w:rPr/>
        <w:t>年实施</w:t>
      </w:r>
      <w:r>
        <w:rPr>
          <w:rFonts w:ascii="Times New Roman" w:hAnsi="Times New Roman" w:cs="Times New Roman" w:eastAsia="Times New Roman" w:hint="default"/>
        </w:rPr>
        <w:t>2001</w:t>
      </w:r>
      <w:r>
        <w:rPr/>
        <w:t>年度分配方案，以</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4.5</w:t>
      </w:r>
      <w:r>
        <w:rPr/>
        <w:t>股，共计派发股票股 利</w:t>
      </w:r>
      <w:r>
        <w:rPr>
          <w:rFonts w:ascii="Times New Roman" w:hAnsi="Times New Roman" w:cs="Times New Roman" w:eastAsia="Times New Roman" w:hint="default"/>
        </w:rPr>
        <w:t>10,960,326.00</w:t>
      </w:r>
      <w:r>
        <w:rPr/>
        <w:t>元，变更后总股本</w:t>
      </w:r>
      <w:r>
        <w:rPr>
          <w:rFonts w:ascii="Times New Roman" w:hAnsi="Times New Roman" w:cs="Times New Roman" w:eastAsia="Times New Roman" w:hint="default"/>
        </w:rPr>
        <w:t>35,316,606</w:t>
      </w:r>
      <w:r>
        <w:rPr/>
        <w:t>股。</w:t>
      </w:r>
    </w:p>
    <w:p>
      <w:pPr>
        <w:pStyle w:val="BodyText"/>
        <w:spacing w:line="300" w:lineRule="auto" w:before="133"/>
        <w:ind w:right="151" w:firstLine="360"/>
        <w:jc w:val="both"/>
      </w:pPr>
      <w:r>
        <w:rPr>
          <w:spacing w:val="-1"/>
        </w:rPr>
        <w:t>公司于</w:t>
      </w:r>
      <w:r>
        <w:rPr>
          <w:rFonts w:ascii="Times New Roman" w:hAnsi="Times New Roman" w:cs="Times New Roman" w:eastAsia="Times New Roman" w:hint="default"/>
          <w:spacing w:val="-1"/>
        </w:rPr>
        <w:t>2003</w:t>
      </w:r>
      <w:r>
        <w:rPr>
          <w:spacing w:val="-1"/>
        </w:rPr>
        <w:t>年实施</w:t>
      </w:r>
      <w:r>
        <w:rPr>
          <w:rFonts w:ascii="Times New Roman" w:hAnsi="Times New Roman" w:cs="Times New Roman" w:eastAsia="Times New Roman" w:hint="default"/>
          <w:spacing w:val="-1"/>
        </w:rPr>
        <w:t>2002</w:t>
      </w:r>
      <w:r>
        <w:rPr>
          <w:spacing w:val="-1"/>
        </w:rPr>
        <w:t>年度分配方案，以</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日累计未分配利润向全体股东每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1.44</w:t>
      </w:r>
      <w:r>
        <w:rPr>
          <w:spacing w:val="-1"/>
        </w:rPr>
        <w:t>股，共计派发股票股</w:t>
      </w:r>
      <w:r>
        <w:rPr/>
        <w:t> 利</w:t>
      </w:r>
      <w:r>
        <w:rPr>
          <w:rFonts w:ascii="Times New Roman" w:hAnsi="Times New Roman" w:cs="Times New Roman" w:eastAsia="Times New Roman" w:hint="default"/>
        </w:rPr>
        <w:t>5,085,581.00</w:t>
      </w:r>
      <w:r>
        <w:rPr/>
        <w:t>元，变更后总股本</w:t>
      </w:r>
      <w:r>
        <w:rPr>
          <w:rFonts w:ascii="Times New Roman" w:hAnsi="Times New Roman" w:cs="Times New Roman" w:eastAsia="Times New Roman" w:hint="default"/>
        </w:rPr>
        <w:t>40,402,187</w:t>
      </w:r>
      <w:r>
        <w:rPr/>
        <w:t>股。</w:t>
      </w:r>
    </w:p>
    <w:p>
      <w:pPr>
        <w:pStyle w:val="BodyText"/>
        <w:spacing w:line="304" w:lineRule="auto" w:before="133"/>
        <w:ind w:left="153" w:right="148" w:firstLine="360"/>
        <w:jc w:val="both"/>
      </w:pP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9</w:t>
      </w:r>
      <w:r>
        <w:rPr>
          <w:spacing w:val="-1"/>
        </w:rPr>
        <w:t>月，成都西通开发公司、西南通信研究所根据中国电子科技集团公司电科财</w:t>
      </w:r>
      <w:r>
        <w:rPr>
          <w:rFonts w:ascii="Times New Roman" w:hAnsi="Times New Roman" w:cs="Times New Roman" w:eastAsia="Times New Roman" w:hint="default"/>
          <w:spacing w:val="-1"/>
        </w:rPr>
        <w:t>(2003)093</w:t>
      </w:r>
      <w:r>
        <w:rPr>
          <w:spacing w:val="-1"/>
        </w:rPr>
        <w:t>号文《关于同意中国电子</w:t>
      </w:r>
      <w:r>
        <w:rPr/>
        <w:t> </w:t>
      </w:r>
      <w:r>
        <w:rPr>
          <w:spacing w:val="-2"/>
        </w:rPr>
        <w:t>科技集团公司第三十研究所全资公司进行资本结构调整的批复》，分别与中国电子科技集团公司第三十研究所签订《股权划</w:t>
      </w:r>
      <w:r>
        <w:rPr>
          <w:spacing w:val="-66"/>
        </w:rPr>
        <w:t> </w:t>
      </w:r>
      <w:r>
        <w:rPr>
          <w:spacing w:val="-66"/>
        </w:rPr>
      </w:r>
      <w:r>
        <w:rPr/>
        <w:t>转协议》，将持有的本公司</w:t>
      </w:r>
      <w:r>
        <w:rPr>
          <w:rFonts w:ascii="Times New Roman" w:hAnsi="Times New Roman" w:cs="Times New Roman" w:eastAsia="Times New Roman" w:hint="default"/>
        </w:rPr>
        <w:t>841,011</w:t>
      </w:r>
      <w:r>
        <w:rPr/>
        <w:t>股、</w:t>
      </w:r>
      <w:r>
        <w:rPr>
          <w:rFonts w:ascii="Times New Roman" w:hAnsi="Times New Roman" w:cs="Times New Roman" w:eastAsia="Times New Roman" w:hint="default"/>
        </w:rPr>
        <w:t>2,018,427</w:t>
      </w:r>
      <w:r>
        <w:rPr/>
        <w:t>股的股权无偿划转归中国电子科技集团公司第三十研究所持有，划转后，</w:t>
      </w:r>
      <w:r>
        <w:rPr>
          <w:spacing w:val="-48"/>
        </w:rPr>
        <w:t> </w:t>
      </w:r>
      <w:r>
        <w:rPr>
          <w:spacing w:val="-48"/>
        </w:rPr>
      </w:r>
      <w:r>
        <w:rPr/>
        <w:t>公司的股权结构为中电集团三十研究所持股</w:t>
      </w:r>
      <w:r>
        <w:rPr>
          <w:rFonts w:ascii="Times New Roman" w:hAnsi="Times New Roman" w:cs="Times New Roman" w:eastAsia="Times New Roman" w:hint="default"/>
        </w:rPr>
        <w:t>50.04%</w:t>
      </w:r>
      <w:r>
        <w:rPr/>
        <w:t>，成都新兴创业投资有限责任公司持股</w:t>
      </w:r>
      <w:r>
        <w:rPr>
          <w:rFonts w:ascii="Times New Roman" w:hAnsi="Times New Roman" w:cs="Times New Roman" w:eastAsia="Times New Roman" w:hint="default"/>
        </w:rPr>
        <w:t>35.31%</w:t>
      </w:r>
      <w:r>
        <w:rPr/>
        <w:t>，成都三实立科技实业有</w:t>
      </w:r>
      <w:r>
        <w:rPr>
          <w:spacing w:val="-36"/>
        </w:rPr>
        <w:t> </w:t>
      </w:r>
      <w:r>
        <w:rPr>
          <w:spacing w:val="-36"/>
        </w:rPr>
      </w:r>
      <w:r>
        <w:rPr/>
        <w:t>限公司持股</w:t>
      </w:r>
      <w:r>
        <w:rPr>
          <w:rFonts w:ascii="Times New Roman" w:hAnsi="Times New Roman" w:cs="Times New Roman" w:eastAsia="Times New Roman" w:hint="default"/>
        </w:rPr>
        <w:t>4.93%</w:t>
      </w:r>
      <w:r>
        <w:rPr/>
        <w:t>，</w:t>
      </w:r>
      <w:r>
        <w:rPr>
          <w:rFonts w:ascii="Times New Roman" w:hAnsi="Times New Roman" w:cs="Times New Roman" w:eastAsia="Times New Roman" w:hint="default"/>
        </w:rPr>
        <w:t>16</w:t>
      </w:r>
      <w:r>
        <w:rPr/>
        <w:t>名自然人股东持股</w:t>
      </w:r>
      <w:r>
        <w:rPr>
          <w:rFonts w:ascii="Times New Roman" w:hAnsi="Times New Roman" w:cs="Times New Roman" w:eastAsia="Times New Roman" w:hint="default"/>
        </w:rPr>
        <w:t>9.72%</w:t>
      </w:r>
      <w:r>
        <w:rPr/>
        <w:t>。</w:t>
      </w:r>
    </w:p>
    <w:p>
      <w:pPr>
        <w:pStyle w:val="BodyText"/>
        <w:spacing w:line="240" w:lineRule="auto" w:before="129"/>
        <w:ind w:left="513" w:right="0"/>
        <w:jc w:val="left"/>
      </w:pPr>
      <w:r>
        <w:rPr>
          <w:rFonts w:ascii="Times New Roman" w:hAnsi="Times New Roman" w:cs="Times New Roman" w:eastAsia="Times New Roman" w:hint="default"/>
          <w:spacing w:val="6"/>
        </w:rPr>
        <w:t>2004</w:t>
      </w:r>
      <w:r>
        <w:rPr>
          <w:spacing w:val="6"/>
        </w:rPr>
        <w:t>年实施</w:t>
      </w:r>
      <w:r>
        <w:rPr>
          <w:rFonts w:ascii="Times New Roman" w:hAnsi="Times New Roman" w:cs="Times New Roman" w:eastAsia="Times New Roman" w:hint="default"/>
          <w:spacing w:val="6"/>
        </w:rPr>
        <w:t>2003</w:t>
      </w:r>
      <w:r>
        <w:rPr>
          <w:spacing w:val="6"/>
        </w:rPr>
        <w:t>年度分配方案，用</w:t>
      </w:r>
      <w:r>
        <w:rPr>
          <w:rFonts w:ascii="Times New Roman" w:hAnsi="Times New Roman" w:cs="Times New Roman" w:eastAsia="Times New Roman" w:hint="default"/>
          <w:spacing w:val="6"/>
        </w:rPr>
        <w:t>2003</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日累计未分配利润向全体股东每</w:t>
      </w:r>
      <w:r>
        <w:rPr>
          <w:rFonts w:ascii="Times New Roman" w:hAnsi="Times New Roman" w:cs="Times New Roman" w:eastAsia="Times New Roman" w:hint="default"/>
          <w:spacing w:val="6"/>
        </w:rPr>
        <w:t>10</w:t>
      </w:r>
      <w:r>
        <w:rPr>
          <w:spacing w:val="6"/>
        </w:rPr>
        <w:t>股送</w:t>
      </w:r>
      <w:r>
        <w:rPr>
          <w:rFonts w:ascii="Times New Roman" w:hAnsi="Times New Roman" w:cs="Times New Roman" w:eastAsia="Times New Roman" w:hint="default"/>
          <w:spacing w:val="6"/>
        </w:rPr>
        <w:t>2.4</w:t>
      </w:r>
      <w:r>
        <w:rPr>
          <w:spacing w:val="6"/>
        </w:rPr>
        <w:t>股，共计派发股票股利</w:t>
      </w:r>
    </w:p>
    <w:p>
      <w:pPr>
        <w:pStyle w:val="BodyText"/>
        <w:spacing w:line="240" w:lineRule="auto" w:before="63"/>
        <w:ind w:left="153" w:right="0"/>
        <w:jc w:val="left"/>
      </w:pPr>
      <w:r>
        <w:rPr>
          <w:rFonts w:ascii="Times New Roman" w:hAnsi="Times New Roman" w:cs="Times New Roman" w:eastAsia="Times New Roman" w:hint="default"/>
        </w:rPr>
        <w:t>9,696,518.00</w:t>
      </w:r>
      <w:r>
        <w:rPr/>
        <w:t>元，变更后总股本</w:t>
      </w:r>
      <w:r>
        <w:rPr>
          <w:rFonts w:ascii="Times New Roman" w:hAnsi="Times New Roman" w:cs="Times New Roman" w:eastAsia="Times New Roman" w:hint="default"/>
        </w:rPr>
        <w:t>50,098,705</w:t>
      </w:r>
      <w:r>
        <w:rPr/>
        <w:t>股。</w:t>
      </w:r>
    </w:p>
    <w:p>
      <w:pPr>
        <w:spacing w:line="240" w:lineRule="auto" w:before="13"/>
        <w:rPr>
          <w:rFonts w:ascii="宋体" w:hAnsi="宋体" w:cs="宋体" w:eastAsia="宋体" w:hint="default"/>
          <w:sz w:val="13"/>
          <w:szCs w:val="13"/>
        </w:rPr>
      </w:pPr>
    </w:p>
    <w:p>
      <w:pPr>
        <w:pStyle w:val="BodyText"/>
        <w:spacing w:line="300" w:lineRule="auto"/>
        <w:ind w:left="153" w:right="147" w:firstLine="360"/>
        <w:jc w:val="both"/>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2007</w:t>
      </w:r>
      <w:r>
        <w:rPr/>
        <w:t>年第三次临时股东大会决议和中国证券监督管理委员会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[2008]926</w:t>
      </w:r>
      <w:r>
        <w:rPr/>
        <w:t>号</w:t>
      </w:r>
      <w:r>
        <w:rPr>
          <w:rFonts w:ascii="Times New Roman" w:hAnsi="Times New Roman" w:cs="Times New Roman" w:eastAsia="Times New Roman" w:hint="default"/>
        </w:rPr>
        <w:t>”</w:t>
      </w:r>
      <w:r>
        <w:rPr/>
        <w:t>文 核准，公司于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日首次公开发行</w:t>
      </w:r>
      <w:r>
        <w:rPr>
          <w:rFonts w:ascii="Times New Roman" w:hAnsi="Times New Roman" w:cs="Times New Roman" w:eastAsia="Times New Roman" w:hint="default"/>
        </w:rPr>
        <w:t>17,000,000</w:t>
      </w:r>
      <w:r>
        <w:rPr/>
        <w:t>股人民币普通股（</w:t>
      </w:r>
      <w:r>
        <w:rPr>
          <w:rFonts w:ascii="Times New Roman" w:hAnsi="Times New Roman" w:cs="Times New Roman" w:eastAsia="Times New Roman" w:hint="default"/>
        </w:rPr>
        <w:t>A</w:t>
      </w:r>
      <w:r>
        <w:rPr/>
        <w:t>股），发行价格为</w:t>
      </w:r>
      <w:r>
        <w:rPr>
          <w:rFonts w:ascii="Times New Roman" w:hAnsi="Times New Roman" w:cs="Times New Roman" w:eastAsia="Times New Roman" w:hint="default"/>
        </w:rPr>
        <w:t>12.12</w:t>
      </w:r>
      <w:r>
        <w:rPr/>
        <w:t>元</w:t>
      </w:r>
      <w:r>
        <w:rPr>
          <w:rFonts w:ascii="Times New Roman" w:hAnsi="Times New Roman" w:cs="Times New Roman" w:eastAsia="Times New Roman" w:hint="default"/>
        </w:rPr>
        <w:t>/</w:t>
      </w:r>
      <w:r>
        <w:rPr/>
        <w:t>股。公司申请增加股本</w:t>
      </w:r>
      <w:r>
        <w:rPr>
          <w:spacing w:val="-50"/>
        </w:rPr>
        <w:t> </w:t>
      </w:r>
      <w:r>
        <w:rPr>
          <w:spacing w:val="-50"/>
        </w:rPr>
      </w:r>
      <w:r>
        <w:rPr>
          <w:rFonts w:ascii="Times New Roman" w:hAnsi="Times New Roman" w:cs="Times New Roman" w:eastAsia="Times New Roman" w:hint="default"/>
        </w:rPr>
        <w:t>17,000,000</w:t>
      </w:r>
      <w:r>
        <w:rPr/>
        <w:t>股，变更后公司总股本增至</w:t>
      </w:r>
      <w:r>
        <w:rPr>
          <w:rFonts w:ascii="Times New Roman" w:hAnsi="Times New Roman" w:cs="Times New Roman" w:eastAsia="Times New Roman" w:hint="default"/>
        </w:rPr>
        <w:t>67,098,705</w:t>
      </w:r>
      <w:r>
        <w:rPr/>
        <w:t>股。</w:t>
      </w:r>
    </w:p>
    <w:p>
      <w:pPr>
        <w:pStyle w:val="BodyText"/>
        <w:spacing w:line="300" w:lineRule="auto" w:before="133"/>
        <w:ind w:right="149" w:firstLine="360"/>
        <w:jc w:val="both"/>
      </w:pPr>
      <w:r>
        <w:rPr>
          <w:rFonts w:ascii="Times New Roman" w:hAnsi="Times New Roman" w:cs="Times New Roman" w:eastAsia="Times New Roman" w:hint="default"/>
        </w:rPr>
        <w:t>2009</w:t>
      </w:r>
      <w:r>
        <w:rPr/>
        <w:t>年公司实施了</w:t>
      </w:r>
      <w:r>
        <w:rPr>
          <w:rFonts w:ascii="Times New Roman" w:hAnsi="Times New Roman" w:cs="Times New Roman" w:eastAsia="Times New Roman" w:hint="default"/>
        </w:rPr>
        <w:t>2008</w:t>
      </w:r>
      <w:r>
        <w:rPr/>
        <w:t>年年度利润分配方案，以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67,098,705</w:t>
      </w:r>
      <w:r>
        <w:rPr/>
        <w:t>股为基数，以资本公积金向全体股东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股，变更后公司总股本增至</w:t>
      </w:r>
      <w:r>
        <w:rPr>
          <w:rFonts w:ascii="Times New Roman" w:hAnsi="Times New Roman" w:cs="Times New Roman" w:eastAsia="Times New Roman" w:hint="default"/>
        </w:rPr>
        <w:t>80,518,446</w:t>
      </w:r>
      <w:r>
        <w:rPr/>
        <w:t>股。</w:t>
      </w:r>
    </w:p>
    <w:p>
      <w:pPr>
        <w:pStyle w:val="BodyText"/>
        <w:spacing w:line="300" w:lineRule="auto" w:before="133"/>
        <w:ind w:right="151" w:firstLine="360"/>
        <w:jc w:val="both"/>
      </w:pPr>
      <w:r>
        <w:rPr>
          <w:rFonts w:ascii="Times New Roman" w:hAnsi="Times New Roman" w:cs="Times New Roman" w:eastAsia="Times New Roman" w:hint="default"/>
        </w:rPr>
        <w:t>2010</w:t>
      </w:r>
      <w:r>
        <w:rPr/>
        <w:t>年公司实施了</w:t>
      </w:r>
      <w:r>
        <w:rPr>
          <w:rFonts w:ascii="Times New Roman" w:hAnsi="Times New Roman" w:cs="Times New Roman" w:eastAsia="Times New Roman" w:hint="default"/>
        </w:rPr>
        <w:t>2009</w:t>
      </w:r>
      <w:r>
        <w:rPr/>
        <w:t>年年度利润分配方案，以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80,518,446</w:t>
      </w:r>
      <w:r>
        <w:rPr/>
        <w:t>股为基数，以资本公积金和未分配利 润向全体股东每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6.5</w:t>
      </w:r>
      <w:r>
        <w:rPr/>
        <w:t>股，变更后公司总股本增至</w:t>
      </w:r>
      <w:r>
        <w:rPr>
          <w:rFonts w:ascii="Times New Roman" w:hAnsi="Times New Roman" w:cs="Times New Roman" w:eastAsia="Times New Roman" w:hint="default"/>
        </w:rPr>
        <w:t>132,855,435</w:t>
      </w:r>
      <w:r>
        <w:rPr/>
        <w:t>股。</w:t>
      </w:r>
    </w:p>
    <w:p>
      <w:pPr>
        <w:pStyle w:val="BodyText"/>
        <w:spacing w:line="300" w:lineRule="auto" w:before="133"/>
        <w:ind w:right="151" w:firstLine="360"/>
        <w:jc w:val="both"/>
      </w:pPr>
      <w:r>
        <w:rPr>
          <w:rFonts w:ascii="Times New Roman" w:hAnsi="Times New Roman" w:cs="Times New Roman" w:eastAsia="Times New Roman" w:hint="default"/>
          <w:spacing w:val="-2"/>
        </w:rPr>
        <w:t>2011</w:t>
      </w:r>
      <w:r>
        <w:rPr>
          <w:spacing w:val="-2"/>
        </w:rPr>
        <w:t>年公司实施了</w:t>
      </w:r>
      <w:r>
        <w:rPr>
          <w:rFonts w:ascii="Times New Roman" w:hAnsi="Times New Roman" w:cs="Times New Roman" w:eastAsia="Times New Roman" w:hint="default"/>
          <w:spacing w:val="-2"/>
        </w:rPr>
        <w:t>2010</w:t>
      </w:r>
      <w:r>
        <w:rPr>
          <w:spacing w:val="-2"/>
        </w:rPr>
        <w:t>年年度利润分配方案，以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132,855,435</w:t>
      </w:r>
      <w:r>
        <w:rPr>
          <w:spacing w:val="-2"/>
        </w:rPr>
        <w:t>股为基数，以资本公积金向全体股东</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股，变更后公司总股本增至</w:t>
      </w:r>
      <w:r>
        <w:rPr>
          <w:rFonts w:ascii="Times New Roman" w:hAnsi="Times New Roman" w:cs="Times New Roman" w:eastAsia="Times New Roman" w:hint="default"/>
        </w:rPr>
        <w:t>172,712,065</w:t>
      </w:r>
      <w:r>
        <w:rPr/>
        <w:t>股。</w:t>
      </w:r>
    </w:p>
    <w:p>
      <w:pPr>
        <w:pStyle w:val="BodyText"/>
        <w:spacing w:line="240" w:lineRule="auto" w:before="133"/>
        <w:ind w:left="514" w:right="0"/>
        <w:jc w:val="left"/>
      </w:pPr>
      <w:r>
        <w:rPr/>
        <w:t>上述变更已在成都市工商局办理变更登记。</w:t>
      </w:r>
    </w:p>
    <w:p>
      <w:pPr>
        <w:spacing w:line="240" w:lineRule="auto" w:before="0"/>
        <w:rPr>
          <w:rFonts w:ascii="宋体" w:hAnsi="宋体" w:cs="宋体" w:eastAsia="宋体" w:hint="default"/>
          <w:sz w:val="15"/>
          <w:szCs w:val="15"/>
        </w:rPr>
      </w:pPr>
    </w:p>
    <w:p>
      <w:pPr>
        <w:spacing w:line="439" w:lineRule="auto" w:before="0"/>
        <w:ind w:left="514" w:right="590" w:firstLine="1"/>
        <w:jc w:val="left"/>
        <w:rPr>
          <w:rFonts w:ascii="宋体" w:hAnsi="宋体" w:cs="宋体" w:eastAsia="宋体" w:hint="default"/>
          <w:sz w:val="18"/>
          <w:szCs w:val="18"/>
        </w:rPr>
      </w:pPr>
      <w:r>
        <w:rPr>
          <w:rFonts w:ascii="宋体" w:hAnsi="宋体" w:cs="宋体" w:eastAsia="宋体" w:hint="default"/>
          <w:b/>
          <w:bCs/>
          <w:sz w:val="18"/>
          <w:szCs w:val="18"/>
        </w:rPr>
        <w:t>（二）公司注册地址、组织形式、总部地址</w:t>
      </w:r>
      <w:r>
        <w:rPr>
          <w:rFonts w:ascii="宋体" w:hAnsi="宋体" w:cs="宋体" w:eastAsia="宋体" w:hint="default"/>
          <w:b/>
          <w:bCs/>
          <w:w w:val="99"/>
          <w:sz w:val="18"/>
          <w:szCs w:val="18"/>
        </w:rPr>
        <w:t> </w:t>
      </w:r>
      <w:r>
        <w:rPr>
          <w:rFonts w:ascii="宋体" w:hAnsi="宋体" w:cs="宋体" w:eastAsia="宋体" w:hint="default"/>
          <w:sz w:val="18"/>
          <w:szCs w:val="18"/>
        </w:rPr>
        <w:t>本公司注册地址为成都高新区云华路</w:t>
      </w:r>
      <w:r>
        <w:rPr>
          <w:rFonts w:ascii="Times New Roman" w:hAnsi="Times New Roman" w:cs="Times New Roman" w:eastAsia="Times New Roman" w:hint="default"/>
          <w:sz w:val="18"/>
          <w:szCs w:val="18"/>
        </w:rPr>
        <w:t>333</w:t>
      </w:r>
      <w:r>
        <w:rPr>
          <w:rFonts w:ascii="宋体" w:hAnsi="宋体" w:cs="宋体" w:eastAsia="宋体" w:hint="default"/>
          <w:sz w:val="18"/>
          <w:szCs w:val="18"/>
        </w:rPr>
        <w:t>号；组织形式为股份有限公司；总部地址位于成都高新区云华路</w:t>
      </w:r>
      <w:r>
        <w:rPr>
          <w:rFonts w:ascii="Times New Roman" w:hAnsi="Times New Roman" w:cs="Times New Roman" w:eastAsia="Times New Roman" w:hint="default"/>
          <w:sz w:val="18"/>
          <w:szCs w:val="18"/>
        </w:rPr>
        <w:t>333</w:t>
      </w:r>
      <w:r>
        <w:rPr>
          <w:rFonts w:ascii="宋体" w:hAnsi="宋体" w:cs="宋体" w:eastAsia="宋体" w:hint="default"/>
          <w:sz w:val="18"/>
          <w:szCs w:val="18"/>
        </w:rPr>
        <w:t>号。</w:t>
      </w:r>
    </w:p>
    <w:p>
      <w:pPr>
        <w:pStyle w:val="Heading5"/>
        <w:spacing w:line="240" w:lineRule="auto" w:before="17"/>
        <w:ind w:left="515" w:right="0"/>
        <w:jc w:val="left"/>
        <w:rPr>
          <w:b w:val="0"/>
          <w:bCs w:val="0"/>
        </w:rPr>
      </w:pPr>
      <w:r>
        <w:rPr/>
        <w:t>（三）公司的业务性质、经营范围、主要产品及其变更和营业收入构成</w:t>
      </w:r>
      <w:r>
        <w:rPr>
          <w:b w:val="0"/>
          <w:bCs w:val="0"/>
        </w:rPr>
      </w:r>
    </w:p>
    <w:p>
      <w:pPr>
        <w:pStyle w:val="BodyText"/>
        <w:spacing w:line="420" w:lineRule="atLeast" w:before="25"/>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．业务性质</w:t>
      </w:r>
      <w:r>
        <w:rPr>
          <w:rFonts w:ascii="宋体" w:hAnsi="宋体" w:cs="宋体" w:eastAsia="宋体" w:hint="default"/>
          <w:b/>
          <w:bCs/>
          <w:spacing w:val="1"/>
          <w:w w:val="99"/>
        </w:rPr>
        <w:t> </w:t>
      </w:r>
      <w:r>
        <w:rPr>
          <w:spacing w:val="-2"/>
        </w:rPr>
        <w:t>本公司所处的行业为信息安全行业。信息安全是信息产业的重要分支，也是国家信息化建设和网络社会正常秩序的重要</w:t>
      </w:r>
    </w:p>
    <w:p>
      <w:pPr>
        <w:pStyle w:val="BodyText"/>
        <w:spacing w:line="240" w:lineRule="auto" w:before="76"/>
        <w:ind w:right="0"/>
        <w:jc w:val="left"/>
      </w:pPr>
      <w:r>
        <w:rPr/>
        <w:t>保障。信息安全行业按照产品性质分类，可以分为安全硬件、安全软件和安全服务。</w:t>
      </w:r>
    </w:p>
    <w:p>
      <w:pPr>
        <w:spacing w:line="240" w:lineRule="auto" w:before="0"/>
        <w:rPr>
          <w:rFonts w:ascii="宋体" w:hAnsi="宋体" w:cs="宋体" w:eastAsia="宋体" w:hint="default"/>
          <w:sz w:val="15"/>
          <w:szCs w:val="15"/>
        </w:rPr>
      </w:pPr>
    </w:p>
    <w:p>
      <w:pPr>
        <w:pStyle w:val="Heading5"/>
        <w:spacing w:line="240" w:lineRule="auto"/>
        <w:ind w:left="515" w:right="0"/>
        <w:jc w:val="left"/>
        <w:rPr>
          <w:b w:val="0"/>
          <w:bCs w:val="0"/>
        </w:rPr>
      </w:pPr>
      <w:r>
        <w:rPr>
          <w:rFonts w:ascii="Times New Roman" w:hAnsi="Times New Roman" w:cs="Times New Roman" w:eastAsia="Times New Roman" w:hint="default"/>
        </w:rPr>
        <w:t>2</w:t>
      </w:r>
      <w:r>
        <w:rPr/>
        <w:t>．主要提供的产品和服务包括：</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4" w:right="0"/>
        <w:jc w:val="left"/>
      </w:pPr>
      <w:r>
        <w:rPr/>
        <w:t>（</w:t>
      </w:r>
      <w:r>
        <w:rPr>
          <w:rFonts w:ascii="Times New Roman" w:hAnsi="Times New Roman" w:cs="Times New Roman" w:eastAsia="Times New Roman" w:hint="default"/>
        </w:rPr>
        <w:t>1</w:t>
      </w:r>
      <w:r>
        <w:rPr/>
        <w:t>）信息安全产品系列</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7" w:lineRule="auto" w:before="44"/>
        <w:ind w:left="153" w:right="187" w:firstLine="360"/>
        <w:jc w:val="both"/>
      </w:pPr>
      <w:r>
        <w:rPr>
          <w:spacing w:val="-2"/>
        </w:rPr>
        <w:t>信息安全产品系列主要包括信息安全设备、信息安全系统和信息安全模块三类。信息安全设备包括金融数据加密机，电</w:t>
      </w:r>
      <w:r>
        <w:rPr/>
        <w:t> 话、传真密码机，高速信道密码机，</w:t>
      </w:r>
      <w:r>
        <w:rPr>
          <w:rFonts w:ascii="Times New Roman" w:hAnsi="Times New Roman" w:cs="Times New Roman" w:eastAsia="Times New Roman" w:hint="default"/>
        </w:rPr>
        <w:t>IP</w:t>
      </w:r>
      <w:r>
        <w:rPr/>
        <w:t>密码机，</w:t>
      </w:r>
      <w:r>
        <w:rPr>
          <w:rFonts w:ascii="Times New Roman" w:hAnsi="Times New Roman" w:cs="Times New Roman" w:eastAsia="Times New Roman" w:hint="default"/>
        </w:rPr>
        <w:t>VPN</w:t>
      </w:r>
      <w:r>
        <w:rPr/>
        <w:t>（</w:t>
      </w:r>
      <w:r>
        <w:rPr>
          <w:rFonts w:ascii="Times New Roman" w:hAnsi="Times New Roman" w:cs="Times New Roman" w:eastAsia="Times New Roman" w:hint="default"/>
        </w:rPr>
        <w:t>VirtualPrivateNetwork</w:t>
      </w:r>
      <w:r>
        <w:rPr/>
        <w:t>）系统，中华卫士防火墙等产品；信息安全系</w:t>
      </w:r>
      <w:r>
        <w:rPr>
          <w:spacing w:val="-27"/>
        </w:rPr>
        <w:t> </w:t>
      </w:r>
      <w:r>
        <w:rPr>
          <w:spacing w:val="-27"/>
        </w:rPr>
      </w:r>
      <w:r>
        <w:rPr/>
        <w:t>统包括</w:t>
      </w:r>
      <w:r>
        <w:rPr>
          <w:rFonts w:ascii="Times New Roman" w:hAnsi="Times New Roman" w:cs="Times New Roman" w:eastAsia="Times New Roman" w:hint="default"/>
        </w:rPr>
        <w:t>“</w:t>
      </w:r>
      <w:r>
        <w:rPr/>
        <w:t>一</w:t>
      </w:r>
      <w:r>
        <w:rPr>
          <w:rFonts w:ascii="Times New Roman" w:hAnsi="Times New Roman" w:cs="Times New Roman" w:eastAsia="Times New Roman" w:hint="default"/>
        </w:rPr>
        <w:t>Key</w:t>
      </w:r>
      <w:r>
        <w:rPr/>
        <w:t>通</w:t>
      </w:r>
      <w:r>
        <w:rPr>
          <w:rFonts w:ascii="Times New Roman" w:hAnsi="Times New Roman" w:cs="Times New Roman" w:eastAsia="Times New Roman" w:hint="default"/>
        </w:rPr>
        <w:t>”</w:t>
      </w:r>
      <w:r>
        <w:rPr/>
        <w:t>局域网综合安全保护系统，身份认证及访问控制系统，证书及密钥管理系统等产品；信息安全模块包括数 据密码卡，数据密码机和安全</w:t>
      </w:r>
      <w:r>
        <w:rPr>
          <w:rFonts w:ascii="Times New Roman" w:hAnsi="Times New Roman" w:cs="Times New Roman" w:eastAsia="Times New Roman" w:hint="default"/>
        </w:rPr>
        <w:t>PC</w:t>
      </w:r>
      <w:r>
        <w:rPr/>
        <w:t>卡等产品。</w:t>
      </w:r>
    </w:p>
    <w:p>
      <w:pPr>
        <w:pStyle w:val="BodyText"/>
        <w:spacing w:line="240" w:lineRule="auto" w:before="127"/>
        <w:ind w:left="514" w:right="90"/>
        <w:jc w:val="left"/>
      </w:pPr>
      <w:r>
        <w:rPr/>
        <w:t>（</w:t>
      </w:r>
      <w:r>
        <w:rPr>
          <w:rFonts w:ascii="Times New Roman" w:hAnsi="Times New Roman" w:cs="Times New Roman" w:eastAsia="Times New Roman" w:hint="default"/>
        </w:rPr>
        <w:t>2</w:t>
      </w:r>
      <w:r>
        <w:rPr/>
        <w:t>）安全信息系统产品系列</w:t>
      </w:r>
    </w:p>
    <w:p>
      <w:pPr>
        <w:spacing w:line="240" w:lineRule="auto" w:before="13"/>
        <w:rPr>
          <w:rFonts w:ascii="宋体" w:hAnsi="宋体" w:cs="宋体" w:eastAsia="宋体" w:hint="default"/>
          <w:sz w:val="13"/>
          <w:szCs w:val="13"/>
        </w:rPr>
      </w:pPr>
    </w:p>
    <w:p>
      <w:pPr>
        <w:pStyle w:val="BodyText"/>
        <w:spacing w:line="300" w:lineRule="auto"/>
        <w:ind w:right="90" w:firstLine="360"/>
        <w:jc w:val="left"/>
      </w:pPr>
      <w:r>
        <w:rPr>
          <w:spacing w:val="-2"/>
        </w:rPr>
        <w:t>安全信息系统产品主要包括新一代安全电子公文系统，保密文件传输系统，</w:t>
      </w:r>
      <w:r>
        <w:rPr>
          <w:rFonts w:ascii="Times New Roman" w:hAnsi="Times New Roman" w:cs="Times New Roman" w:eastAsia="Times New Roman" w:hint="default"/>
          <w:spacing w:val="-2"/>
        </w:rPr>
        <w:t>“</w:t>
      </w:r>
      <w:r>
        <w:rPr>
          <w:spacing w:val="-2"/>
        </w:rPr>
        <w:t>县乡通</w:t>
      </w:r>
      <w:r>
        <w:rPr>
          <w:rFonts w:ascii="Times New Roman" w:hAnsi="Times New Roman" w:cs="Times New Roman" w:eastAsia="Times New Roman" w:hint="default"/>
          <w:spacing w:val="-2"/>
        </w:rPr>
        <w:t>”</w:t>
      </w:r>
      <w:r>
        <w:rPr>
          <w:spacing w:val="-2"/>
        </w:rPr>
        <w:t>安全电子邮件系统和安全信息交换</w:t>
      </w:r>
      <w:r>
        <w:rPr/>
        <w:t> 系统等。</w:t>
      </w:r>
    </w:p>
    <w:p>
      <w:pPr>
        <w:pStyle w:val="BodyText"/>
        <w:spacing w:line="415" w:lineRule="auto" w:before="151"/>
        <w:ind w:left="514" w:right="1740"/>
        <w:jc w:val="left"/>
      </w:pPr>
      <w:r>
        <w:rPr/>
        <w:t>（</w:t>
      </w:r>
      <w:r>
        <w:rPr>
          <w:rFonts w:ascii="Times New Roman" w:hAnsi="Times New Roman" w:cs="Times New Roman" w:eastAsia="Times New Roman" w:hint="default"/>
        </w:rPr>
        <w:t>3</w:t>
      </w:r>
      <w:r>
        <w:rPr/>
        <w:t>）信息终端产品 本公司目前生产的信息终端产品包括税控收款机，金融税控收款机和税控</w:t>
      </w:r>
      <w:r>
        <w:rPr>
          <w:rFonts w:ascii="Times New Roman" w:hAnsi="Times New Roman" w:cs="Times New Roman" w:eastAsia="Times New Roman" w:hint="default"/>
        </w:rPr>
        <w:t>POS</w:t>
      </w:r>
      <w:r>
        <w:rPr/>
        <w:t>收款机等系列产品。</w:t>
      </w:r>
    </w:p>
    <w:p>
      <w:pPr>
        <w:pStyle w:val="BodyText"/>
        <w:spacing w:line="240" w:lineRule="auto" w:before="37"/>
        <w:ind w:left="514" w:right="90"/>
        <w:jc w:val="left"/>
      </w:pPr>
      <w:r>
        <w:rPr/>
        <w:t>（</w:t>
      </w:r>
      <w:r>
        <w:rPr>
          <w:rFonts w:ascii="Times New Roman" w:hAnsi="Times New Roman" w:cs="Times New Roman" w:eastAsia="Times New Roman" w:hint="default"/>
        </w:rPr>
        <w:t>4</w:t>
      </w:r>
      <w:r>
        <w:rPr/>
        <w:t>）技术服务</w:t>
      </w:r>
    </w:p>
    <w:p>
      <w:pPr>
        <w:spacing w:line="240" w:lineRule="auto" w:before="13"/>
        <w:rPr>
          <w:rFonts w:ascii="宋体" w:hAnsi="宋体" w:cs="宋体" w:eastAsia="宋体" w:hint="default"/>
          <w:sz w:val="13"/>
          <w:szCs w:val="13"/>
        </w:rPr>
      </w:pPr>
    </w:p>
    <w:p>
      <w:pPr>
        <w:pStyle w:val="BodyText"/>
        <w:spacing w:line="316" w:lineRule="auto"/>
        <w:ind w:right="90" w:firstLine="360"/>
        <w:jc w:val="left"/>
      </w:pPr>
      <w:r>
        <w:rPr>
          <w:spacing w:val="-2"/>
        </w:rPr>
        <w:t>本公司依托雄厚的技术支持和强大的营销网络为各层次用户提供全生命周期安全支持与服务，包括：项目规划、工程建</w:t>
      </w:r>
      <w:r>
        <w:rPr/>
        <w:t> 设、解决方案、培训和后续保障。</w:t>
      </w:r>
    </w:p>
    <w:p>
      <w:pPr>
        <w:pStyle w:val="BodyText"/>
        <w:spacing w:line="415" w:lineRule="auto" w:before="139"/>
        <w:ind w:left="514" w:right="90" w:firstLine="1"/>
        <w:jc w:val="left"/>
      </w:pPr>
      <w:r>
        <w:rPr>
          <w:rFonts w:ascii="Times New Roman" w:hAnsi="Times New Roman" w:cs="Times New Roman" w:eastAsia="Times New Roman" w:hint="default"/>
          <w:b/>
          <w:bCs/>
        </w:rPr>
        <w:t>3</w:t>
      </w:r>
      <w:r>
        <w:rPr>
          <w:rFonts w:ascii="宋体" w:hAnsi="宋体" w:cs="宋体" w:eastAsia="宋体" w:hint="default"/>
          <w:b/>
          <w:bCs/>
        </w:rPr>
        <w:t>．经营范围</w:t>
      </w:r>
      <w:r>
        <w:rPr>
          <w:rFonts w:ascii="宋体" w:hAnsi="宋体" w:cs="宋体" w:eastAsia="宋体" w:hint="default"/>
          <w:b/>
          <w:bCs/>
          <w:spacing w:val="1"/>
          <w:w w:val="99"/>
        </w:rPr>
        <w:t> </w:t>
      </w:r>
      <w:r>
        <w:rPr>
          <w:spacing w:val="-2"/>
        </w:rPr>
        <w:t>本公司营业范围包括通信保密与信息安全、信息网络与多媒体终端及系统产品的开发、生产、销售、工程建设（涉及前</w:t>
      </w:r>
    </w:p>
    <w:p>
      <w:pPr>
        <w:pStyle w:val="BodyText"/>
        <w:spacing w:line="194" w:lineRule="exact"/>
        <w:ind w:right="0"/>
        <w:jc w:val="both"/>
      </w:pPr>
      <w:r>
        <w:rPr/>
        <w:t>置审批的批准后方可经营）；税控收款机系列产品、金融及贸易结算电子设备、</w:t>
      </w:r>
      <w:r>
        <w:rPr>
          <w:rFonts w:ascii="Times New Roman" w:hAnsi="Times New Roman" w:cs="Times New Roman" w:eastAsia="Times New Roman" w:hint="default"/>
        </w:rPr>
        <w:t>IC</w:t>
      </w:r>
      <w:r>
        <w:rPr/>
        <w:t>卡机具设备、微型计算机系统产品及相关</w:t>
      </w:r>
    </w:p>
    <w:p>
      <w:pPr>
        <w:pStyle w:val="BodyText"/>
        <w:spacing w:line="316" w:lineRule="auto" w:before="63"/>
        <w:ind w:right="191"/>
        <w:jc w:val="both"/>
      </w:pPr>
      <w:r>
        <w:rPr>
          <w:spacing w:val="-2"/>
        </w:rPr>
        <w:t>软件等电子信息技术产品的研制、生产、组装、销售、工程集成和技术服务；无线通信系统（不含无线电发射设备）、图像</w:t>
      </w:r>
      <w:r>
        <w:rPr>
          <w:spacing w:val="-68"/>
        </w:rPr>
        <w:t> </w:t>
      </w:r>
      <w:r>
        <w:rPr>
          <w:spacing w:val="-68"/>
        </w:rPr>
      </w:r>
      <w:r>
        <w:rPr>
          <w:spacing w:val="-2"/>
        </w:rPr>
        <w:t>设备、电子设备、电子计算机及外围设备、耗材、电子元器件、专用芯片的研制、生产、销售、工程建设、系统集成及技术</w:t>
      </w:r>
      <w:r>
        <w:rPr>
          <w:spacing w:val="-69"/>
        </w:rPr>
        <w:t> </w:t>
      </w:r>
      <w:r>
        <w:rPr>
          <w:spacing w:val="-69"/>
        </w:rPr>
      </w:r>
      <w:r>
        <w:rPr/>
        <w:t>咨询与服务；自营和代理各类商品及技术的进出口业务，但国家限定公司经营或禁止进出口的商品及技术除外。</w:t>
      </w:r>
    </w:p>
    <w:p>
      <w:pPr>
        <w:spacing w:line="432" w:lineRule="exact" w:before="3"/>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（四）母公司以及最终实质控制人名称</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公司的第一大股东为中国电子科技集团公司第三十研究所（以下简称三十所），最终实质控制人为中国电子科技集团公</w:t>
      </w:r>
    </w:p>
    <w:p>
      <w:pPr>
        <w:pStyle w:val="BodyText"/>
        <w:spacing w:line="240" w:lineRule="auto" w:before="15"/>
        <w:ind w:right="0"/>
        <w:jc w:val="both"/>
      </w:pPr>
      <w:r>
        <w:rPr/>
        <w:t>司。</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290"/>
        <w:jc w:val="left"/>
      </w:pPr>
      <w:r>
        <w:rPr>
          <w:spacing w:val="-1"/>
        </w:rPr>
        <w:t>本公司以持续经营为前提，根据实际发生的交易和事项，按照企业会计准则的规定进行确认和计量，并在此基础上编制</w:t>
      </w:r>
      <w:r>
        <w:rPr/>
        <w:t> 财务报表。</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290"/>
        <w:jc w:val="left"/>
      </w:pPr>
      <w:r>
        <w:rPr>
          <w:spacing w:val="-1"/>
        </w:rPr>
        <w:t>本公司编制的财务报表符合企业会计准则的要求，真实、完整地反映了企业的财务状况、经营成果和现金流量等有关信</w:t>
      </w:r>
      <w:r>
        <w:rPr/>
        <w:t> 息。</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6" w:firstLine="290"/>
        <w:jc w:val="left"/>
      </w:pPr>
      <w:r>
        <w:rPr>
          <w:spacing w:val="-2"/>
        </w:rPr>
        <w:t>本公司会计期间分为年度和中期。中期包括半年度、季度和月度。年度、半年度、季度、月度起止日期按公历日期确定。</w:t>
      </w:r>
      <w:r>
        <w:rPr/>
        <w:t> 公司会计年度为每年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90"/>
        <w:jc w:val="left"/>
      </w:pPr>
      <w:r>
        <w:rPr/>
        <w:t>本公司以人民币为记账本位币。</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参与合并的企业在合并前后均受同一方或相同的多方最终控制且该控制并非暂时性的，为同一控制下的企业合并。通常</w:t>
      </w:r>
      <w:r>
        <w:rPr/>
        <w:t> </w:t>
      </w:r>
      <w:r>
        <w:rPr>
          <w:spacing w:val="-2"/>
        </w:rPr>
        <w:t>情况下，同一控制下的企业合并是指发生在同一企业集团内部企业之间的合并，除此之外，一般不作为同一控制下的企业合</w:t>
      </w:r>
      <w:r>
        <w:rPr>
          <w:spacing w:val="-66"/>
        </w:rPr>
        <w:t> </w:t>
      </w:r>
      <w:r>
        <w:rPr>
          <w:spacing w:val="-66"/>
        </w:rPr>
      </w:r>
      <w:r>
        <w:rPr/>
        <w:t>并。</w:t>
      </w:r>
    </w:p>
    <w:p>
      <w:pPr>
        <w:pStyle w:val="BodyText"/>
        <w:spacing w:line="316" w:lineRule="auto" w:before="139"/>
        <w:ind w:right="189" w:firstLine="360"/>
        <w:jc w:val="both"/>
      </w:pPr>
      <w:r>
        <w:rPr>
          <w:spacing w:val="-2"/>
        </w:rPr>
        <w:t>本公司作为合并方在企业合并中取得的资产、负债，按照合并日在被合并方的账面价值计量。同一控制下的控股合并形</w:t>
      </w:r>
      <w:r>
        <w:rPr/>
        <w:t> </w:t>
      </w:r>
      <w:r>
        <w:rPr>
          <w:spacing w:val="-2"/>
        </w:rPr>
        <w:t>成的长期股权投资，本公司以合并日应享有被合并方账面所有者权益的份额作为形成长期股权投资的初始投资成本，相关会</w:t>
      </w:r>
      <w:r>
        <w:rPr>
          <w:spacing w:val="-64"/>
        </w:rPr>
        <w:t> </w:t>
      </w:r>
      <w:r>
        <w:rPr>
          <w:spacing w:val="-64"/>
        </w:rPr>
      </w:r>
      <w:r>
        <w:rPr>
          <w:spacing w:val="-2"/>
        </w:rPr>
        <w:t>计处理见长期股权投资；同一控制下的吸收合并取得的资产、负债，本公司按照相关资产、负债在被合并方的原账面价值入</w:t>
      </w:r>
      <w:r>
        <w:rPr>
          <w:spacing w:val="-66"/>
        </w:rPr>
        <w:t> </w:t>
      </w:r>
      <w:r>
        <w:rPr>
          <w:spacing w:val="-66"/>
        </w:rPr>
      </w:r>
      <w:r>
        <w:rPr>
          <w:spacing w:val="-2"/>
        </w:rPr>
        <w:t>账。本公司取得的净资产账面价值与支付的合并对价账面价值（或发行股份面值总额）的差额，调整资本公积；资本公积不</w:t>
      </w:r>
      <w:r>
        <w:rPr>
          <w:spacing w:val="-66"/>
        </w:rPr>
        <w:t> </w:t>
      </w:r>
      <w:r>
        <w:rPr>
          <w:spacing w:val="-66"/>
        </w:rPr>
      </w:r>
      <w:r>
        <w:rPr/>
        <w:t>足冲减的，调整留存收益。</w:t>
      </w:r>
    </w:p>
    <w:p>
      <w:pPr>
        <w:pStyle w:val="BodyText"/>
        <w:spacing w:line="316" w:lineRule="auto" w:before="139"/>
        <w:ind w:left="153" w:right="189" w:firstLine="360"/>
        <w:jc w:val="both"/>
      </w:pPr>
      <w:r>
        <w:rPr>
          <w:spacing w:val="-2"/>
        </w:rPr>
        <w:t>本公司作为合并方为进行企业合并发生的各项直接相关费用，包括支付的审计费用、评估费用、法律服务费等，于发生</w:t>
      </w:r>
      <w:r>
        <w:rPr/>
        <w:t> 时计入当期损益。</w:t>
      </w:r>
    </w:p>
    <w:p>
      <w:pPr>
        <w:pStyle w:val="BodyText"/>
        <w:spacing w:line="316" w:lineRule="auto" w:before="139"/>
        <w:ind w:left="153" w:right="191" w:firstLine="360"/>
        <w:jc w:val="both"/>
      </w:pPr>
      <w:r>
        <w:rPr>
          <w:spacing w:val="-2"/>
        </w:rPr>
        <w:t>为企业合并发行的债券或承担其他债务支付的手续费、佣金等，计入所发行债券及其他债务的初始计量金额。企业合并</w:t>
      </w:r>
      <w:r>
        <w:rPr/>
        <w:t> 中发行权益性证券发生的手续费、佣金等费用，抵减权益性证券溢价收入，溢价收入不足冲减的，冲减留存收益。</w:t>
      </w:r>
    </w:p>
    <w:p>
      <w:pPr>
        <w:pStyle w:val="BodyText"/>
        <w:spacing w:line="316" w:lineRule="auto" w:before="139"/>
        <w:ind w:left="153" w:right="191" w:firstLine="360"/>
        <w:jc w:val="both"/>
      </w:pPr>
      <w:r>
        <w:rPr>
          <w:spacing w:val="-2"/>
        </w:rPr>
        <w:t>同一控制下的控股合并形成母子关系的，母公司在合并日编制合并财务报表，包括合并资产负债表、合并利润表和合并</w:t>
      </w:r>
      <w:r>
        <w:rPr/>
        <w:t> 现金流量表。</w:t>
      </w:r>
    </w:p>
    <w:p>
      <w:pPr>
        <w:pStyle w:val="BodyText"/>
        <w:spacing w:line="312" w:lineRule="auto" w:before="139"/>
        <w:ind w:left="153" w:right="191" w:firstLine="360"/>
        <w:jc w:val="both"/>
      </w:pPr>
      <w:r>
        <w:rPr>
          <w:spacing w:val="-2"/>
        </w:rPr>
        <w:t>合并资产负债表，以被合并方有关资产、负债的账面价值并入合并财务报表，合并方与被合并方在合并日及以前期间发</w:t>
      </w:r>
      <w:r>
        <w:rPr/>
        <w:t> </w:t>
      </w:r>
      <w:r>
        <w:rPr>
          <w:spacing w:val="-2"/>
        </w:rPr>
        <w:t>生的交易，作为内部交易，按照</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w:t>
      </w:r>
      <w:r>
        <w:rPr>
          <w:spacing w:val="-2"/>
        </w:rPr>
        <w:t>有关原则进行抵销；合并利润表和现金流量表，包含合并方及被合并方自合</w:t>
      </w:r>
      <w:r>
        <w:rPr>
          <w:spacing w:val="-44"/>
        </w:rPr>
        <w:t> </w:t>
      </w:r>
      <w:r>
        <w:rPr>
          <w:spacing w:val="-44"/>
        </w:rPr>
      </w:r>
      <w:r>
        <w:rPr>
          <w:spacing w:val="-2"/>
        </w:rPr>
        <w:t>并当期期初至合并日实现的净利润和产生的现金流量，涉及双方在当期发生的交易及内部交易产生的净利润及现金流量，按</w:t>
      </w:r>
      <w:r>
        <w:rPr>
          <w:spacing w:val="-64"/>
        </w:rPr>
        <w:t> </w:t>
      </w:r>
      <w:r>
        <w:rPr>
          <w:spacing w:val="-64"/>
        </w:rPr>
      </w:r>
      <w:r>
        <w:rPr/>
        <w:t>照合并财务报表的有关原则进行抵销。</w:t>
      </w:r>
    </w:p>
    <w:p>
      <w:pPr>
        <w:spacing w:line="240" w:lineRule="auto" w:before="10"/>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pStyle w:val="BodyText"/>
        <w:spacing w:line="430" w:lineRule="atLeast" w:before="152"/>
        <w:ind w:left="513" w:right="90"/>
        <w:jc w:val="left"/>
      </w:pPr>
      <w:r>
        <w:rPr/>
        <w:t>参与合并的各方在合并前后不受同一方或相同的多方最终控制的，为非同一控制下的企业合并。 </w:t>
      </w:r>
      <w:r>
        <w:rPr>
          <w:spacing w:val="-2"/>
        </w:rPr>
        <w:t>确定企业合并成本：企业合并成本包括购买方为进行企业合并支付的现金或非现金资产、发行或承担的债务、发行的权</w:t>
      </w:r>
    </w:p>
    <w:p>
      <w:pPr>
        <w:pStyle w:val="BodyText"/>
        <w:spacing w:line="316" w:lineRule="auto" w:before="76"/>
        <w:ind w:left="153" w:right="90"/>
        <w:jc w:val="left"/>
      </w:pPr>
      <w:r>
        <w:rPr>
          <w:spacing w:val="-2"/>
        </w:rPr>
        <w:t>益性证券等在购买日的公允价值。企业合并中发生的各项直接相关费用计入当期损益。通过多次交换交易分步实现的企业合</w:t>
      </w:r>
      <w:r>
        <w:rPr>
          <w:spacing w:val="-64"/>
        </w:rPr>
        <w:t> </w:t>
      </w:r>
      <w:r>
        <w:rPr>
          <w:spacing w:val="-64"/>
        </w:rPr>
      </w:r>
      <w:r>
        <w:rPr>
          <w:spacing w:val="-2"/>
        </w:rPr>
        <w:t>并，区分个别财务报表和合并财务报表进行相关会计处理：在个别财务报表中，以购买日之前所持被购买方的股权投资的账</w:t>
      </w:r>
      <w:r>
        <w:rPr>
          <w:spacing w:val="-66"/>
        </w:rPr>
        <w:t> </w:t>
      </w:r>
      <w:r>
        <w:rPr>
          <w:spacing w:val="-66"/>
        </w:rPr>
      </w:r>
      <w:r>
        <w:rPr>
          <w:spacing w:val="-4"/>
        </w:rPr>
        <w:t>面价值与购买日新增投资成本之和，作为该项投资的合并成本；在合并财务报表中，对于购买日之前持有的被购买方的股权，</w:t>
      </w:r>
      <w:r>
        <w:rPr>
          <w:spacing w:val="-44"/>
        </w:rPr>
        <w:t> </w:t>
      </w:r>
      <w:r>
        <w:rPr>
          <w:spacing w:val="-44"/>
        </w:rPr>
      </w:r>
      <w:r>
        <w:rPr>
          <w:spacing w:val="-2"/>
        </w:rPr>
        <w:t>按照该股权在购买日的公允价值进行重新计量，公允价值与其账面价值的差额计入当期投资收益；购买日之前持有的被购买</w:t>
      </w:r>
      <w:r>
        <w:rPr>
          <w:spacing w:val="-64"/>
        </w:rPr>
        <w:t> </w:t>
      </w:r>
      <w:r>
        <w:rPr>
          <w:spacing w:val="-64"/>
        </w:rPr>
      </w:r>
      <w:r>
        <w:rPr>
          <w:spacing w:val="-2"/>
        </w:rPr>
        <w:t>方的股权涉及其他综合收益的，与其相关的其他综合收益转为购买日所属当期投资收益。购买日之前所持被购买方的股权在</w:t>
      </w:r>
      <w:r>
        <w:rPr>
          <w:spacing w:val="-64"/>
        </w:rPr>
        <w:t> </w:t>
      </w:r>
      <w:r>
        <w:rPr>
          <w:spacing w:val="-64"/>
        </w:rPr>
      </w:r>
      <w:r>
        <w:rPr/>
        <w:t>购买日的公允价值与购买日新增投资成本之和，作为该项投资的合并成本。</w:t>
      </w:r>
    </w:p>
    <w:p>
      <w:pPr>
        <w:pStyle w:val="BodyText"/>
        <w:spacing w:line="316" w:lineRule="auto" w:before="139"/>
        <w:ind w:left="153" w:right="189" w:firstLine="360"/>
        <w:jc w:val="both"/>
      </w:pPr>
      <w:r>
        <w:rPr>
          <w:spacing w:val="-2"/>
        </w:rPr>
        <w:t>非同一控制下的控股合并取得的长期股权投资，本公司以购买日确定的企业合并成本（不包括应自被投资单位收取的现</w:t>
      </w:r>
      <w:r>
        <w:rPr/>
        <w:t> </w:t>
      </w:r>
      <w:r>
        <w:rPr>
          <w:spacing w:val="-2"/>
        </w:rPr>
        <w:t>金股利和利润），作为对被购买方长期股权投资的初始投资成本；非同一控制下的吸收合并取得的符合确认条件的各项可辨</w:t>
      </w:r>
      <w:r>
        <w:rPr>
          <w:spacing w:val="-66"/>
        </w:rPr>
        <w:t> </w:t>
      </w:r>
      <w:r>
        <w:rPr>
          <w:spacing w:val="-66"/>
        </w:rPr>
      </w:r>
      <w:r>
        <w:rPr>
          <w:spacing w:val="-2"/>
        </w:rPr>
        <w:t>认资产、负债，本公司在购买日按照公允价值确认为本企业的资产和负债。本公司以非货币资产为对价取得被购买方的控制</w:t>
      </w:r>
      <w:r>
        <w:rPr>
          <w:spacing w:val="-66"/>
        </w:rPr>
        <w:t> </w:t>
      </w:r>
      <w:r>
        <w:rPr>
          <w:spacing w:val="-66"/>
        </w:rPr>
      </w:r>
      <w:r>
        <w:rPr>
          <w:spacing w:val="-2"/>
        </w:rPr>
        <w:t>权或各项可辨认资产、负债的，有关非货币资产在购买日的公允价值与其账面价值的差额，作为资产的处置损益，计入合并</w:t>
      </w:r>
      <w:r>
        <w:rPr>
          <w:spacing w:val="-66"/>
        </w:rPr>
        <w:t> </w:t>
      </w:r>
      <w:r>
        <w:rPr>
          <w:spacing w:val="-66"/>
        </w:rPr>
      </w:r>
      <w:r>
        <w:rPr/>
        <w:t>当期的利润表。</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spacing w:val="-2"/>
        </w:rPr>
        <w:t>非同一控制下的企业合并中，企业合并成本大于合并中取得的被购买方可辨认净资产公允价值份额的差额，确认为商誉；在</w:t>
      </w:r>
      <w:r>
        <w:rPr>
          <w:spacing w:val="-66"/>
        </w:rPr>
        <w:t> </w:t>
      </w:r>
      <w:r>
        <w:rPr>
          <w:spacing w:val="-66"/>
        </w:rPr>
      </w:r>
      <w:r>
        <w:rPr/>
        <w:t>吸收合并情况下，该差额在母公司个别财务报表中确认为商誉；在控股合并情况下，该差额在合并财务报表中列示为商誉。 </w:t>
      </w:r>
      <w:r>
        <w:rPr>
          <w:spacing w:val="-2"/>
        </w:rPr>
        <w:t>企业合并成本小于合并中取得的被购买方可辨认净资产公允价值份额的差额，本公司计入合并当期损益（营业外收入）。在</w:t>
      </w:r>
      <w:r>
        <w:rPr>
          <w:spacing w:val="-66"/>
        </w:rPr>
        <w:t> </w:t>
      </w:r>
      <w:r>
        <w:rPr>
          <w:spacing w:val="-66"/>
        </w:rPr>
      </w:r>
      <w:r>
        <w:rPr/>
        <w:t>吸收合并情况下，该差额计入合并当期母公司个别利润表；在控股合并情况下，该差额计入合并当期的合并利润表。</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0" w:firstLine="360"/>
        <w:jc w:val="left"/>
      </w:pPr>
      <w:r>
        <w:rPr>
          <w:spacing w:val="-2"/>
        </w:rPr>
        <w:t>按照《企业会计准则第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合并财务报表》的有关要求执行，即以合并期间本公司及纳入合并范围的各控股子公司</w:t>
      </w:r>
      <w:r>
        <w:rPr/>
        <w:t> </w:t>
      </w:r>
      <w:r>
        <w:rPr>
          <w:spacing w:val="-4"/>
        </w:rPr>
        <w:t>的个别财务报表为基础，根据其他有关资料，按照权益法调整对子公司的长期股权投资后，由母公司进行编制。合并时将母、</w:t>
      </w:r>
      <w:r>
        <w:rPr>
          <w:spacing w:val="-46"/>
        </w:rPr>
        <w:t> </w:t>
      </w:r>
      <w:r>
        <w:rPr>
          <w:spacing w:val="-46"/>
        </w:rPr>
      </w:r>
      <w:r>
        <w:rPr/>
        <w:t>子公司之间的投资、重大交易和往来及未实现利润相抵销，逐项合并，并计算少数所有者权益（损益）。</w:t>
      </w:r>
    </w:p>
    <w:p>
      <w:pPr>
        <w:pStyle w:val="BodyText"/>
        <w:spacing w:line="432" w:lineRule="exact" w:before="9"/>
        <w:ind w:left="513" w:right="90"/>
        <w:jc w:val="left"/>
      </w:pPr>
      <w:r>
        <w:rPr/>
        <w:t>合并时，如纳入合并范围的子公司与本公司会计政策不一致，按本公司执行的会计政策对其进行调整后合并。 子公司的股东权益中不属于母公司所拥有的部分作为少数股东权益在合并财务报表中股东权益项下单独列示。 </w:t>
      </w:r>
      <w:r>
        <w:rPr>
          <w:spacing w:val="-2"/>
        </w:rPr>
        <w:t>本公司通过同一控制下的企业合并增加的子公司，自合并当期期初纳入本公司合并财务报表，并调整合并财务报表的年</w:t>
      </w:r>
    </w:p>
    <w:p>
      <w:pPr>
        <w:pStyle w:val="BodyText"/>
        <w:spacing w:line="316" w:lineRule="auto" w:before="15"/>
        <w:ind w:left="153" w:right="90"/>
        <w:jc w:val="left"/>
      </w:pPr>
      <w:r>
        <w:rPr>
          <w:spacing w:val="-2"/>
        </w:rPr>
        <w:t>初数或上年数；通过非同一控制下企业合并增加的子公司，自购买日起纳入本公司合并财务报表。本公司报告期转让控制权</w:t>
      </w:r>
      <w:r>
        <w:rPr>
          <w:spacing w:val="-66"/>
        </w:rPr>
        <w:t> </w:t>
      </w:r>
      <w:r>
        <w:rPr>
          <w:spacing w:val="-66"/>
        </w:rPr>
      </w:r>
      <w:r>
        <w:rPr/>
        <w:t>的子公司，自丧失实际控制权之日起不再纳入合并范围。</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90"/>
        <w:jc w:val="left"/>
      </w:pPr>
      <w:r>
        <w:rPr/>
        <w:t>本公司无对同一子公司股权在连续两个会计年度买入再卖出，或卖出再买入情况。</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290"/>
        <w:jc w:val="left"/>
      </w:pPr>
      <w:r>
        <w:rPr>
          <w:spacing w:val="-1"/>
        </w:rPr>
        <w:t>现金，是指企业库存现金以及可以随时用于支付的存款。现金等价物，是指企业持有的同时具备期限短（一般指从购入</w:t>
      </w:r>
      <w:r>
        <w:rPr/>
        <w:t> 日起不超过</w:t>
      </w:r>
      <w:r>
        <w:rPr>
          <w:rFonts w:ascii="Times New Roman" w:hAnsi="Times New Roman" w:cs="Times New Roman" w:eastAsia="Times New Roman" w:hint="default"/>
        </w:rPr>
        <w:t>3</w:t>
      </w:r>
      <w:r>
        <w:rPr/>
        <w:t>个月内到期）、流动性强、易于转换为已知金额现金、价值变动风险很小的投资。</w:t>
      </w:r>
    </w:p>
    <w:p>
      <w:pPr>
        <w:spacing w:line="240" w:lineRule="auto" w:before="0"/>
        <w:rPr>
          <w:rFonts w:ascii="宋体" w:hAnsi="宋体" w:cs="宋体" w:eastAsia="宋体" w:hint="default"/>
          <w:sz w:val="21"/>
          <w:szCs w:val="21"/>
        </w:rPr>
      </w:pPr>
    </w:p>
    <w:p>
      <w:pPr>
        <w:pStyle w:val="Heading4"/>
        <w:spacing w:line="240" w:lineRule="auto"/>
        <w:ind w:right="9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430" w:lineRule="atLeast" w:before="152"/>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①发生外币交易时的折算方法</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本公司发生的外币交易在初始确认时，按交易日的即期汇率（通常指中国人民银行公布的当日外汇牌价的中间价，下同）</w:t>
      </w:r>
    </w:p>
    <w:p>
      <w:pPr>
        <w:pStyle w:val="BodyText"/>
        <w:spacing w:line="240" w:lineRule="auto" w:before="76"/>
        <w:ind w:right="90"/>
        <w:jc w:val="left"/>
      </w:pPr>
      <w:r>
        <w:rPr/>
        <w:t>折算为人民币金额。</w:t>
      </w:r>
    </w:p>
    <w:p>
      <w:pPr>
        <w:spacing w:line="430" w:lineRule="atLeast" w:before="2"/>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②在资产负债表日对外币货币性项目和外币非货币性项目的处理方法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外币货币性项目，采用资产负债表日即期汇率折算。因资产负债表日即期汇率与初始确认时或者前一资产负债表日即期</w:t>
      </w:r>
    </w:p>
    <w:p>
      <w:pPr>
        <w:pStyle w:val="BodyText"/>
        <w:spacing w:line="312" w:lineRule="auto" w:before="76"/>
        <w:ind w:right="189"/>
        <w:jc w:val="both"/>
      </w:pPr>
      <w:r>
        <w:rPr>
          <w:spacing w:val="-2"/>
        </w:rPr>
        <w:t>汇率不同而产生的汇兑差额，除了按照《企业会计准则第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借款费用》的规定，与购建或生产符合资本化条件的资产</w:t>
      </w:r>
      <w:r>
        <w:rPr>
          <w:spacing w:val="-64"/>
        </w:rPr>
        <w:t> </w:t>
      </w:r>
      <w:r>
        <w:rPr>
          <w:spacing w:val="-64"/>
        </w:rPr>
      </w:r>
      <w:r>
        <w:rPr>
          <w:spacing w:val="-2"/>
        </w:rPr>
        <w:t>相关的外币借款产生的汇兑差额予以资本化外，计入当期损益。以历史成本计量的外币非货币性项目，仍采用交易发生日的</w:t>
      </w:r>
      <w:r>
        <w:rPr>
          <w:spacing w:val="-66"/>
        </w:rPr>
        <w:t> </w:t>
      </w:r>
      <w:r>
        <w:rPr>
          <w:spacing w:val="-66"/>
        </w:rPr>
      </w:r>
      <w:r>
        <w:rPr>
          <w:spacing w:val="-2"/>
        </w:rPr>
        <w:t>即期汇率折算，不改变其记账本位币金额。以公允价值计量的股票、基金等外币非货币性项目，采用公允价值确定日的即期</w:t>
      </w:r>
      <w:r>
        <w:rPr>
          <w:spacing w:val="-66"/>
        </w:rPr>
        <w:t> </w:t>
      </w:r>
      <w:r>
        <w:rPr>
          <w:spacing w:val="-66"/>
        </w:rPr>
      </w:r>
      <w:r>
        <w:rPr/>
        <w:t>汇率折算，折算后记账本位币金额与原记账本位币金额的差额，作为公允价值变动（含汇率变动）处理，计入当期损益。</w:t>
      </w:r>
    </w:p>
    <w:p>
      <w:pPr>
        <w:spacing w:after="0" w:line="312"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pStyle w:val="BodyText"/>
        <w:spacing w:line="440" w:lineRule="atLeast" w:before="142"/>
        <w:ind w:left="513" w:right="90"/>
        <w:jc w:val="left"/>
      </w:pPr>
      <w:r>
        <w:rPr/>
        <w:t>本公司按照以下规定，将以外币表示的财务报表折算为人民币金额表示的财务报表。 </w:t>
      </w:r>
      <w:r>
        <w:rPr>
          <w:spacing w:val="-2"/>
        </w:rPr>
        <w:t>资产负债表中的资产和负债项目，采用资产负债表日的即期汇率折算；所有者权益类项目除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p>
    <w:p>
      <w:pPr>
        <w:pStyle w:val="BodyText"/>
        <w:spacing w:line="316" w:lineRule="auto" w:before="63"/>
        <w:ind w:left="153" w:right="190"/>
        <w:jc w:val="both"/>
      </w:pPr>
      <w:r>
        <w:rPr>
          <w:spacing w:val="-2"/>
        </w:rPr>
        <w:t>项目采用发生时的即期汇率折算。利润表中的收入和费用项目，采用交易发生日的即期汇率折算。按照上述方法折算产生的</w:t>
      </w:r>
      <w:r>
        <w:rPr>
          <w:spacing w:val="-66"/>
        </w:rPr>
        <w:t> </w:t>
      </w:r>
      <w:r>
        <w:rPr>
          <w:spacing w:val="-66"/>
        </w:rPr>
      </w:r>
      <w:r>
        <w:rPr>
          <w:spacing w:val="-2"/>
        </w:rPr>
        <w:t>外币财务报表折算差额，在资产负债表中所有者权益项目下单独列示。以外币表示的现金流量表采用现金流量发生日的即期</w:t>
      </w:r>
      <w:r>
        <w:rPr>
          <w:spacing w:val="-64"/>
        </w:rPr>
        <w:t> </w:t>
      </w:r>
      <w:r>
        <w:rPr>
          <w:spacing w:val="-64"/>
        </w:rPr>
      </w:r>
      <w:r>
        <w:rPr/>
        <w:t>汇率折算。汇率变动对现金的影响额作为调节项目，在现金流量表中单独列报。</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按照投资目的和经济实质将本公司拥有的金融资产划分为四类：①以公允价值计量且其变动计入当期损益的金融资产， 包括交易性金融资产和指定为以公允价值计量且其变动计入当期损益的金融资产；②持有至到期投资；③贷款和应收款项；</w:t>
      </w:r>
    </w:p>
    <w:p>
      <w:pPr>
        <w:pStyle w:val="BodyText"/>
        <w:spacing w:line="240" w:lineRule="auto" w:before="19"/>
        <w:ind w:right="0"/>
        <w:jc w:val="both"/>
      </w:pPr>
      <w:r>
        <w:rPr/>
        <w:t>④可供出售金融资产。</w:t>
      </w:r>
    </w:p>
    <w:p>
      <w:pPr>
        <w:spacing w:line="240" w:lineRule="auto" w:before="0"/>
        <w:rPr>
          <w:rFonts w:ascii="宋体" w:hAnsi="宋体" w:cs="宋体" w:eastAsia="宋体" w:hint="default"/>
          <w:sz w:val="15"/>
          <w:szCs w:val="15"/>
        </w:rPr>
      </w:pPr>
    </w:p>
    <w:p>
      <w:pPr>
        <w:pStyle w:val="BodyText"/>
        <w:spacing w:line="316" w:lineRule="auto"/>
        <w:ind w:left="153" w:right="90" w:firstLine="360"/>
        <w:jc w:val="left"/>
      </w:pPr>
      <w:r>
        <w:rPr>
          <w:spacing w:val="-2"/>
        </w:rPr>
        <w:t>按照经济实质将承担的金融负债划分为两类：①以公允价值计量且其变动计入当期损益的金融负债，包括交易性金融负</w:t>
      </w:r>
      <w:r>
        <w:rPr/>
        <w:t> 债和指定为以公允价值计量且其变动计入当期损益的金融负债；②其他金融负债。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金融工具是指形成一个企业的金融资产，并形成其他单位的金融负债或权益工具的合同。本公司于成为金融工具合同的</w:t>
      </w:r>
      <w:r>
        <w:rPr/>
        <w:t> 一方时确认一项金融资产或金融负债。</w:t>
      </w:r>
    </w:p>
    <w:p>
      <w:pPr>
        <w:pStyle w:val="BodyText"/>
        <w:spacing w:line="316" w:lineRule="auto" w:before="139"/>
        <w:ind w:left="153" w:right="90" w:firstLine="360"/>
        <w:jc w:val="left"/>
      </w:pPr>
      <w:r>
        <w:rPr>
          <w:spacing w:val="-2"/>
        </w:rPr>
        <w:t>金融资产满足下列条件之一的，终止确认：收取该金融资产现金流量的合同权利终止；该金融资产已转移，且符合《企</w:t>
      </w:r>
      <w:r>
        <w:rPr/>
        <w:t> 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金融资产转移》规定的终止确认条件。</w:t>
      </w:r>
    </w:p>
    <w:p>
      <w:pPr>
        <w:pStyle w:val="BodyText"/>
        <w:spacing w:line="240" w:lineRule="auto" w:before="119"/>
        <w:ind w:left="513" w:right="90"/>
        <w:jc w:val="left"/>
      </w:pPr>
      <w:r>
        <w:rPr/>
        <w:t>金融负债的现时义务全部或部分已经解除的，才终止确认该金融负债或其一部分。</w:t>
      </w:r>
    </w:p>
    <w:p>
      <w:pPr>
        <w:spacing w:line="240" w:lineRule="auto" w:before="0"/>
        <w:rPr>
          <w:rFonts w:ascii="宋体" w:hAnsi="宋体" w:cs="宋体" w:eastAsia="宋体" w:hint="default"/>
          <w:sz w:val="15"/>
          <w:szCs w:val="15"/>
        </w:rPr>
      </w:pPr>
    </w:p>
    <w:p>
      <w:pPr>
        <w:pStyle w:val="BodyText"/>
        <w:spacing w:line="316" w:lineRule="auto"/>
        <w:ind w:left="153" w:right="90" w:firstLine="360"/>
        <w:jc w:val="left"/>
      </w:pPr>
      <w:r>
        <w:rPr>
          <w:spacing w:val="-2"/>
        </w:rPr>
        <w:t>本公司初始确认金融资产或金融负债，按照公允价值计量。对于以公允价值计量且其变动计入当期损益的金融资产或金</w:t>
      </w:r>
      <w:r>
        <w:rPr/>
        <w:t> 融负债，相关交易费用直接计入当期损益；对于其他类别的金融资产或金融负债，相关交易费用计入初始确认金额。</w:t>
      </w:r>
    </w:p>
    <w:p>
      <w:pPr>
        <w:pStyle w:val="BodyText"/>
        <w:spacing w:line="240" w:lineRule="auto" w:before="139"/>
        <w:ind w:left="514" w:right="90"/>
        <w:jc w:val="left"/>
      </w:pPr>
      <w:r>
        <w:rPr/>
        <w:t>本公司对金融资产和金融负债的后续计量主要方法：</w:t>
      </w:r>
    </w:p>
    <w:p>
      <w:pPr>
        <w:spacing w:line="240" w:lineRule="auto" w:before="0"/>
        <w:rPr>
          <w:rFonts w:ascii="宋体" w:hAnsi="宋体" w:cs="宋体" w:eastAsia="宋体" w:hint="default"/>
          <w:sz w:val="15"/>
          <w:szCs w:val="15"/>
        </w:rPr>
      </w:pPr>
    </w:p>
    <w:p>
      <w:pPr>
        <w:pStyle w:val="BodyText"/>
        <w:spacing w:line="316" w:lineRule="auto"/>
        <w:ind w:right="90" w:firstLine="360"/>
        <w:jc w:val="left"/>
      </w:pPr>
      <w:r>
        <w:rPr>
          <w:spacing w:val="-2"/>
        </w:rPr>
        <w:t>①以公允价值计量且其变动计入当期损益的金融资产和金融负债，按照公允价值进行后续计量，公允价值变动计入当期</w:t>
      </w:r>
      <w:r>
        <w:rPr/>
        <w:t> 损益。</w:t>
      </w:r>
    </w:p>
    <w:p>
      <w:pPr>
        <w:pStyle w:val="BodyText"/>
        <w:spacing w:line="240" w:lineRule="auto" w:before="139"/>
        <w:ind w:left="514" w:right="90"/>
        <w:jc w:val="left"/>
      </w:pPr>
      <w:r>
        <w:rPr/>
        <w:t>②持有至到期投资和应收款项，采用实际利率法，按摊余成本计量。</w:t>
      </w:r>
    </w:p>
    <w:p>
      <w:pPr>
        <w:spacing w:line="240" w:lineRule="auto" w:before="0"/>
        <w:rPr>
          <w:rFonts w:ascii="宋体" w:hAnsi="宋体" w:cs="宋体" w:eastAsia="宋体" w:hint="default"/>
          <w:sz w:val="15"/>
          <w:szCs w:val="15"/>
        </w:rPr>
      </w:pPr>
    </w:p>
    <w:p>
      <w:pPr>
        <w:pStyle w:val="BodyText"/>
        <w:spacing w:line="316" w:lineRule="auto"/>
        <w:ind w:right="90" w:firstLine="360"/>
        <w:jc w:val="left"/>
      </w:pPr>
      <w:r>
        <w:rPr>
          <w:spacing w:val="-2"/>
        </w:rPr>
        <w:t>③可供出售金融资产按照公允价值进行后续计量，公允价值变动形成的利得或损失，除减值损失和外币货币性金融资产</w:t>
      </w:r>
      <w:r>
        <w:rPr/>
        <w:t> 形成的汇兑损益外，直接计入所有者权益，在该金融资产终止确认时转出，计入当期损益。</w:t>
      </w:r>
    </w:p>
    <w:p>
      <w:pPr>
        <w:pStyle w:val="BodyText"/>
        <w:spacing w:line="316" w:lineRule="auto" w:before="139"/>
        <w:ind w:right="90" w:firstLine="360"/>
        <w:jc w:val="left"/>
      </w:pPr>
      <w:r>
        <w:rPr>
          <w:spacing w:val="-2"/>
        </w:rPr>
        <w:t>④在活跃市场中没有报价且其公允价值不能可靠计量的权益工具投资，以及与该权益工具挂钩并须通过交付该权益工具</w:t>
      </w:r>
      <w:r>
        <w:rPr/>
        <w:t> 结算的衍生金融资产，按照成本计量。</w:t>
      </w:r>
    </w:p>
    <w:p>
      <w:pPr>
        <w:pStyle w:val="BodyText"/>
        <w:spacing w:line="240" w:lineRule="auto" w:before="139"/>
        <w:ind w:left="514" w:right="90"/>
        <w:jc w:val="left"/>
      </w:pPr>
      <w:r>
        <w:rPr/>
        <w:t>⑤其他金融负债按摊余成本进行后续计量。但是下列情况除外：</w:t>
      </w:r>
    </w:p>
    <w:p>
      <w:pPr>
        <w:spacing w:line="240" w:lineRule="auto" w:before="0"/>
        <w:rPr>
          <w:rFonts w:ascii="宋体" w:hAnsi="宋体" w:cs="宋体" w:eastAsia="宋体" w:hint="default"/>
          <w:sz w:val="15"/>
          <w:szCs w:val="15"/>
        </w:rPr>
      </w:pPr>
    </w:p>
    <w:p>
      <w:pPr>
        <w:pStyle w:val="BodyText"/>
        <w:spacing w:line="300" w:lineRule="auto"/>
        <w:ind w:right="90" w:firstLine="360"/>
        <w:jc w:val="left"/>
      </w:pPr>
      <w:r>
        <w:rPr>
          <w:rFonts w:ascii="Times New Roman" w:hAnsi="Times New Roman" w:cs="Times New Roman" w:eastAsia="Times New Roman" w:hint="default"/>
          <w:spacing w:val="-2"/>
        </w:rPr>
        <w:t>A.</w:t>
      </w:r>
      <w:r>
        <w:rPr>
          <w:spacing w:val="-2"/>
        </w:rPr>
        <w:t>与在活跃市场中没有报价，公允价值不能可靠计量的权益工具挂钩并须通过交付该权益工具结算的衍生金融负债，按</w:t>
      </w:r>
      <w:r>
        <w:rPr/>
        <w:t> 照成本计量。</w:t>
      </w:r>
    </w:p>
    <w:p>
      <w:pPr>
        <w:pStyle w:val="BodyText"/>
        <w:spacing w:line="240" w:lineRule="auto" w:before="151"/>
        <w:ind w:left="514" w:right="0"/>
        <w:jc w:val="left"/>
      </w:pPr>
      <w:r>
        <w:rPr>
          <w:rFonts w:ascii="Times New Roman" w:hAnsi="Times New Roman" w:cs="Times New Roman" w:eastAsia="Times New Roman" w:hint="default"/>
        </w:rPr>
        <w:t>B.</w:t>
      </w:r>
      <w:r>
        <w:rPr/>
        <w:t>不属于指定为以公允价值计量且其变动计入当期损益的金融负债的财务担保合同，或没有指定为以公允价值计量且其</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变动计入当期损益并将以低于市场利率贷款的贷款承诺，在初始确认后按照下列两项金额之中的较高者进行后续计量：</w:t>
      </w:r>
    </w:p>
    <w:p>
      <w:pPr>
        <w:spacing w:line="240" w:lineRule="auto" w:before="0"/>
        <w:rPr>
          <w:rFonts w:ascii="宋体" w:hAnsi="宋体" w:cs="宋体" w:eastAsia="宋体" w:hint="default"/>
          <w:sz w:val="15"/>
          <w:szCs w:val="15"/>
        </w:rPr>
      </w:pPr>
    </w:p>
    <w:p>
      <w:pPr>
        <w:pStyle w:val="BodyText"/>
        <w:spacing w:line="300" w:lineRule="auto"/>
        <w:ind w:left="804" w:right="1645" w:hanging="291"/>
        <w:jc w:val="left"/>
      </w:pPr>
      <w:r>
        <w:rPr>
          <w:rFonts w:ascii="Times New Roman" w:hAnsi="Times New Roman" w:cs="Times New Roman" w:eastAsia="Times New Roman" w:hint="default"/>
        </w:rPr>
        <w:t>a.</w:t>
      </w:r>
      <w:r>
        <w:rPr/>
        <w:t>《企业会计准则第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 </w:t>
      </w:r>
      <w:r>
        <w:rPr>
          <w:rFonts w:ascii="Times New Roman" w:hAnsi="Times New Roman" w:cs="Times New Roman" w:eastAsia="Times New Roman" w:hint="default"/>
        </w:rPr>
        <w:t>b.</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pStyle w:val="BodyText"/>
        <w:spacing w:line="430" w:lineRule="atLeast" w:before="152"/>
        <w:ind w:left="513" w:right="90"/>
        <w:jc w:val="left"/>
      </w:pPr>
      <w:r>
        <w:rPr/>
        <w:t>金融资产转移，是指公司将金融资产让与或交付给该金融资产发行方以外的另一方（转入方）。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before="76"/>
        <w:ind w:left="444" w:right="90" w:hanging="291"/>
        <w:jc w:val="left"/>
      </w:pPr>
      <w:r>
        <w:rPr/>
        <w:t>几乎所有的风险和报酬的，不终止确认该金融资产。 </w:t>
      </w:r>
      <w:r>
        <w:rPr>
          <w:spacing w:val="-1"/>
        </w:rPr>
        <w:t>本公司既没有转移也没有保留金融资产所有权上几乎所有的风险和报酬的，分别下列情况处理：放弃了对该金融资产控</w:t>
      </w:r>
    </w:p>
    <w:p>
      <w:pPr>
        <w:pStyle w:val="BodyText"/>
        <w:spacing w:line="316" w:lineRule="auto" w:before="19"/>
        <w:ind w:left="153" w:right="90"/>
        <w:jc w:val="left"/>
      </w:pP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金融负债的现时义务全部或部分已经解除的，才终止确认该金融负债或其一部分。</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①存在活跃市场的金融资产或金融负债，以活跃市场中的报价确定公允价值。报价按照以下原则确定：</w:t>
      </w:r>
    </w:p>
    <w:p>
      <w:pPr>
        <w:spacing w:line="240" w:lineRule="auto" w:before="0"/>
        <w:rPr>
          <w:rFonts w:ascii="宋体" w:hAnsi="宋体" w:cs="宋体" w:eastAsia="宋体" w:hint="default"/>
          <w:sz w:val="15"/>
          <w:szCs w:val="15"/>
        </w:rPr>
      </w:pPr>
    </w:p>
    <w:p>
      <w:pPr>
        <w:pStyle w:val="BodyText"/>
        <w:spacing w:line="300" w:lineRule="auto"/>
        <w:ind w:left="153" w:right="90" w:firstLine="360"/>
        <w:jc w:val="left"/>
      </w:pPr>
      <w:r>
        <w:rPr>
          <w:rFonts w:ascii="Times New Roman" w:hAnsi="Times New Roman" w:cs="Times New Roman" w:eastAsia="Times New Roman" w:hint="default"/>
          <w:spacing w:val="-2"/>
        </w:rPr>
        <w:t>A.</w:t>
      </w:r>
      <w:r>
        <w:rPr>
          <w:spacing w:val="-2"/>
        </w:rPr>
        <w:t>在活跃市场上，公司已持有的金融资产或拟承担的金融负债的报价，为市场中的现行出价；拟购入的金融资产或已承</w:t>
      </w:r>
      <w:r>
        <w:rPr/>
        <w:t> 担的金融负债的报价，为市场中的现行要价。</w:t>
      </w:r>
    </w:p>
    <w:p>
      <w:pPr>
        <w:pStyle w:val="BodyText"/>
        <w:spacing w:line="300" w:lineRule="auto" w:before="151"/>
        <w:ind w:left="153" w:right="90" w:firstLine="360"/>
        <w:jc w:val="left"/>
      </w:pPr>
      <w:r>
        <w:rPr>
          <w:rFonts w:ascii="Times New Roman" w:hAnsi="Times New Roman" w:cs="Times New Roman" w:eastAsia="Times New Roman" w:hint="default"/>
          <w:spacing w:val="-2"/>
        </w:rPr>
        <w:t>B.</w:t>
      </w:r>
      <w:r>
        <w:rPr>
          <w:spacing w:val="-2"/>
        </w:rPr>
        <w:t>金融资产和金融负债没有现行出价或要价，采用最近交易的市场报价或经调整的最近交易的市场报价，除非存在明确</w:t>
      </w:r>
      <w:r>
        <w:rPr/>
        <w:t> 的证据表明该市场报价不是公允价值。</w:t>
      </w:r>
    </w:p>
    <w:p>
      <w:pPr>
        <w:pStyle w:val="BodyText"/>
        <w:spacing w:line="240" w:lineRule="auto" w:before="151"/>
        <w:ind w:left="513" w:right="90"/>
        <w:jc w:val="left"/>
      </w:pPr>
      <w:r>
        <w:rPr/>
        <w:t>②金融资产或金融负债不存在活跃市场的，公司采用估值技术确定其公允价值。</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pStyle w:val="BodyText"/>
        <w:spacing w:line="430" w:lineRule="atLeast" w:before="152"/>
        <w:ind w:left="513" w:right="90"/>
        <w:jc w:val="left"/>
      </w:pPr>
      <w:r>
        <w:rPr/>
        <w:t>①持有至到期投资 </w:t>
      </w:r>
      <w:r>
        <w:rPr>
          <w:spacing w:val="-2"/>
        </w:rPr>
        <w:t>以摊余成本计量的持有至到期投资发生减值时，将其账面价值减记至预计未来现金流量（不包括尚未发生的未来信用损</w:t>
      </w:r>
    </w:p>
    <w:p>
      <w:pPr>
        <w:pStyle w:val="BodyText"/>
        <w:spacing w:line="314" w:lineRule="auto" w:before="76"/>
        <w:ind w:left="153" w:right="189"/>
        <w:jc w:val="both"/>
      </w:pPr>
      <w:r>
        <w:rPr>
          <w:spacing w:val="-2"/>
        </w:rPr>
        <w:t>失）现值（折现利率采用原实际利率），减记的金额确认为资产减值损失，计入当期损益。计提减值准备时，对单项金额重</w:t>
      </w:r>
      <w:r>
        <w:rPr>
          <w:spacing w:val="-65"/>
        </w:rPr>
        <w:t> </w:t>
      </w:r>
      <w:r>
        <w:rPr>
          <w:spacing w:val="-65"/>
        </w:rPr>
      </w:r>
      <w:r>
        <w:rPr>
          <w:spacing w:val="-2"/>
        </w:rPr>
        <w:t>大的持有至到期投资单独进行减值测试；对单项金额不重大的持有至到期投资可以单独进行减值测试，或包括在具有类似信</w:t>
      </w:r>
      <w:r>
        <w:rPr>
          <w:spacing w:val="-64"/>
        </w:rPr>
        <w:t> </w:t>
      </w:r>
      <w:r>
        <w:rPr>
          <w:spacing w:val="-64"/>
        </w:rPr>
      </w:r>
      <w:r>
        <w:rPr>
          <w:spacing w:val="-2"/>
        </w:rPr>
        <w:t>用风险特征的组合中进行减值测试；单独测试未发生减值的持有至到期投资，需要按照包括在具有类似信用风险特征的组合</w:t>
      </w:r>
      <w:r>
        <w:rPr>
          <w:spacing w:val="-64"/>
        </w:rPr>
        <w:t> </w:t>
      </w:r>
      <w:r>
        <w:rPr>
          <w:spacing w:val="-64"/>
        </w:rPr>
      </w:r>
      <w:r>
        <w:rPr/>
        <w:t>中</w:t>
      </w:r>
      <w:r>
        <w:rPr>
          <w:rFonts w:ascii="Times New Roman" w:hAnsi="Times New Roman" w:cs="Times New Roman" w:eastAsia="Times New Roman" w:hint="default"/>
        </w:rPr>
        <w:t>/</w:t>
      </w:r>
      <w:r>
        <w:rPr/>
        <w:t>根据客户的信用程度等实际情况，按照信用组合再进行测试；已单项确认减值损失的持有至到期投资，不再包括在具有</w:t>
      </w:r>
      <w:r>
        <w:rPr>
          <w:spacing w:val="-51"/>
        </w:rPr>
        <w:t> </w:t>
      </w:r>
      <w:r>
        <w:rPr>
          <w:spacing w:val="-51"/>
        </w:rPr>
      </w:r>
      <w:r>
        <w:rPr/>
        <w:t>类似信用风险特征的组合中，按照信用组合进行减值测试。</w:t>
      </w:r>
    </w:p>
    <w:p>
      <w:pPr>
        <w:pStyle w:val="BodyText"/>
        <w:spacing w:line="439" w:lineRule="auto" w:before="140"/>
        <w:ind w:left="514" w:right="4728"/>
        <w:jc w:val="left"/>
      </w:pPr>
      <w:r>
        <w:rPr/>
        <w:t>②应收款项 应收款项减值测试方法及减值准备计提方法参见本章四</w:t>
      </w:r>
      <w:r>
        <w:rPr>
          <w:rFonts w:ascii="Times New Roman" w:hAnsi="Times New Roman" w:cs="Times New Roman" w:eastAsia="Times New Roman" w:hint="default"/>
        </w:rPr>
        <w:t>-10</w:t>
      </w:r>
      <w:r>
        <w:rPr/>
        <w:t>。</w:t>
      </w:r>
    </w:p>
    <w:p>
      <w:pPr>
        <w:pStyle w:val="BodyText"/>
        <w:spacing w:line="240" w:lineRule="auto" w:before="17"/>
        <w:ind w:left="514" w:right="90"/>
        <w:jc w:val="left"/>
      </w:pPr>
      <w:r>
        <w:rPr/>
        <w:t>③可供出售金融资产</w:t>
      </w:r>
    </w:p>
    <w:p>
      <w:pPr>
        <w:spacing w:line="240" w:lineRule="auto" w:before="0"/>
        <w:rPr>
          <w:rFonts w:ascii="宋体" w:hAnsi="宋体" w:cs="宋体" w:eastAsia="宋体" w:hint="default"/>
          <w:sz w:val="15"/>
          <w:szCs w:val="15"/>
        </w:rPr>
      </w:pPr>
    </w:p>
    <w:p>
      <w:pPr>
        <w:pStyle w:val="BodyText"/>
        <w:spacing w:line="316" w:lineRule="auto"/>
        <w:ind w:right="90" w:firstLine="360"/>
        <w:jc w:val="left"/>
      </w:pPr>
      <w:r>
        <w:rPr/>
        <w:t>可供出售金融资产的公允价值发生较大幅度下降，或在综合考虑各种相关因素后，预期这种下降趋势属于非暂时性的， </w:t>
      </w:r>
      <w:r>
        <w:rPr>
          <w:spacing w:val="-2"/>
        </w:rPr>
        <w:t>则按其公允价值低于其账面价值的差额，确认减值损失，计提减值准备。在确认减值损失时，将原直接计入所有者权益的公</w:t>
      </w:r>
      <w:r>
        <w:rPr>
          <w:spacing w:val="-66"/>
        </w:rPr>
        <w:t> </w:t>
      </w:r>
      <w:r>
        <w:rPr>
          <w:spacing w:val="-66"/>
        </w:rPr>
      </w:r>
      <w:r>
        <w:rPr/>
        <w:t>允价值下降形成的累计损失一并转出，计入减值损失。</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④其他</w:t>
      </w:r>
    </w:p>
    <w:p>
      <w:pPr>
        <w:spacing w:line="240" w:lineRule="auto" w:before="0"/>
        <w:rPr>
          <w:rFonts w:ascii="宋体" w:hAnsi="宋体" w:cs="宋体" w:eastAsia="宋体" w:hint="default"/>
          <w:sz w:val="15"/>
          <w:szCs w:val="15"/>
        </w:rPr>
      </w:pPr>
    </w:p>
    <w:p>
      <w:pPr>
        <w:pStyle w:val="BodyText"/>
        <w:spacing w:line="316" w:lineRule="auto"/>
        <w:ind w:left="153" w:right="150" w:firstLine="360"/>
        <w:jc w:val="both"/>
      </w:pPr>
      <w:r>
        <w:rPr>
          <w:spacing w:val="-2"/>
        </w:rPr>
        <w:t>在活跃市场中没有报价且其公允价值不能可靠计量的权益工具投资，或与该权益工具挂钩并须通过交付该权益工具结算</w:t>
      </w:r>
      <w:r>
        <w:rPr/>
        <w:t> </w:t>
      </w:r>
      <w:r>
        <w:rPr>
          <w:spacing w:val="-2"/>
        </w:rPr>
        <w:t>的衍生金融资产发生减值时，将该权益工具投资或衍生金融资产的账面价值，与按照类似金融资产当时市场收益率对未来现</w:t>
      </w:r>
      <w:r>
        <w:rPr>
          <w:spacing w:val="-64"/>
        </w:rPr>
        <w:t> </w:t>
      </w:r>
      <w:r>
        <w:rPr>
          <w:spacing w:val="-64"/>
        </w:rPr>
      </w:r>
      <w:r>
        <w:rPr/>
        <w:t>金流量折现确定的现值之间的差额，确认为减值损失，计入当期损益。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403"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万元）款项。</w:t>
            </w:r>
          </w:p>
        </w:tc>
      </w:tr>
      <w:tr>
        <w:trPr>
          <w:trHeight w:val="715"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25"/>
          <w:szCs w:val="25"/>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14;width:3345;height:156" coordorigin="14,14" coordsize="3345,156">
              <v:shape style="position:absolute;left:14;top:14;width:3345;height:156" coordorigin="14,14" coordsize="3345,156" path="m14,170l3359,170,3359,14,14,14,14,170xe" filled="true" fillcolor="#d3d3d3" stroked="false">
                <v:path arrowok="t"/>
                <v:fill type="solid"/>
              </v:shape>
            </v:group>
            <v:group style="position:absolute;left:14;top:563;width:3345;height:156" coordorigin="14,563" coordsize="3345,156">
              <v:shape style="position:absolute;left:14;top:563;width:3345;height:156" coordorigin="14,563" coordsize="3345,156" path="m14,719l3359,719,3359,563,14,563,14,719xe" filled="true" fillcolor="#d3d3d3" stroked="false">
                <v:path arrowok="t"/>
                <v:fill type="solid"/>
              </v:shape>
            </v:group>
            <v:group style="position:absolute;left:37;top:170;width:3299;height:393" coordorigin="37,170" coordsize="3299,393">
              <v:shape style="position:absolute;left:37;top:170;width:3299;height:393" coordorigin="37,170" coordsize="3299,393" path="m37,563l3336,563,3336,170,37,170,37,563xe" filled="true" fillcolor="#d3d3d3" stroked="false">
                <v:path arrowok="t"/>
                <v:fill type="solid"/>
              </v:shape>
            </v:group>
            <v:group style="position:absolute;left:3368;top:366;width:23;height:353" coordorigin="3368,366" coordsize="23,353">
              <v:shape style="position:absolute;left:3368;top:366;width:23;height:353" coordorigin="3368,366" coordsize="23,353" path="m3368,719l3391,719,3391,366,3368,366,3368,719xe" filled="true" fillcolor="#c7edcc" stroked="false">
                <v:path arrowok="t"/>
                <v:fill type="solid"/>
              </v:shape>
            </v:group>
            <v:group style="position:absolute;left:9550;top:366;width:23;height:353" coordorigin="9550,366" coordsize="23,353">
              <v:shape style="position:absolute;left:9550;top:366;width:23;height:353" coordorigin="9550,366" coordsize="23,353" path="m9550,719l9572,719,9572,366,9550,366,9550,719xe" filled="true" fillcolor="#c7edcc" stroked="false">
                <v:path arrowok="t"/>
                <v:fill type="solid"/>
              </v:shape>
            </v:group>
            <v:group style="position:absolute;left:3391;top:14;width:6159;height:352" coordorigin="3391,14" coordsize="6159,352">
              <v:shape style="position:absolute;left:3391;top:14;width:6159;height:352" coordorigin="3391,14" coordsize="6159,352" path="m3391,366l9550,366,9550,14,3391,14,3391,366xe" filled="true" fillcolor="#c7edcc" stroked="false">
                <v:path arrowok="t"/>
                <v:fill type="solid"/>
              </v:shape>
            </v:group>
            <v:group style="position:absolute;left:3391;top:366;width:6159;height:353" coordorigin="3391,366" coordsize="6159,353">
              <v:shape style="position:absolute;left:3391;top:366;width:6159;height:353" coordorigin="3391,366" coordsize="6159,353" path="m3391,719l9550,719,9550,366,3391,366,3391,719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3354;height:2" coordorigin="5,724" coordsize="3354,2">
              <v:shape style="position:absolute;left:5;top:724;width:3354;height:2" coordorigin="5,724" coordsize="3354,0" path="m5,724l3359,724e" filled="false" stroked="true" strokeweight=".47998pt" strokecolor="#000000">
                <v:path arrowok="t"/>
              </v:shape>
            </v:group>
            <v:group style="position:absolute;left:3364;top:14;width:2;height:714" coordorigin="3364,14" coordsize="2,714">
              <v:shape style="position:absolute;left:3364;top:14;width:2;height:714" coordorigin="3364,14" coordsize="0,714" path="m3364,14l3364,728e" filled="false" stroked="true" strokeweight=".48pt" strokecolor="#000000">
                <v:path arrowok="t"/>
              </v:shape>
            </v:group>
            <v:group style="position:absolute;left:3368;top:724;width:6204;height:2" coordorigin="3368,724" coordsize="6204,2">
              <v:shape style="position:absolute;left:3368;top:724;width:6204;height:2" coordorigin="3368,724" coordsize="6204,0" path="m3368,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335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3364;top:10;width:6214;height:714" type="#_x0000_t202" filled="false" stroked="false">
                <v:textbox inset="0,0,0,0">
                  <w:txbxContent>
                    <w:p>
                      <w:pPr>
                        <w:spacing w:line="316" w:lineRule="auto" w:before="56"/>
                        <w:ind w:left="27" w:right="65" w:firstLine="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xbxContent>
                </v:textbox>
                <w10:wrap type="none"/>
              </v:shape>
            </v:group>
          </v:group>
        </w:pict>
      </w:r>
      <w:r>
        <w:rPr>
          <w:rFonts w:ascii="宋体" w:hAnsi="宋体" w:cs="宋体" w:eastAsia="宋体" w:hint="default"/>
          <w:position w:val="-14"/>
          <w:sz w:val="20"/>
          <w:szCs w:val="20"/>
        </w:rPr>
      </w:r>
    </w:p>
    <w:p>
      <w:pPr>
        <w:spacing w:after="0" w:line="73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2"/>
        <w:rPr>
          <w:rFonts w:ascii="宋体" w:hAnsi="宋体" w:cs="宋体" w:eastAsia="宋体" w:hint="default"/>
          <w:b/>
          <w:bCs/>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14;width:3345;height:156" coordorigin="14,14" coordsize="3345,156">
              <v:shape style="position:absolute;left:14;top:14;width:3345;height:156" coordorigin="14,14" coordsize="3345,156" path="m14,170l3359,170,3359,14,14,14,14,170xe" filled="true" fillcolor="#d3d3d3" stroked="false">
                <v:path arrowok="t"/>
                <v:fill type="solid"/>
              </v:shape>
            </v:group>
            <v:group style="position:absolute;left:14;top:563;width:3345;height:156" coordorigin="14,563" coordsize="3345,156">
              <v:shape style="position:absolute;left:14;top:563;width:3345;height:156" coordorigin="14,563" coordsize="3345,156" path="m14,719l3359,719,3359,563,14,563,14,719xe" filled="true" fillcolor="#d3d3d3" stroked="false">
                <v:path arrowok="t"/>
                <v:fill type="solid"/>
              </v:shape>
            </v:group>
            <v:group style="position:absolute;left:37;top:170;width:3299;height:393" coordorigin="37,170" coordsize="3299,393">
              <v:shape style="position:absolute;left:37;top:170;width:3299;height:393" coordorigin="37,170" coordsize="3299,393" path="m37,563l3336,563,3336,170,37,170,37,563xe" filled="true" fillcolor="#d3d3d3" stroked="false">
                <v:path arrowok="t"/>
                <v:fill type="solid"/>
              </v:shape>
            </v:group>
            <v:group style="position:absolute;left:3368;top:367;width:23;height:352" coordorigin="3368,367" coordsize="23,352">
              <v:shape style="position:absolute;left:3368;top:367;width:23;height:352" coordorigin="3368,367" coordsize="23,352" path="m3368,719l3391,719,3391,367,3368,367,3368,719xe" filled="true" fillcolor="#c7edcc" stroked="false">
                <v:path arrowok="t"/>
                <v:fill type="solid"/>
              </v:shape>
            </v:group>
            <v:group style="position:absolute;left:9550;top:367;width:23;height:352" coordorigin="9550,367" coordsize="23,352">
              <v:shape style="position:absolute;left:9550;top:367;width:23;height:352" coordorigin="9550,367" coordsize="23,352" path="m9550,719l9572,719,9572,367,9550,367,9550,719xe" filled="true" fillcolor="#c7edcc" stroked="false">
                <v:path arrowok="t"/>
                <v:fill type="solid"/>
              </v:shape>
            </v:group>
            <v:group style="position:absolute;left:3391;top:14;width:6159;height:353" coordorigin="3391,14" coordsize="6159,353">
              <v:shape style="position:absolute;left:3391;top:14;width:6159;height:353" coordorigin="3391,14" coordsize="6159,353" path="m3391,367l9550,367,9550,14,3391,14,3391,367xe" filled="true" fillcolor="#c7edcc" stroked="false">
                <v:path arrowok="t"/>
                <v:fill type="solid"/>
              </v:shape>
            </v:group>
            <v:group style="position:absolute;left:3391;top:367;width:6159;height:352" coordorigin="3391,367" coordsize="6159,352">
              <v:shape style="position:absolute;left:3391;top:367;width:6159;height:352" coordorigin="3391,367" coordsize="6159,352" path="m3391,719l9550,719,9550,367,3391,367,3391,719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3354;height:2" coordorigin="5,724" coordsize="3354,2">
              <v:shape style="position:absolute;left:5;top:724;width:3354;height:2" coordorigin="5,724" coordsize="3354,0" path="m5,724l3359,724e" filled="false" stroked="true" strokeweight=".47998pt" strokecolor="#000000">
                <v:path arrowok="t"/>
              </v:shape>
            </v:group>
            <v:group style="position:absolute;left:3364;top:14;width:2;height:714" coordorigin="3364,14" coordsize="2,714">
              <v:shape style="position:absolute;left:3364;top:14;width:2;height:714" coordorigin="3364,14" coordsize="0,714" path="m3364,14l3364,728e" filled="false" stroked="true" strokeweight=".48pt" strokecolor="#000000">
                <v:path arrowok="t"/>
              </v:shape>
            </v:group>
            <v:group style="position:absolute;left:3368;top:724;width:6204;height:2" coordorigin="3368,724" coordsize="6204,2">
              <v:shape style="position:absolute;left:3368;top:724;width:6204;height:2" coordorigin="3368,724" coordsize="6204,0" path="m3368,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335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3364;top:10;width:6214;height:714" type="#_x0000_t202" filled="false" stroked="false">
                <v:textbox inset="0,0,0,0">
                  <w:txbxContent>
                    <w:p>
                      <w:pPr>
                        <w:spacing w:line="319" w:lineRule="auto" w:before="56"/>
                        <w:ind w:left="27" w:right="65" w:firstLine="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本公司存货主要包括原材料、包装物、低值易耗品、在产品、产成品、库存商品、发出商品等。</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计价方法：先进先出法</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50" w:firstLine="360"/>
        <w:jc w:val="both"/>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w:t>
      </w:r>
      <w:r>
        <w:rPr>
          <w:spacing w:val="-9"/>
        </w:rPr>
        <w:t> </w:t>
      </w:r>
      <w:r>
        <w:rPr>
          <w:spacing w:val="-9"/>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971"/>
        <w:jc w:val="left"/>
      </w:pPr>
      <w:r>
        <w:rPr/>
        <w:t>低值易耗品 摊销方法：一次摊销法 包装物 摊销方法：一次摊销法</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99" w:right="0"/>
        <w:jc w:val="left"/>
      </w:pPr>
      <w:r>
        <w:rPr/>
        <w:t>①本公司合并形成的长期股权投资，按照下列规定确定其初始投资成本： </w:t>
      </w:r>
      <w:r>
        <w:rPr>
          <w:spacing w:val="-2"/>
        </w:rPr>
        <w:t>本公司同一控制下的企业合并，以支付现金、转让非现金资产或承担债务方式作为合并对价的，在合并日按照取得被合</w:t>
      </w:r>
    </w:p>
    <w:p>
      <w:pPr>
        <w:pStyle w:val="BodyText"/>
        <w:spacing w:line="224" w:lineRule="exact"/>
        <w:ind w:right="0"/>
        <w:jc w:val="left"/>
      </w:pPr>
      <w:r>
        <w:rPr/>
        <w:t>并方所有者权益账面价值的份额作为长期股权投资的初始投资成本。长期股权投资初始投资成本与支付的现金、转让的非现</w:t>
      </w:r>
    </w:p>
    <w:p>
      <w:pPr>
        <w:pStyle w:val="BodyText"/>
        <w:spacing w:line="319" w:lineRule="auto" w:before="76"/>
        <w:ind w:right="149"/>
        <w:jc w:val="both"/>
      </w:pPr>
      <w:r>
        <w:rPr>
          <w:spacing w:val="-2"/>
        </w:rPr>
        <w:t>金资产以及所承担债务账面价值之间的差额，调整资本公积；资本公积不足冲减的，调整留存收益。以发行权益性证券作为</w:t>
      </w:r>
      <w:r>
        <w:rPr>
          <w:spacing w:val="-66"/>
        </w:rPr>
        <w:t> </w:t>
      </w:r>
      <w:r>
        <w:rPr>
          <w:spacing w:val="-66"/>
        </w:rPr>
      </w:r>
      <w:r>
        <w:rPr>
          <w:spacing w:val="-2"/>
        </w:rPr>
        <w:t>合并对价的，在合并日按照取得被合并方所有者权益账面价值的份额作为长期股权投资的初始投资成本。按照发行股份的面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t>整留存收益。</w:t>
      </w:r>
    </w:p>
    <w:p>
      <w:pPr>
        <w:spacing w:after="0" w:line="319"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499" w:right="90"/>
        <w:jc w:val="left"/>
      </w:pPr>
      <w:r>
        <w:rPr/>
        <w:t>②本公司非同一控制下的企业合并，在购买日按照下列规定确定其初始投资成本：</w:t>
      </w:r>
    </w:p>
    <w:p>
      <w:pPr>
        <w:pStyle w:val="BodyText"/>
        <w:spacing w:line="302" w:lineRule="auto" w:before="115"/>
        <w:ind w:left="153" w:right="217" w:firstLine="435"/>
        <w:jc w:val="both"/>
      </w:pPr>
      <w:r>
        <w:rPr>
          <w:rFonts w:ascii="Times New Roman" w:hAnsi="Times New Roman" w:cs="Times New Roman" w:eastAsia="Times New Roman" w:hint="default"/>
        </w:rPr>
        <w:t>A.</w:t>
      </w:r>
      <w:r>
        <w:rPr/>
        <w:t>一次交换交易实现的企业合并，合并成本为本公司在购买日为取得对被购买方的控制权而付出的资产、发生或承担 的负债以及发行的权益性证券的公允价值。</w:t>
      </w:r>
    </w:p>
    <w:p>
      <w:pPr>
        <w:pStyle w:val="BodyText"/>
        <w:spacing w:line="314" w:lineRule="auto" w:before="69"/>
        <w:ind w:left="153" w:right="137" w:firstLine="345"/>
        <w:jc w:val="both"/>
      </w:pPr>
      <w:r>
        <w:rPr>
          <w:rFonts w:ascii="Times New Roman" w:hAnsi="Times New Roman" w:cs="Times New Roman" w:eastAsia="Times New Roman" w:hint="default"/>
        </w:rPr>
        <w:t>B.</w:t>
      </w:r>
      <w:r>
        <w:rPr/>
        <w:t>通过多次交换交易分步实现的企业合并，区分个别财务报表和合并财务报表进行相关会计处理：在个别财务报表中， </w:t>
      </w:r>
      <w:r>
        <w:rPr>
          <w:spacing w:val="-2"/>
        </w:rPr>
        <w:t>以购买日之前所持被购买方的股权投资的账面价值与购买日新增投资成本之和，作为该项投资的合并成本；在合并财务报表</w:t>
      </w:r>
      <w:r>
        <w:rPr>
          <w:spacing w:val="-64"/>
        </w:rPr>
        <w:t> </w:t>
      </w:r>
      <w:r>
        <w:rPr>
          <w:spacing w:val="-64"/>
        </w:rPr>
      </w:r>
      <w:r>
        <w:rPr>
          <w:spacing w:val="-2"/>
        </w:rPr>
        <w:t>中，对于购买日之前持有的被购买方的股权，按照该股权在购买日的公允价值进行重新计量，公允价值与其账面价值的差额</w:t>
      </w:r>
      <w:r>
        <w:rPr>
          <w:spacing w:val="-66"/>
        </w:rPr>
        <w:t> </w:t>
      </w:r>
      <w:r>
        <w:rPr>
          <w:spacing w:val="-66"/>
        </w:rPr>
      </w:r>
      <w:r>
        <w:rPr>
          <w:spacing w:val="-2"/>
        </w:rPr>
        <w:t>计入当期投资收益；购买日之前持有的被购买方的股权涉及其他综合收益的，与其相关的其他综合收益转为购买日所属当期</w:t>
      </w:r>
      <w:r>
        <w:rPr>
          <w:spacing w:val="-64"/>
        </w:rPr>
        <w:t> </w:t>
      </w:r>
      <w:r>
        <w:rPr>
          <w:spacing w:val="-64"/>
        </w:rPr>
      </w:r>
      <w:r>
        <w:rPr/>
        <w:t>投资收益。购买日之前所持被购买方的股权在购买日的公允价值与购买日新增投资成本之和，作为该项投资的合并成本。</w:t>
      </w:r>
    </w:p>
    <w:p>
      <w:pPr>
        <w:pStyle w:val="BodyText"/>
        <w:spacing w:line="338" w:lineRule="auto" w:before="60"/>
        <w:ind w:left="499" w:right="90"/>
        <w:jc w:val="left"/>
      </w:pPr>
      <w:r>
        <w:rPr>
          <w:rFonts w:ascii="Times New Roman" w:hAnsi="Times New Roman" w:cs="Times New Roman" w:eastAsia="Times New Roman" w:hint="default"/>
        </w:rPr>
        <w:t>C.</w:t>
      </w:r>
      <w:r>
        <w:rPr/>
        <w:t>本公司为进行企业合并发生的各项直接相关费用计入当期损益。 </w:t>
      </w:r>
      <w:r>
        <w:rPr>
          <w:rFonts w:ascii="Times New Roman" w:hAnsi="Times New Roman" w:cs="Times New Roman" w:eastAsia="Times New Roman" w:hint="default"/>
          <w:spacing w:val="-2"/>
        </w:rPr>
        <w:t>D.</w:t>
      </w:r>
      <w:r>
        <w:rPr>
          <w:spacing w:val="-2"/>
        </w:rPr>
        <w:t>在合并合同或协议中对可能影响合并成本的未来事项作出约定的，购买日如果估计未来事项很可能发生并且对合并成</w:t>
      </w:r>
    </w:p>
    <w:p>
      <w:pPr>
        <w:pStyle w:val="BodyText"/>
        <w:spacing w:line="218" w:lineRule="exact"/>
        <w:ind w:left="153" w:right="90"/>
        <w:jc w:val="left"/>
      </w:pPr>
      <w:r>
        <w:rPr/>
        <w:t>本的影响金额能够可靠计量的，本公司将其计入合并成本。</w:t>
      </w:r>
    </w:p>
    <w:p>
      <w:pPr>
        <w:pStyle w:val="BodyText"/>
        <w:spacing w:line="240" w:lineRule="auto" w:before="117"/>
        <w:ind w:left="499" w:right="90"/>
        <w:jc w:val="left"/>
      </w:pPr>
      <w:r>
        <w:rPr/>
        <w:t>③除本公司合并形成的长期股权投资以外，其他方式取得的长期股权投资，按照下列规定确定其初始投资成本：</w:t>
      </w:r>
    </w:p>
    <w:p>
      <w:pPr>
        <w:pStyle w:val="BodyText"/>
        <w:spacing w:line="302" w:lineRule="auto" w:before="115"/>
        <w:ind w:left="153" w:right="190" w:firstLine="345"/>
        <w:jc w:val="both"/>
      </w:pPr>
      <w:r>
        <w:rPr>
          <w:rFonts w:ascii="Times New Roman" w:hAnsi="Times New Roman" w:cs="Times New Roman" w:eastAsia="Times New Roman" w:hint="default"/>
          <w:spacing w:val="-2"/>
        </w:rPr>
        <w:t>A.</w:t>
      </w:r>
      <w:r>
        <w:rPr>
          <w:spacing w:val="-2"/>
        </w:rPr>
        <w:t>以支付现金取得的长期股权投资，按照实际支付的购买价款作为初始投资成本。初始投资成本包括与取得长期股权投</w:t>
      </w:r>
      <w:r>
        <w:rPr/>
        <w:t> 资直接相关的费用、税金及其他必要支出。</w:t>
      </w:r>
    </w:p>
    <w:p>
      <w:pPr>
        <w:pStyle w:val="BodyText"/>
        <w:spacing w:line="338" w:lineRule="auto" w:before="69"/>
        <w:ind w:left="499" w:right="90"/>
        <w:jc w:val="left"/>
      </w:pPr>
      <w:r>
        <w:rPr>
          <w:rFonts w:ascii="Times New Roman" w:hAnsi="Times New Roman" w:cs="Times New Roman" w:eastAsia="Times New Roman" w:hint="default"/>
        </w:rPr>
        <w:t>B.</w:t>
      </w:r>
      <w:r>
        <w:rPr/>
        <w:t>以发行权益性证券取得的长期股权投资，按照发行权益性证券的公允价值作为初始投资成本。 </w:t>
      </w:r>
      <w:r>
        <w:rPr>
          <w:rFonts w:ascii="Times New Roman" w:hAnsi="Times New Roman" w:cs="Times New Roman" w:eastAsia="Times New Roman" w:hint="default"/>
          <w:spacing w:val="-2"/>
        </w:rPr>
        <w:t>C.</w:t>
      </w:r>
      <w:r>
        <w:rPr>
          <w:spacing w:val="-2"/>
        </w:rPr>
        <w:t>投资者投入的长期股权投资，按照投资合同或协议约定的价值作为初始投资成本，但合同或协议约定价值不公允的除</w:t>
      </w:r>
    </w:p>
    <w:p>
      <w:pPr>
        <w:pStyle w:val="BodyText"/>
        <w:spacing w:line="218" w:lineRule="exact"/>
        <w:ind w:left="153" w:right="90"/>
        <w:jc w:val="left"/>
      </w:pPr>
      <w:r>
        <w:rPr/>
        <w:t>外。</w:t>
      </w:r>
    </w:p>
    <w:p>
      <w:pPr>
        <w:pStyle w:val="BodyText"/>
        <w:spacing w:line="302" w:lineRule="auto" w:before="115"/>
        <w:ind w:left="153" w:right="188" w:firstLine="345"/>
        <w:jc w:val="both"/>
      </w:pPr>
      <w:r>
        <w:rPr>
          <w:rFonts w:ascii="Times New Roman" w:hAnsi="Times New Roman" w:cs="Times New Roman" w:eastAsia="Times New Roman" w:hint="default"/>
        </w:rPr>
        <w:t>D.</w:t>
      </w:r>
      <w:r>
        <w:rPr/>
        <w:t>通过非货币性资产交换取得的长期股权投资，其初始投资成本按照《企业会计准则第</w:t>
      </w:r>
      <w:r>
        <w:rPr>
          <w:spacing w:val="-74"/>
        </w:rPr>
        <w:t>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非货币性资产交换》确 定。</w:t>
      </w:r>
    </w:p>
    <w:p>
      <w:pPr>
        <w:pStyle w:val="BodyText"/>
        <w:spacing w:line="240" w:lineRule="auto" w:before="69"/>
        <w:ind w:left="499" w:right="90"/>
        <w:jc w:val="left"/>
      </w:pPr>
      <w:r>
        <w:rPr>
          <w:rFonts w:ascii="Times New Roman" w:hAnsi="Times New Roman" w:cs="Times New Roman" w:eastAsia="Times New Roman" w:hint="default"/>
        </w:rPr>
        <w:t>E.</w:t>
      </w:r>
      <w:r>
        <w:rPr/>
        <w:t>通过债务重组取得的长期股权投资，其初始投资成本按照《企业会计准则第</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债务重组》确定。</w:t>
      </w:r>
    </w:p>
    <w:p>
      <w:pPr>
        <w:spacing w:line="240" w:lineRule="auto" w:before="10"/>
        <w:rPr>
          <w:rFonts w:ascii="宋体" w:hAnsi="宋体" w:cs="宋体" w:eastAsia="宋体" w:hint="default"/>
          <w:sz w:val="25"/>
          <w:szCs w:val="25"/>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360"/>
        <w:jc w:val="both"/>
      </w:pPr>
      <w:r>
        <w:rPr>
          <w:spacing w:val="-2"/>
        </w:rPr>
        <w:t>①本公司采用成本法核算的长期股权投资包括：能够对被投资单位实施控制的长期股权投资；对被投资单位不具有共同</w:t>
      </w:r>
      <w:r>
        <w:rPr/>
        <w:t> </w:t>
      </w:r>
      <w:r>
        <w:rPr>
          <w:spacing w:val="-2"/>
        </w:rPr>
        <w:t>控制或重大影响，并且在活跃市场中没有报价、公允价值不能可靠计量的长期股权投资。采用成本法核算的长期股权投资按</w:t>
      </w:r>
      <w:r>
        <w:rPr>
          <w:spacing w:val="-66"/>
        </w:rPr>
        <w:t> </w:t>
      </w:r>
      <w:r>
        <w:rPr>
          <w:spacing w:val="-66"/>
        </w:rPr>
      </w:r>
      <w:r>
        <w:rPr>
          <w:spacing w:val="-2"/>
        </w:rPr>
        <w:t>照初始投资成本计价。追加或收回投资调整长期股权投资的成本。被投资单位宣告分派的现金股利或利润，除购买时已宣告</w:t>
      </w:r>
      <w:r>
        <w:rPr>
          <w:spacing w:val="-66"/>
        </w:rPr>
        <w:t> </w:t>
      </w:r>
      <w:r>
        <w:rPr>
          <w:spacing w:val="-66"/>
        </w:rPr>
      </w:r>
      <w:r>
        <w:rPr/>
        <w:t>发放股利作投资成本收回外，其余确认为当期投资收益。</w:t>
      </w:r>
    </w:p>
    <w:p>
      <w:pPr>
        <w:pStyle w:val="BodyText"/>
        <w:spacing w:line="319" w:lineRule="auto" w:before="56"/>
        <w:ind w:left="153" w:right="191" w:firstLine="360"/>
        <w:jc w:val="both"/>
      </w:pPr>
      <w:r>
        <w:rPr>
          <w:spacing w:val="-2"/>
        </w:rPr>
        <w:t>②公司采用权益法核算的长期股权投资包括对被投资单位具有共同控制或重大影响的长期股权投资。长期股权投资的初</w:t>
      </w:r>
      <w:r>
        <w:rPr/>
        <w:t> </w:t>
      </w:r>
      <w:r>
        <w:rPr>
          <w:spacing w:val="-2"/>
        </w:rPr>
        <w:t>始投资成本大于投资时应享有被投资单位可辨认净资产公允价值份额的，不调整长期股权投资的初始投资成本；长期股权投</w:t>
      </w:r>
      <w:r>
        <w:rPr>
          <w:spacing w:val="-64"/>
        </w:rPr>
        <w:t> </w:t>
      </w:r>
      <w:r>
        <w:rPr>
          <w:spacing w:val="-64"/>
        </w:rPr>
      </w:r>
      <w:r>
        <w:rPr>
          <w:spacing w:val="-2"/>
        </w:rPr>
        <w:t>资的初始投资成本小于投资时应享有被投资单位可辨认净资产公允价值份额的，其差额计入当期损益，同时调整长期股权投</w:t>
      </w:r>
      <w:r>
        <w:rPr>
          <w:spacing w:val="-64"/>
        </w:rPr>
        <w:t> </w:t>
      </w:r>
      <w:r>
        <w:rPr>
          <w:spacing w:val="-64"/>
        </w:rPr>
      </w:r>
      <w:r>
        <w:rPr/>
        <w:t>资的成本。</w:t>
      </w:r>
    </w:p>
    <w:p>
      <w:pPr>
        <w:pStyle w:val="BodyText"/>
        <w:spacing w:line="319" w:lineRule="auto" w:before="55"/>
        <w:ind w:left="153" w:right="91" w:firstLine="360"/>
        <w:jc w:val="left"/>
      </w:pPr>
      <w:r>
        <w:rPr>
          <w:spacing w:val="-2"/>
        </w:rPr>
        <w:t>本公司取得长期股权投资后，按照应享有或应分担的被投资单位实现的净损益的份额，确认投资损益并调整长期股权投</w:t>
      </w:r>
      <w:r>
        <w:rPr/>
        <w:t> 资的账面价值。本公司按照被投资单位宣告分派的利润或现金股利计算应分得的部分，相应减少长期股权投资的账面价值。 </w:t>
      </w:r>
      <w:r>
        <w:rPr>
          <w:spacing w:val="-2"/>
        </w:rPr>
        <w:t>本公司确认被投资单位发生的净亏损，以长期股权投资的账面价值以及其他实质上构成对被投资单位净投资的长期权益减记</w:t>
      </w:r>
      <w:r>
        <w:rPr>
          <w:spacing w:val="-64"/>
        </w:rPr>
        <w:t> </w:t>
      </w:r>
      <w:r>
        <w:rPr>
          <w:spacing w:val="-64"/>
        </w:rPr>
      </w:r>
      <w:r>
        <w:rPr>
          <w:spacing w:val="-2"/>
        </w:rPr>
        <w:t>至零为限，本公司负有承担额外损失义务的除外。被投资单位以后实现净利润的，本公司在其收益分享额弥补未确认的亏损</w:t>
      </w:r>
      <w:r>
        <w:rPr>
          <w:spacing w:val="-66"/>
        </w:rPr>
        <w:t> </w:t>
      </w:r>
      <w:r>
        <w:rPr>
          <w:spacing w:val="-66"/>
        </w:rPr>
      </w:r>
      <w:r>
        <w:rPr/>
        <w:t>分担额后，恢复确认收益分享额。</w:t>
      </w:r>
    </w:p>
    <w:p>
      <w:pPr>
        <w:pStyle w:val="BodyText"/>
        <w:spacing w:line="304" w:lineRule="auto" w:before="55"/>
        <w:ind w:right="90" w:firstLine="360"/>
        <w:jc w:val="left"/>
      </w:pPr>
      <w:r>
        <w:rPr>
          <w:spacing w:val="-2"/>
        </w:rPr>
        <w:t>本公司在确认应享有被投资单位净损益的份额时，以取得投资时被投资单位各项可辨认资产等的公允价值为基础，对被</w:t>
      </w:r>
      <w:r>
        <w:rPr/>
        <w:t> 投资单位的净利润进行调整后确认。若符合下列条件，本公司以被投资单位的账面净利润为基础，计算确认投资收益：</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2"/>
        </w:rPr>
        <w:t>本公司无法合理确定取得投资时被投资单位各项可辨认资产等的公允价值。</w:t>
      </w:r>
      <w:r>
        <w:rPr>
          <w:rFonts w:ascii="Times New Roman" w:hAnsi="Times New Roman" w:cs="Times New Roman" w:eastAsia="Times New Roman" w:hint="default"/>
          <w:spacing w:val="-2"/>
        </w:rPr>
        <w:t>B.</w:t>
      </w:r>
      <w:r>
        <w:rPr>
          <w:spacing w:val="-2"/>
        </w:rPr>
        <w:t>投资时被投资单位可辨认资产的公允价值与其</w:t>
      </w:r>
      <w:r>
        <w:rPr>
          <w:spacing w:val="-49"/>
        </w:rPr>
        <w:t> </w:t>
      </w:r>
      <w:r>
        <w:rPr>
          <w:spacing w:val="-2"/>
        </w:rPr>
        <w:t>账面价值相比，两者之间的差额不具有重要性的。</w:t>
      </w:r>
      <w:r>
        <w:rPr>
          <w:rFonts w:ascii="Times New Roman" w:hAnsi="Times New Roman" w:cs="Times New Roman" w:eastAsia="Times New Roman" w:hint="default"/>
          <w:spacing w:val="-2"/>
        </w:rPr>
        <w:t>C.</w:t>
      </w:r>
      <w:r>
        <w:rPr>
          <w:spacing w:val="-2"/>
        </w:rPr>
        <w:t>其他原因导致无法取得被投资单位的有关资料，不能按照规定对被投资</w:t>
      </w:r>
      <w:r>
        <w:rPr>
          <w:spacing w:val="-50"/>
        </w:rPr>
        <w:t> </w:t>
      </w:r>
      <w:r>
        <w:rPr>
          <w:spacing w:val="-50"/>
        </w:rPr>
      </w:r>
      <w:r>
        <w:rPr/>
        <w:t>单位的净损益进行调整的。</w:t>
      </w:r>
    </w:p>
    <w:p>
      <w:pPr>
        <w:pStyle w:val="BodyText"/>
        <w:spacing w:line="316" w:lineRule="auto" w:before="67"/>
        <w:ind w:right="191" w:firstLine="360"/>
        <w:jc w:val="both"/>
      </w:pPr>
      <w:r>
        <w:rPr>
          <w:spacing w:val="-2"/>
        </w:rPr>
        <w:t>被投资单位采用的会计政策及会计期间与本公司不一致的，按照本公司的会计政策及会计期间对被投资单位的财务报表</w:t>
      </w:r>
      <w:r>
        <w:rPr/>
        <w:t> </w:t>
      </w:r>
      <w:r>
        <w:rPr>
          <w:spacing w:val="-2"/>
        </w:rPr>
        <w:t>进行调整，并据以确认投资损益。本公司对于被投资单位除净损益以外所有者权益的其他变动，调整长期股权投资的账面价</w:t>
      </w:r>
    </w:p>
    <w:p>
      <w:pPr>
        <w:spacing w:after="0" w:line="316" w:lineRule="auto"/>
        <w:jc w:val="both"/>
        <w:sectPr>
          <w:footerReference w:type="default" r:id="rId17"/>
          <w:pgSz w:w="11910" w:h="16840"/>
          <w:pgMar w:footer="982" w:header="747" w:top="1060" w:bottom="1180" w:left="980" w:right="940"/>
          <w:pgNumType w:start="72"/>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值并计入所有者权益，处置该项投资时将原计入所有者权益的部分按相应比例转入当期损益。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50" w:firstLine="360"/>
        <w:jc w:val="both"/>
      </w:pPr>
      <w:r>
        <w:rPr>
          <w:spacing w:val="-4"/>
        </w:rPr>
        <w:t>按照合同约定，与被投资单位相关的重要财务和经营决策需要分享控制权的投资方一致同意的，认定为共同控制。</w:t>
      </w:r>
      <w:r>
        <w:rPr>
          <w:spacing w:val="25"/>
        </w:rPr>
        <w:t> </w:t>
      </w:r>
      <w:r>
        <w:rPr/>
        <w:t>对</w:t>
      </w:r>
      <w:r>
        <w:rPr/>
        <w:t> </w:t>
      </w:r>
      <w:r>
        <w:rPr>
          <w:spacing w:val="-2"/>
        </w:rPr>
        <w:t>被投资单位的财务和经营政策有参与决策的权力，但并不能够控制或者与其他方一起共同控制这些政策的制定的，认定为重</w:t>
      </w:r>
      <w:r>
        <w:rPr>
          <w:spacing w:val="-64"/>
        </w:rPr>
        <w:t> </w:t>
      </w:r>
      <w:r>
        <w:rPr>
          <w:spacing w:val="-64"/>
        </w:rPr>
      </w:r>
      <w:r>
        <w:rPr/>
        <w:t>大影响。</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49" w:firstLine="290"/>
        <w:jc w:val="both"/>
      </w:pPr>
      <w:r>
        <w:rPr>
          <w:spacing w:val="-1"/>
        </w:rPr>
        <w:t>①在资产负债表日根据内部及外部信息以确定对子公司、合营公司或联营公司的长期股权投资是否存在减值的迹象，对</w:t>
      </w:r>
      <w:r>
        <w:rPr/>
        <w:t> </w:t>
      </w:r>
      <w:r>
        <w:rPr>
          <w:spacing w:val="-2"/>
        </w:rPr>
        <w:t>存在减值迹象的长期股权投资进行减值测试，估计其可收回金额。可收回金额的估计结果表明长期股权投资的可收回金额低</w:t>
      </w:r>
      <w:r>
        <w:rPr>
          <w:spacing w:val="-64"/>
        </w:rPr>
        <w:t> </w:t>
      </w:r>
      <w:r>
        <w:rPr>
          <w:spacing w:val="-64"/>
        </w:rPr>
      </w:r>
      <w:r>
        <w:rPr>
          <w:spacing w:val="-2"/>
        </w:rPr>
        <w:t>于其账面价值的，长期股权投资的账面价值会减记至可收回金额，减记的金额确认为资产减值损失，计入当期损益，同时计</w:t>
      </w:r>
      <w:r>
        <w:rPr>
          <w:spacing w:val="-66"/>
        </w:rPr>
        <w:t> </w:t>
      </w:r>
      <w:r>
        <w:rPr>
          <w:spacing w:val="-66"/>
        </w:rPr>
      </w:r>
      <w:r>
        <w:rPr/>
        <w:t>提相应的减值准备。</w:t>
      </w:r>
    </w:p>
    <w:p>
      <w:pPr>
        <w:pStyle w:val="BodyText"/>
        <w:spacing w:line="316" w:lineRule="auto" w:before="19"/>
        <w:ind w:left="153" w:right="151" w:firstLine="290"/>
        <w:jc w:val="both"/>
      </w:pPr>
      <w:r>
        <w:rPr>
          <w:spacing w:val="-1"/>
        </w:rPr>
        <w:t>可收回金额是指资产（或资产组、资产组组合，下同）的公允价值减去处置费用后的净额与资产预计未来现金流量的现</w:t>
      </w:r>
      <w:r>
        <w:rPr/>
        <w:t> </w:t>
      </w:r>
      <w:r>
        <w:rPr>
          <w:spacing w:val="-2"/>
        </w:rPr>
        <w:t>值两者之间较高者。资产组是可以认定的最小资产组合，其产生的现金流入基本上独立于其他资产或者资产组。资产组由创</w:t>
      </w:r>
      <w:r>
        <w:rPr>
          <w:spacing w:val="-66"/>
        </w:rPr>
        <w:t> </w:t>
      </w:r>
      <w:r>
        <w:rPr>
          <w:spacing w:val="-66"/>
        </w:rPr>
      </w:r>
      <w:r>
        <w:rPr>
          <w:spacing w:val="-2"/>
        </w:rPr>
        <w:t>造现金流入相关的资产组成。在认定资产组时，主要考虑该资产组能否独立产生现金流入，同时考虑管理层对生产经营活动</w:t>
      </w:r>
      <w:r>
        <w:rPr>
          <w:spacing w:val="-66"/>
        </w:rPr>
        <w:t> </w:t>
      </w:r>
      <w:r>
        <w:rPr>
          <w:spacing w:val="-66"/>
        </w:rPr>
      </w:r>
      <w:r>
        <w:rPr>
          <w:spacing w:val="-2"/>
        </w:rPr>
        <w:t>的管理方式、以及对资产使用或者处置的决策方式等。资产的公允价值减去处置费用后的净额，是根据公平交易中销售协议</w:t>
      </w:r>
      <w:r>
        <w:rPr>
          <w:spacing w:val="-66"/>
        </w:rPr>
        <w:t> </w:t>
      </w:r>
      <w:r>
        <w:rPr>
          <w:spacing w:val="-66"/>
        </w:rPr>
      </w:r>
      <w:r>
        <w:rPr>
          <w:spacing w:val="-2"/>
        </w:rPr>
        <w:t>价格减去可直接归属于该资产处置费用的金额确定。资产预计未来现金流量的现值，按照资产在持续使用过程中和最终处置</w:t>
      </w:r>
      <w:r>
        <w:rPr>
          <w:spacing w:val="-64"/>
        </w:rPr>
        <w:t> </w:t>
      </w:r>
      <w:r>
        <w:rPr>
          <w:spacing w:val="-64"/>
        </w:rPr>
      </w:r>
      <w:r>
        <w:rPr>
          <w:spacing w:val="-2"/>
        </w:rPr>
        <w:t>时所产生的预计未来现金流量，选择恰当的税前折现率对其进行折现后的金额加以确定。与资产组或者资产组组合相关的减</w:t>
      </w:r>
      <w:r>
        <w:rPr>
          <w:spacing w:val="-64"/>
        </w:rPr>
        <w:t> </w:t>
      </w:r>
      <w:r>
        <w:rPr>
          <w:spacing w:val="-64"/>
        </w:rPr>
      </w:r>
      <w:r>
        <w:rPr>
          <w:spacing w:val="-2"/>
        </w:rPr>
        <w:t>值损失，先抵减分摊至该资产组或者资产组组合中商誉的账面价值，再根据资产组或者资产组组合中除商誉之外的其他各项</w:t>
      </w:r>
      <w:r>
        <w:rPr>
          <w:spacing w:val="-64"/>
        </w:rPr>
        <w:t> </w:t>
      </w:r>
      <w:r>
        <w:rPr>
          <w:spacing w:val="-64"/>
        </w:rPr>
      </w:r>
      <w:r>
        <w:rPr>
          <w:spacing w:val="-2"/>
        </w:rPr>
        <w:t>资产的账面价值所占比重，按比例抵减其他各项资产的账面价值，但抵减后的各资产的账面价值不得低于该资产的公允价值</w:t>
      </w:r>
      <w:r>
        <w:rPr>
          <w:spacing w:val="-64"/>
        </w:rPr>
        <w:t> </w:t>
      </w:r>
      <w:r>
        <w:rPr>
          <w:spacing w:val="-64"/>
        </w:rPr>
      </w:r>
      <w:r>
        <w:rPr/>
        <w:t>减去处置费用后的净额（如可确定的）、该资产预计未来现金流量的现值（如可确定的）和零三者之中最高者。</w:t>
      </w:r>
    </w:p>
    <w:p>
      <w:pPr>
        <w:pStyle w:val="BodyText"/>
        <w:spacing w:line="240" w:lineRule="auto" w:before="19"/>
        <w:ind w:left="444" w:right="0"/>
        <w:jc w:val="left"/>
      </w:pPr>
      <w:r>
        <w:rPr/>
        <w:t>②长期股权投资减值损失一经确认，在以后会计期间不得转回。</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9" w:firstLine="360"/>
        <w:jc w:val="both"/>
      </w:pPr>
      <w:r>
        <w:rPr>
          <w:spacing w:val="-2"/>
        </w:rPr>
        <w:t>本公司固定资产指为生产商品、提供劳务、出租或经营管理而持有的、使用寿命超过一个会计年度的有形资产。在同时</w:t>
      </w:r>
      <w:r>
        <w:rPr/>
        <w:t> 满足下列条件时才能确认固定资产：</w:t>
      </w:r>
    </w:p>
    <w:p>
      <w:pPr>
        <w:pStyle w:val="BodyText"/>
        <w:spacing w:line="240" w:lineRule="auto" w:before="58"/>
        <w:ind w:left="513" w:right="0"/>
        <w:jc w:val="left"/>
      </w:pPr>
      <w:r>
        <w:rPr/>
        <w:t>①与该固定资产有关的经济利益很可能流入企业。</w:t>
      </w:r>
    </w:p>
    <w:p>
      <w:pPr>
        <w:pStyle w:val="BodyText"/>
        <w:spacing w:line="240" w:lineRule="auto" w:before="116"/>
        <w:ind w:left="513" w:right="0"/>
        <w:jc w:val="left"/>
      </w:pPr>
      <w:r>
        <w:rPr/>
        <w:t>②该固定资产的成本能够可靠地计量。</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51" w:firstLine="360"/>
        <w:jc w:val="both"/>
      </w:pPr>
      <w:r>
        <w:rPr>
          <w:spacing w:val="-2"/>
        </w:rPr>
        <w:t>实质上转移了与资产所有权有关的全部风险和报酬的租赁为融资租赁。融资租入固定资产以租赁资产的公允价值与最低</w:t>
      </w:r>
      <w:r>
        <w:rPr/>
        <w:t> </w:t>
      </w:r>
      <w:r>
        <w:rPr>
          <w:spacing w:val="-2"/>
        </w:rPr>
        <w:t>租赁付款额的现值两者中的较低者作为租入资产的入账价值。租入资产的入账价值与最低租赁付款额之间的差额作为未确认</w:t>
      </w:r>
      <w:r>
        <w:rPr>
          <w:spacing w:val="-64"/>
        </w:rPr>
        <w:t> </w:t>
      </w:r>
      <w:r>
        <w:rPr>
          <w:spacing w:val="-64"/>
        </w:rPr>
      </w:r>
      <w:r>
        <w:rPr/>
        <w:t>融资费用。</w:t>
      </w:r>
    </w:p>
    <w:p>
      <w:pPr>
        <w:pStyle w:val="BodyText"/>
        <w:spacing w:line="319" w:lineRule="auto" w:before="55"/>
        <w:ind w:left="153" w:right="150" w:firstLine="360"/>
        <w:jc w:val="both"/>
      </w:pPr>
      <w:r>
        <w:rPr>
          <w:spacing w:val="-2"/>
        </w:rPr>
        <w:t>融资租入的固定资产采用与自有固定资产相一致的折旧政策。能够合理确定租赁期届满时将取得租入资产所有权的，租</w:t>
      </w:r>
      <w:r>
        <w:rPr/>
        <w:t> </w:t>
      </w:r>
      <w:r>
        <w:rPr>
          <w:spacing w:val="-2"/>
        </w:rPr>
        <w:t>入固定资产在其预计使用寿命内计提折旧；否则，租入固定资产在租赁期与该资产预计使用寿命两者中较短的期间内计提折</w:t>
      </w:r>
      <w:r>
        <w:rPr>
          <w:spacing w:val="-64"/>
        </w:rPr>
        <w:t> </w:t>
      </w:r>
      <w:r>
        <w:rPr>
          <w:spacing w:val="-64"/>
        </w:rPr>
      </w:r>
      <w:r>
        <w:rPr/>
        <w:t>旧。</w:t>
      </w:r>
    </w:p>
    <w:p>
      <w:pPr>
        <w:spacing w:after="0" w:line="319"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8"/>
        <w:rPr>
          <w:rFonts w:ascii="宋体" w:hAnsi="宋体" w:cs="宋体" w:eastAsia="宋体" w:hint="default"/>
          <w:b/>
          <w:bCs/>
          <w:sz w:val="26"/>
          <w:szCs w:val="26"/>
        </w:rPr>
      </w:pPr>
    </w:p>
    <w:p>
      <w:pPr>
        <w:pStyle w:val="BodyText"/>
        <w:spacing w:line="439" w:lineRule="auto"/>
        <w:ind w:left="513" w:right="811"/>
        <w:jc w:val="left"/>
      </w:pPr>
      <w:r>
        <w:rPr/>
        <w:pict>
          <v:shape style="position:absolute;margin-left:56.459999pt;margin-top:36.672031pt;width:479.1pt;height:10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w:t>
                        </w:r>
                      </w:p>
                    </w:tc>
                  </w:tr>
                </w:tbl>
                <w:p>
                  <w:pPr/>
                </w:p>
              </w:txbxContent>
            </v:textbox>
            <w10:wrap type="none"/>
          </v:shape>
        </w:pict>
      </w:r>
      <w:r>
        <w:rPr/>
        <w:t>本公司固定资产分为房屋及建筑物、机器设备、电子设备、运输设备等。 固定资产折旧采用年限平均法计提折旧。按固定资产的类别、使用寿命和预计净残值率确定的年折旧率如下：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290"/>
        <w:jc w:val="both"/>
      </w:pPr>
      <w:r>
        <w:rPr>
          <w:spacing w:val="-1"/>
        </w:rPr>
        <w:t>期末时，对固定资产逐项进行检查，如果由于市价持续下跌，或技术陈旧、损坏、长期闲置等原因导致其可收回金额低</w:t>
      </w:r>
      <w:r>
        <w:rPr/>
        <w:t> </w:t>
      </w:r>
      <w:r>
        <w:rPr>
          <w:spacing w:val="-2"/>
        </w:rPr>
        <w:t>于账面价值的，按单项固定资产可收回金额低于其账面价值的差额提取固定资产减值准备。资产减值损失一经确认，在以后</w:t>
      </w:r>
      <w:r>
        <w:rPr>
          <w:spacing w:val="-66"/>
        </w:rPr>
        <w:t> </w:t>
      </w:r>
      <w:r>
        <w:rPr>
          <w:spacing w:val="-66"/>
        </w:rPr>
      </w:r>
      <w:r>
        <w:rPr/>
        <w:t>会计期间不予转回。</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1" w:firstLine="360"/>
        <w:jc w:val="both"/>
      </w:pPr>
      <w:r>
        <w:rPr>
          <w:spacing w:val="-2"/>
        </w:rPr>
        <w:t>已计提减值准备的固定资产折旧计提方法：已计提减值准备的固定资产，按该项固定资产的原价扣除预计净残值、已提</w:t>
      </w:r>
      <w:r>
        <w:rPr/>
        <w:t> 折旧及减值准备后的金额和剩余使用寿命，计提折旧。</w:t>
      </w:r>
    </w:p>
    <w:p>
      <w:pPr>
        <w:pStyle w:val="BodyText"/>
        <w:spacing w:line="316" w:lineRule="auto" w:before="139"/>
        <w:ind w:left="153" w:right="108" w:firstLine="360"/>
        <w:jc w:val="both"/>
      </w:pPr>
      <w:r>
        <w:rPr/>
        <w:t>已达到预定可使用状态但尚未办理竣工决算的固定资产，按照估计价值确定其成本，并计提折旧；待办理竣工决算后， 再按实际成本调整原来的暂估价值，但不需要调整原已计提的折旧额。</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本公司的在建工程按工程项目分别核算，在建工程按实际成本计价。</w:t>
      </w:r>
    </w:p>
    <w:p>
      <w:pPr>
        <w:spacing w:line="240" w:lineRule="auto" w:before="10"/>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firstLine="540"/>
        <w:jc w:val="left"/>
      </w:pPr>
      <w:r>
        <w:rPr>
          <w:spacing w:val="-2"/>
        </w:rPr>
        <w:t>在建工程达到预定可使用状态时，按工程实际成本转入固定资产。对已达到预定可使用状态但尚未办理竣工决算手续</w:t>
      </w:r>
      <w:r>
        <w:rPr/>
        <w:t> 的固定资产，按估计价值记账，待确定实际价值后，再进行调整。</w:t>
      </w:r>
    </w:p>
    <w:p>
      <w:pPr>
        <w:spacing w:line="240" w:lineRule="auto" w:before="3"/>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90"/>
        <w:jc w:val="left"/>
      </w:pPr>
      <w:r>
        <w:rPr/>
        <w:t>资产负债表日，有迹象表明建工程发生减值的，按账面价值与可收回金额的差额计提相应的减值准备。</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借款费用同时满足下列条件的，才能开始资本化：</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415" w:lineRule="auto" w:before="44"/>
        <w:ind w:left="513" w:right="7561"/>
        <w:jc w:val="left"/>
      </w:pPr>
      <w:r>
        <w:rPr>
          <w:rFonts w:ascii="Times New Roman" w:hAnsi="Times New Roman" w:cs="Times New Roman" w:eastAsia="Times New Roman" w:hint="default"/>
        </w:rPr>
        <w:t>a</w:t>
      </w:r>
      <w:r>
        <w:rPr/>
        <w:t>、资产支出已经发生。 </w:t>
      </w:r>
      <w:r>
        <w:rPr>
          <w:rFonts w:ascii="Times New Roman" w:hAnsi="Times New Roman" w:cs="Times New Roman" w:eastAsia="Times New Roman" w:hint="default"/>
        </w:rPr>
        <w:t>b</w:t>
      </w:r>
      <w:r>
        <w:rPr/>
        <w:t>、借款费用已经发生。</w:t>
      </w:r>
    </w:p>
    <w:p>
      <w:pPr>
        <w:pStyle w:val="BodyText"/>
        <w:spacing w:line="240" w:lineRule="auto" w:before="37"/>
        <w:ind w:left="513" w:right="90"/>
        <w:jc w:val="left"/>
      </w:pPr>
      <w:r>
        <w:rPr>
          <w:rFonts w:ascii="Times New Roman" w:hAnsi="Times New Roman" w:cs="Times New Roman" w:eastAsia="Times New Roman" w:hint="default"/>
        </w:rPr>
        <w:t>c</w:t>
      </w:r>
      <w:r>
        <w:rPr/>
        <w:t>、为使资产达到预定可使用或者可销售状态所必要的购建或者生产活动已经开始。</w:t>
      </w:r>
    </w:p>
    <w:p>
      <w:pPr>
        <w:spacing w:line="240" w:lineRule="auto" w:before="11"/>
        <w:rPr>
          <w:rFonts w:ascii="宋体" w:hAnsi="宋体" w:cs="宋体" w:eastAsia="宋体" w:hint="default"/>
          <w:sz w:val="25"/>
          <w:szCs w:val="25"/>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440" w:lineRule="atLeast" w:before="142"/>
        <w:ind w:left="514" w:right="90"/>
        <w:jc w:val="left"/>
      </w:pPr>
      <w:r>
        <w:rPr/>
        <w:t>资本化期间，是指从借款费用开始资本化时点到停止资本化时点的期间，借款费用暂停资本化的期间不包括在内。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p>
    <w:p>
      <w:pPr>
        <w:pStyle w:val="BodyText"/>
        <w:spacing w:line="316" w:lineRule="auto" w:before="63"/>
        <w:ind w:right="90"/>
        <w:jc w:val="left"/>
      </w:pP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产的符合资本化条件的资产达到预定可使用或者可销售状态必要的程序，借款费用的资本化继续进行。 </w:t>
      </w:r>
      <w:r>
        <w:rPr>
          <w:spacing w:val="-2"/>
        </w:rPr>
        <w:t>购建或者生产符合资本化条件的资产达到预定可使用或者可销售状态时，借款费用停止资本化。在符合资本化条件的资产达</w:t>
      </w:r>
      <w:r>
        <w:rPr>
          <w:spacing w:val="-64"/>
        </w:rPr>
        <w:t> </w:t>
      </w:r>
      <w:r>
        <w:rPr>
          <w:spacing w:val="-64"/>
        </w:rPr>
      </w:r>
      <w:r>
        <w:rPr/>
        <w:t>到预定可使用或者可销售状态之后所发生的借款费用，在发生时计入当期损益。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290"/>
        <w:jc w:val="both"/>
      </w:pPr>
      <w:r>
        <w:rPr/>
        <w:t>若固定资产的购建活动发生非正常中断，并且中断时间连续超过</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个月，暂停借款费用资本化，将其确认为当期费用， 直至资产的购建活动重新开始。</w:t>
      </w:r>
    </w:p>
    <w:p>
      <w:pPr>
        <w:spacing w:line="240" w:lineRule="auto" w:before="6"/>
        <w:rPr>
          <w:rFonts w:ascii="宋体" w:hAnsi="宋体" w:cs="宋体" w:eastAsia="宋体" w:hint="default"/>
          <w:sz w:val="23"/>
          <w:szCs w:val="23"/>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90"/>
        <w:jc w:val="left"/>
      </w:pPr>
      <w:r>
        <w:rPr/>
        <w:t>在资本化期间内，每一会计期间的利息（包括折价或溢价的摊销）资本化金额，按照下列规定确定：</w:t>
      </w:r>
    </w:p>
    <w:p>
      <w:pPr>
        <w:spacing w:line="240" w:lineRule="auto" w:before="0"/>
        <w:rPr>
          <w:rFonts w:ascii="宋体" w:hAnsi="宋体" w:cs="宋体" w:eastAsia="宋体" w:hint="default"/>
          <w:sz w:val="15"/>
          <w:szCs w:val="15"/>
        </w:rPr>
      </w:pPr>
    </w:p>
    <w:p>
      <w:pPr>
        <w:pStyle w:val="BodyText"/>
        <w:spacing w:line="316" w:lineRule="auto"/>
        <w:ind w:left="153" w:right="190" w:firstLine="360"/>
        <w:jc w:val="both"/>
      </w:pPr>
      <w:r>
        <w:rPr>
          <w:spacing w:val="-2"/>
        </w:rPr>
        <w:t>①为购建或者生产符合资本化条件的资产而借入专门借款的，以专门借款当期实际发生的利息费用，减去将尚未动用的</w:t>
      </w:r>
      <w:r>
        <w:rPr/>
        <w:t> 借款资金存入银行取得的利息收入或进行暂时性投资取得的投资收益后的金额确定。</w:t>
      </w:r>
    </w:p>
    <w:p>
      <w:pPr>
        <w:pStyle w:val="BodyText"/>
        <w:spacing w:line="316" w:lineRule="auto" w:before="139"/>
        <w:ind w:left="153" w:right="191" w:firstLine="360"/>
        <w:jc w:val="both"/>
      </w:pPr>
      <w:r>
        <w:rPr>
          <w:spacing w:val="-2"/>
        </w:rPr>
        <w:t>②为购建或者生产符合资本化条件的资产而占用了一般借款的，本公司根据累计资产支出超过专门借款部分的资产支出</w:t>
      </w:r>
      <w:r>
        <w:rPr/>
        <w:t> </w:t>
      </w:r>
      <w:r>
        <w:rPr>
          <w:spacing w:val="-2"/>
        </w:rPr>
        <w:t>加权平均数乘以所占用一般借款的资本化率，计算确定一般借款应予资本化的利息金额。资本化率根据一般借款加权平均利</w:t>
      </w:r>
      <w:r>
        <w:rPr>
          <w:spacing w:val="-64"/>
        </w:rPr>
        <w:t> </w:t>
      </w:r>
      <w:r>
        <w:rPr>
          <w:spacing w:val="-64"/>
        </w:rPr>
      </w:r>
      <w:r>
        <w:rPr/>
        <w:t>率计算确定。</w:t>
      </w:r>
    </w:p>
    <w:p>
      <w:pPr>
        <w:pStyle w:val="BodyText"/>
        <w:spacing w:line="316" w:lineRule="auto" w:before="139"/>
        <w:ind w:left="153" w:right="191" w:firstLine="360"/>
        <w:jc w:val="both"/>
      </w:pPr>
      <w:r>
        <w:rPr>
          <w:spacing w:val="-2"/>
        </w:rPr>
        <w:t>借款存在折价或者溢价的，按照实际利率法确定每一会计期间应摊销的折价或者溢价金额，调整每期利息金额。在资本</w:t>
      </w:r>
      <w:r>
        <w:rPr/>
        <w:t> 化期间内，每一会计期间的利息资本化金额，不超过当期相关借款实际发生的利息金额。</w:t>
      </w:r>
    </w:p>
    <w:p>
      <w:pPr>
        <w:pStyle w:val="BodyText"/>
        <w:spacing w:line="316" w:lineRule="auto" w:before="139"/>
        <w:ind w:left="153" w:right="189" w:firstLine="360"/>
        <w:jc w:val="both"/>
      </w:pPr>
      <w:r>
        <w:rPr>
          <w:spacing w:val="-2"/>
        </w:rPr>
        <w:t>专门借款发生的辅助费用，在所购建或者生产的符合资本化条件的资产达到预定可使用或者可销售状态之前发生的，在</w:t>
      </w:r>
      <w:r>
        <w:rPr/>
        <w:t> </w:t>
      </w:r>
      <w:r>
        <w:rPr>
          <w:spacing w:val="-2"/>
        </w:rPr>
        <w:t>发生时根据其发生额予以资本化，计入符合资本化条件的资产的成本；在所购建或者生产的符合资本化条件的资产达到预定</w:t>
      </w:r>
      <w:r>
        <w:rPr>
          <w:spacing w:val="-64"/>
        </w:rPr>
        <w:t> </w:t>
      </w:r>
      <w:r>
        <w:rPr>
          <w:spacing w:val="-64"/>
        </w:rPr>
      </w:r>
      <w:r>
        <w:rPr>
          <w:spacing w:val="-2"/>
        </w:rPr>
        <w:t>可使用或者可销售状态之后发生的，在发生时根据其发生额确认为费用，计入当期损益。一般借款发生的辅助费用，在发生</w:t>
      </w:r>
      <w:r>
        <w:rPr>
          <w:spacing w:val="-66"/>
        </w:rPr>
        <w:t> </w:t>
      </w:r>
      <w:r>
        <w:rPr>
          <w:spacing w:val="-66"/>
        </w:rPr>
      </w:r>
      <w:r>
        <w:rPr/>
        <w:t>时根据其发生额确认为费用，计入当期损益。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91" w:firstLine="290"/>
        <w:jc w:val="both"/>
      </w:pPr>
      <w:r>
        <w:rPr>
          <w:spacing w:val="-1"/>
        </w:rPr>
        <w:t>①外购无形资产的成本，包括购买价款、相关税费以及直接归属于使该项资产达到预定用途所发生的其他支出。购买无</w:t>
      </w:r>
      <w:r>
        <w:rPr/>
        <w:t> </w:t>
      </w:r>
      <w:r>
        <w:rPr>
          <w:spacing w:val="-2"/>
        </w:rPr>
        <w:t>形资产的价款超过正常信用条件延期支付，实质上具有融资性质的，无形资产的成本以购买价款的现值为基础确定。实际支</w:t>
      </w:r>
      <w:r>
        <w:rPr>
          <w:spacing w:val="-66"/>
        </w:rPr>
        <w:t> </w:t>
      </w:r>
      <w:r>
        <w:rPr>
          <w:spacing w:val="-66"/>
        </w:rPr>
      </w:r>
      <w:r>
        <w:rPr>
          <w:spacing w:val="-2"/>
        </w:rPr>
        <w:t>付的价款与购买价款的现值之间的差额，除按照《企业会计准则第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借款费用》可予以资本化的以外，在信用期间内</w:t>
      </w:r>
      <w:r>
        <w:rPr>
          <w:spacing w:val="-64"/>
        </w:rPr>
        <w:t> </w:t>
      </w:r>
      <w:r>
        <w:rPr>
          <w:spacing w:val="-64"/>
        </w:rPr>
      </w:r>
      <w:r>
        <w:rPr/>
        <w:t>计入当期损益。</w:t>
      </w:r>
    </w:p>
    <w:p>
      <w:pPr>
        <w:pStyle w:val="BodyText"/>
        <w:spacing w:line="240" w:lineRule="auto" w:before="142"/>
        <w:ind w:left="513" w:right="90"/>
        <w:jc w:val="left"/>
      </w:pPr>
      <w:r>
        <w:rPr/>
        <w:t>②投资者投入无形资产的成本，按照投资合同或协议约定的价值确定，但合同或协议约定价值不公允的除外。</w:t>
      </w:r>
    </w:p>
    <w:p>
      <w:pPr>
        <w:spacing w:after="0" w:line="240" w:lineRule="auto"/>
        <w:jc w:val="left"/>
        <w:sectPr>
          <w:footerReference w:type="default" r:id="rId18"/>
          <w:pgSz w:w="11910" w:h="16840"/>
          <w:pgMar w:footer="982" w:header="747" w:top="1060" w:bottom="1180" w:left="980" w:right="940"/>
          <w:pgNumType w:start="75"/>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③自行开发的无形资产</w:t>
      </w:r>
    </w:p>
    <w:p>
      <w:pPr>
        <w:spacing w:line="240" w:lineRule="auto" w:before="0"/>
        <w:rPr>
          <w:rFonts w:ascii="宋体" w:hAnsi="宋体" w:cs="宋体" w:eastAsia="宋体" w:hint="default"/>
          <w:sz w:val="15"/>
          <w:szCs w:val="15"/>
        </w:rPr>
      </w:pPr>
    </w:p>
    <w:p>
      <w:pPr>
        <w:pStyle w:val="BodyText"/>
        <w:spacing w:line="316" w:lineRule="auto"/>
        <w:ind w:left="153" w:right="151" w:firstLine="360"/>
        <w:jc w:val="both"/>
      </w:pPr>
      <w:r>
        <w:rPr>
          <w:spacing w:val="-2"/>
        </w:rPr>
        <w:t>本公司内部研究开发项目的支出，区分研究阶段支出与开发阶段支出。内部研究开发项目研究阶段的支出，于发生时计</w:t>
      </w:r>
      <w:r>
        <w:rPr/>
        <w:t> 入当期损益。内部研究开发项目开发阶段的支出，同时满足下列条件的，确认为无形资产：</w:t>
      </w:r>
    </w:p>
    <w:p>
      <w:pPr>
        <w:pStyle w:val="BodyText"/>
        <w:spacing w:line="415" w:lineRule="auto" w:before="139"/>
        <w:ind w:left="513" w:right="4376"/>
        <w:jc w:val="left"/>
      </w:pP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7"/>
        <w:ind w:left="153" w:right="150" w:firstLine="360"/>
        <w:jc w:val="both"/>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无形资产产生经济利益的方式，包括能够证明运用该无形资产生产的产品存在市场或无形资产自身存在市场，无形资</w:t>
      </w:r>
      <w:r>
        <w:rPr/>
        <w:t> 产将在内部使用的，证明其有用性。</w:t>
      </w:r>
    </w:p>
    <w:p>
      <w:pPr>
        <w:pStyle w:val="BodyText"/>
        <w:spacing w:line="432" w:lineRule="exact" w:before="16"/>
        <w:ind w:left="513" w:right="0"/>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w:t>
      </w:r>
      <w:r>
        <w:rPr>
          <w:spacing w:val="-2"/>
        </w:rPr>
        <w:t>自行开发的无形资产，其成本包括自满足无形资产确认规定后至达到预定用途前所发生的支出总额。以前期间已经费用</w:t>
      </w:r>
    </w:p>
    <w:p>
      <w:pPr>
        <w:pStyle w:val="BodyText"/>
        <w:spacing w:line="240" w:lineRule="auto" w:before="15"/>
        <w:ind w:left="153" w:right="0"/>
        <w:jc w:val="left"/>
      </w:pPr>
      <w:r>
        <w:rPr/>
        <w:t>化的支出不再调整。</w:t>
      </w:r>
    </w:p>
    <w:p>
      <w:pPr>
        <w:spacing w:line="240" w:lineRule="auto" w:before="0"/>
        <w:rPr>
          <w:rFonts w:ascii="宋体" w:hAnsi="宋体" w:cs="宋体" w:eastAsia="宋体" w:hint="default"/>
          <w:sz w:val="15"/>
          <w:szCs w:val="15"/>
        </w:rPr>
      </w:pPr>
    </w:p>
    <w:p>
      <w:pPr>
        <w:pStyle w:val="BodyText"/>
        <w:spacing w:line="300" w:lineRule="auto"/>
        <w:ind w:right="148" w:firstLine="360"/>
        <w:jc w:val="both"/>
      </w:pPr>
      <w:r>
        <w:rPr/>
        <w:t>④非货币性资产交换、债务重组、政府补助和企业合并取得的无形资产的成本，分别按照《企业会计准则第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 </w:t>
      </w:r>
      <w:r>
        <w:rPr>
          <w:spacing w:val="-2"/>
        </w:rPr>
        <w:t>货币性资产交换》、《企业会计准则第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政府补助》、《企业会计准则第</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企业合并》的有关规定确定。</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0" w:firstLine="360"/>
        <w:jc w:val="both"/>
      </w:pPr>
      <w:r>
        <w:rPr>
          <w:spacing w:val="-2"/>
        </w:rPr>
        <w:t>本公司于取得无形资产时分析判断其使用寿命。无形资产的使用寿命为有限的，估计该使用寿命的年限或者构成使用寿</w:t>
      </w:r>
      <w:r>
        <w:rPr/>
        <w:t> 命的产量等类似计量单位数量；无法预见无形资产为本公司带来经济利益期限的，视为使用寿命不确定的无形资产。</w:t>
      </w:r>
    </w:p>
    <w:p>
      <w:pPr>
        <w:pStyle w:val="BodyText"/>
        <w:spacing w:line="240" w:lineRule="auto" w:before="19"/>
        <w:ind w:left="444" w:right="0"/>
        <w:jc w:val="left"/>
      </w:pPr>
      <w:r>
        <w:rPr/>
        <w:t>使用寿命有限的无形资产，其应摊销金额在使用寿命内系统合理摊销。本公司采用直线法摊销。具体年限如下：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5072"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0" w:firstLine="290"/>
        <w:jc w:val="both"/>
      </w:pPr>
      <w:r>
        <w:rPr>
          <w:spacing w:val="-1"/>
        </w:rPr>
        <w:t>使用寿命确定的无形资产，在资产负债表日有迹象表明发生减值的，按照账面价值与可收回金额的差额计提相应的减值</w:t>
      </w:r>
      <w:r>
        <w:rPr/>
        <w:t> 准备；使用寿命不确定的无形资产和尚未达到可使用状态的无形资产，无论是否存在减值迹象，每年均进行减值测试。</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51" w:firstLine="290"/>
        <w:jc w:val="both"/>
      </w:pPr>
      <w:r>
        <w:rPr>
          <w:spacing w:val="-2"/>
        </w:rPr>
        <w:t>期末，根据无形资产预计可回收金额低于其账面价值的差额并按单项无形资产计提减值值准备。</w:t>
      </w:r>
      <w:r>
        <w:rPr>
          <w:spacing w:val="-26"/>
        </w:rPr>
        <w:t> </w:t>
      </w:r>
      <w:r>
        <w:rPr>
          <w:spacing w:val="-1"/>
        </w:rPr>
        <w:t>无形资产减值损失一经</w:t>
      </w:r>
      <w:r>
        <w:rPr/>
        <w:t> 确认，在以后会计期间不得转回。</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290"/>
        <w:jc w:val="both"/>
      </w:pPr>
      <w:r>
        <w:rPr/>
        <w:t>①</w:t>
      </w:r>
      <w:r>
        <w:rPr>
          <w:spacing w:val="-3"/>
        </w:rPr>
        <w:t> </w:t>
      </w:r>
      <w:r>
        <w:rPr>
          <w:spacing w:val="-2"/>
        </w:rPr>
        <w:t>公司内部研究阶段是指为获取并理解新的科学或技术知识而进行的独创性的有计划调查。内部研究开发项目研究阶段</w:t>
      </w:r>
      <w:r>
        <w:rPr/>
        <w:t> </w:t>
      </w:r>
      <w:r>
        <w:rPr>
          <w:spacing w:val="-2"/>
        </w:rPr>
        <w:t>的支出，公司在会计期末进行清理，根据实际情况，对于有合同项目的研发支出转入相应项目的生产成本，其他研发支出直</w:t>
      </w:r>
      <w:r>
        <w:rPr>
          <w:spacing w:val="-66"/>
        </w:rPr>
        <w:t> </w:t>
      </w:r>
      <w:r>
        <w:rPr>
          <w:spacing w:val="-66"/>
        </w:rPr>
      </w:r>
      <w:r>
        <w:rPr/>
        <w:t>接计入当期损益。</w:t>
      </w:r>
    </w:p>
    <w:p>
      <w:pPr>
        <w:pStyle w:val="BodyText"/>
        <w:spacing w:line="316" w:lineRule="auto" w:before="19"/>
        <w:ind w:left="153" w:right="151" w:firstLine="290"/>
        <w:jc w:val="both"/>
      </w:pPr>
      <w:r>
        <w:rPr/>
        <w:t>②</w:t>
      </w:r>
      <w:r>
        <w:rPr>
          <w:spacing w:val="-6"/>
        </w:rPr>
        <w:t> </w:t>
      </w:r>
      <w:r>
        <w:rPr>
          <w:spacing w:val="-2"/>
        </w:rPr>
        <w:t>公司开发阶段是指在进行商业性生产或使用前，将研究成果或其他知识应用于某项计划或设计，以生产出新的或具有</w:t>
      </w:r>
      <w:r>
        <w:rPr/>
        <w:t> 实质性改进的材料、装置、产品等。内部研究开发项目开发阶段的支出，同时满足下列条件的，确认为无形资产：</w:t>
      </w:r>
    </w:p>
    <w:p>
      <w:pPr>
        <w:pStyle w:val="BodyText"/>
        <w:spacing w:line="240" w:lineRule="auto" w:before="19"/>
        <w:ind w:left="516" w:right="0"/>
        <w:jc w:val="left"/>
      </w:pPr>
      <w:r>
        <w:rPr>
          <w:rFonts w:ascii="Times New Roman" w:hAnsi="Times New Roman" w:cs="Times New Roman" w:eastAsia="Times New Roman" w:hint="default"/>
        </w:rPr>
        <w:t>A</w:t>
      </w:r>
      <w:r>
        <w:rPr/>
        <w:t>、完成该无形资产以使其能够使用或出售在技术上具有可行性；</w:t>
      </w:r>
    </w:p>
    <w:p>
      <w:pPr>
        <w:spacing w:after="0" w:line="240" w:lineRule="auto"/>
        <w:jc w:val="left"/>
        <w:sectPr>
          <w:footerReference w:type="default" r:id="rId19"/>
          <w:pgSz w:w="11910" w:h="16840"/>
          <w:pgMar w:footer="982" w:header="747" w:top="1060" w:bottom="1180" w:left="980" w:right="980"/>
          <w:pgNumType w:start="76"/>
        </w:sectPr>
      </w:pPr>
    </w:p>
    <w:p>
      <w:pPr>
        <w:spacing w:line="240" w:lineRule="auto" w:before="12"/>
        <w:rPr>
          <w:rFonts w:ascii="宋体" w:hAnsi="宋体" w:cs="宋体" w:eastAsia="宋体" w:hint="default"/>
          <w:sz w:val="25"/>
          <w:szCs w:val="25"/>
        </w:rPr>
      </w:pPr>
    </w:p>
    <w:p>
      <w:pPr>
        <w:pStyle w:val="BodyText"/>
        <w:spacing w:line="300" w:lineRule="auto" w:before="44"/>
        <w:ind w:left="876" w:right="148"/>
        <w:jc w:val="left"/>
      </w:pP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、无形资产产生经济利益的方式，包括能够证明运用该无形资产生产的产品存在市场或无形资产自身存在市场，</w:t>
      </w:r>
    </w:p>
    <w:p>
      <w:pPr>
        <w:pStyle w:val="BodyText"/>
        <w:spacing w:line="309" w:lineRule="auto" w:before="13"/>
        <w:ind w:left="876" w:right="498" w:hanging="723"/>
        <w:jc w:val="left"/>
      </w:pPr>
      <w:r>
        <w:rPr/>
        <w:t>无形资产将在内部使用的，应当证明其有用性； </w:t>
      </w: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6"/>
        <w:rPr>
          <w:rFonts w:ascii="宋体" w:hAnsi="宋体" w:cs="宋体" w:eastAsia="宋体" w:hint="default"/>
          <w:sz w:val="21"/>
          <w:szCs w:val="21"/>
        </w:rPr>
      </w:pPr>
    </w:p>
    <w:p>
      <w:pPr>
        <w:pStyle w:val="Heading4"/>
        <w:spacing w:line="240" w:lineRule="auto"/>
        <w:ind w:right="9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90"/>
        <w:jc w:val="left"/>
      </w:pPr>
      <w:r>
        <w:rPr/>
        <w:t>无。</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长期待摊费用是指公司已经发生但应由本期和以后各期分担的分摊期限在一年以上（不含一年）的各项费用，包括以经</w:t>
      </w:r>
      <w:r>
        <w:rPr/>
        <w:t> 营租赁方式租入的固定资产改良支出等。</w:t>
      </w:r>
    </w:p>
    <w:p>
      <w:pPr>
        <w:pStyle w:val="BodyText"/>
        <w:spacing w:line="316" w:lineRule="auto" w:before="139"/>
        <w:ind w:left="153" w:right="90" w:firstLine="360"/>
        <w:jc w:val="left"/>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18</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当与对外担保、未决诉讼或仲裁、产品质量保证、裁员计划、亏损合同、重组义务、固定资产弃置义务等或有事项相关</w:t>
      </w:r>
      <w:r>
        <w:rPr/>
        <w:t> 的业务同时符合以下条件时，确认为负债：</w:t>
      </w:r>
    </w:p>
    <w:p>
      <w:pPr>
        <w:pStyle w:val="BodyText"/>
        <w:spacing w:line="240" w:lineRule="auto" w:before="139"/>
        <w:ind w:left="513" w:right="90"/>
        <w:jc w:val="left"/>
      </w:pPr>
      <w:r>
        <w:rPr/>
        <w:t>①该义务是本公司承担的现时义务。</w:t>
      </w:r>
    </w:p>
    <w:p>
      <w:pPr>
        <w:spacing w:line="240" w:lineRule="auto" w:before="0"/>
        <w:rPr>
          <w:rFonts w:ascii="宋体" w:hAnsi="宋体" w:cs="宋体" w:eastAsia="宋体" w:hint="default"/>
          <w:sz w:val="15"/>
          <w:szCs w:val="15"/>
        </w:rPr>
      </w:pPr>
    </w:p>
    <w:p>
      <w:pPr>
        <w:pStyle w:val="BodyText"/>
        <w:spacing w:line="240" w:lineRule="auto"/>
        <w:ind w:left="513" w:right="90"/>
        <w:jc w:val="left"/>
      </w:pPr>
      <w:r>
        <w:rPr/>
        <w:t>②该义务的履行很可能导致经济利益流出企业。</w:t>
      </w:r>
    </w:p>
    <w:p>
      <w:pPr>
        <w:spacing w:line="240" w:lineRule="auto" w:before="0"/>
        <w:rPr>
          <w:rFonts w:ascii="宋体" w:hAnsi="宋体" w:cs="宋体" w:eastAsia="宋体" w:hint="default"/>
          <w:sz w:val="15"/>
          <w:szCs w:val="15"/>
        </w:rPr>
      </w:pPr>
    </w:p>
    <w:p>
      <w:pPr>
        <w:pStyle w:val="BodyText"/>
        <w:spacing w:line="240" w:lineRule="auto"/>
        <w:ind w:left="513" w:right="90"/>
        <w:jc w:val="left"/>
      </w:pPr>
      <w:r>
        <w:rPr/>
        <w:t>③该义务的金额能够可靠地计量。</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预计负债按照履行现时义务所需支出的最佳估计数进行初始计量。所需支出存在一个连续范围，且该范围内各种结果发</w:t>
      </w:r>
      <w:r>
        <w:rPr/>
        <w:t> 生的可能性相同的最佳估计数按该范围的中间值确定；在其他情况下，最佳估计数按如下方法确定：</w:t>
      </w:r>
    </w:p>
    <w:p>
      <w:pPr>
        <w:pStyle w:val="BodyText"/>
        <w:spacing w:line="240" w:lineRule="auto" w:before="139"/>
        <w:ind w:left="513" w:right="90"/>
        <w:jc w:val="left"/>
      </w:pPr>
      <w:r>
        <w:rPr/>
        <w:t>①或有事项涉及单个项目时，最佳估计数按最可能发生金额确定。</w:t>
      </w:r>
    </w:p>
    <w:p>
      <w:pPr>
        <w:pStyle w:val="BodyText"/>
        <w:spacing w:line="430" w:lineRule="atLeast" w:before="2"/>
        <w:ind w:left="513" w:right="90"/>
        <w:jc w:val="left"/>
      </w:pPr>
      <w:r>
        <w:rPr/>
        <w:t>②或有事项涉及多个项目时，最佳估计数按各种可能发生额及其发生概率计算确定。 </w:t>
      </w:r>
      <w:r>
        <w:rPr>
          <w:spacing w:val="-2"/>
        </w:rPr>
        <w:t>公司清偿预计负债所需支出全部或部分预期由第三方或其他方补偿的，则补偿金额在基本确定能收到时，作为资产单独</w:t>
      </w:r>
    </w:p>
    <w:p>
      <w:pPr>
        <w:pStyle w:val="BodyText"/>
        <w:spacing w:line="240" w:lineRule="auto" w:before="76"/>
        <w:ind w:left="153" w:right="90"/>
        <w:jc w:val="left"/>
      </w:pPr>
      <w:r>
        <w:rPr/>
        <w:t>确认。确认的补偿金额不超过所确认预计负债的账面价值。</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19</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8"/>
        <w:rPr>
          <w:rFonts w:ascii="宋体" w:hAnsi="宋体" w:cs="宋体" w:eastAsia="宋体" w:hint="default"/>
          <w:b/>
          <w:bCs/>
          <w:sz w:val="26"/>
          <w:szCs w:val="26"/>
        </w:rPr>
      </w:pPr>
    </w:p>
    <w:p>
      <w:pPr>
        <w:pStyle w:val="BodyText"/>
        <w:tabs>
          <w:tab w:pos="3126" w:val="left" w:leader="none"/>
          <w:tab w:pos="5553" w:val="left" w:leader="none"/>
          <w:tab w:pos="5918" w:val="left" w:leader="none"/>
          <w:tab w:pos="9611" w:val="left" w:leader="none"/>
        </w:tabs>
        <w:spacing w:line="316" w:lineRule="auto"/>
        <w:ind w:left="153" w:right="108" w:firstLine="360"/>
        <w:jc w:val="left"/>
      </w:pPr>
      <w:r>
        <w:rPr/>
        <w:t>①企业已将商品所有权上的主要风险和报酬转移给购货方；</w:t>
        <w:tab/>
        <w:t>②企业既没有保留通常与所有权相联系的继续管理权， 也没有对已售出的商品实施控制；</w:t>
        <w:tab/>
        <w:t>③收入的金额能够可靠的计量；</w:t>
        <w:tab/>
        <w:t>④与交易相关的经济利益很可能流入企业；</w:t>
        <w:tab/>
        <w:t>⑤</w:t>
      </w:r>
    </w:p>
    <w:p>
      <w:pPr>
        <w:spacing w:after="0" w:line="316"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相关的已发生或将发生的成本能够可靠地计量。</w:t>
      </w:r>
    </w:p>
    <w:p>
      <w:pPr>
        <w:spacing w:line="240" w:lineRule="auto" w:before="10"/>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在满足相关的经济利益很可能流入企业和收入的金额能够可靠地计量等两个条件时，本公司分别以下情况确认收入：</w:t>
      </w:r>
    </w:p>
    <w:p>
      <w:pPr>
        <w:spacing w:line="240" w:lineRule="auto" w:before="0"/>
        <w:rPr>
          <w:rFonts w:ascii="宋体" w:hAnsi="宋体" w:cs="宋体" w:eastAsia="宋体" w:hint="default"/>
          <w:sz w:val="15"/>
          <w:szCs w:val="15"/>
        </w:rPr>
      </w:pPr>
    </w:p>
    <w:p>
      <w:pPr>
        <w:pStyle w:val="BodyText"/>
        <w:spacing w:line="240" w:lineRule="auto"/>
        <w:ind w:left="514" w:right="90"/>
        <w:jc w:val="left"/>
      </w:pPr>
      <w:r>
        <w:rPr/>
        <w:t>①利息收入按照他人使用本公司货币资金的时间和实际利率计算确定。</w:t>
      </w:r>
    </w:p>
    <w:p>
      <w:pPr>
        <w:spacing w:line="240" w:lineRule="auto" w:before="0"/>
        <w:rPr>
          <w:rFonts w:ascii="宋体" w:hAnsi="宋体" w:cs="宋体" w:eastAsia="宋体" w:hint="default"/>
          <w:sz w:val="15"/>
          <w:szCs w:val="15"/>
        </w:rPr>
      </w:pPr>
    </w:p>
    <w:p>
      <w:pPr>
        <w:pStyle w:val="BodyText"/>
        <w:spacing w:line="240" w:lineRule="auto"/>
        <w:ind w:left="514" w:right="90"/>
        <w:jc w:val="left"/>
      </w:pPr>
      <w:r>
        <w:rPr/>
        <w:t>②使用费收入按照有关合同或协议约定的收费时间和方法计算确定。</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①在同一会计年度内开始并完成的劳务，在完成劳务时确认收入。</w:t>
      </w:r>
    </w:p>
    <w:p>
      <w:pPr>
        <w:spacing w:line="240" w:lineRule="auto" w:before="0"/>
        <w:rPr>
          <w:rFonts w:ascii="宋体" w:hAnsi="宋体" w:cs="宋体" w:eastAsia="宋体" w:hint="default"/>
          <w:sz w:val="15"/>
          <w:szCs w:val="15"/>
        </w:rPr>
      </w:pPr>
    </w:p>
    <w:p>
      <w:pPr>
        <w:pStyle w:val="BodyText"/>
        <w:spacing w:line="316" w:lineRule="auto"/>
        <w:ind w:left="153" w:right="190" w:firstLine="360"/>
        <w:jc w:val="both"/>
      </w:pPr>
      <w:r>
        <w:rPr>
          <w:spacing w:val="-2"/>
        </w:rPr>
        <w:t>②如劳务的开始和完成分属不同的会计年度，在提供劳务交易的结果能够可靠估计的情况下，在资产负债表日按完工百</w:t>
      </w:r>
      <w:r>
        <w:rPr/>
        <w:t> </w:t>
      </w:r>
      <w:r>
        <w:rPr>
          <w:spacing w:val="-2"/>
        </w:rPr>
        <w:t>分比法确认相关劳务收入。在提供劳务交易的结果不能可靠估计的情况下，在资产负债表日按已经发生并预计能够补偿的劳</w:t>
      </w:r>
      <w:r>
        <w:rPr>
          <w:spacing w:val="-64"/>
        </w:rPr>
        <w:t> </w:t>
      </w:r>
      <w:r>
        <w:rPr>
          <w:spacing w:val="-64"/>
        </w:rPr>
      </w:r>
      <w:r>
        <w:rPr/>
        <w:t>务成本金额确认收入。</w:t>
      </w:r>
    </w:p>
    <w:p>
      <w:pPr>
        <w:pStyle w:val="BodyText"/>
        <w:spacing w:line="427" w:lineRule="auto" w:before="139"/>
        <w:ind w:left="513" w:right="4771"/>
        <w:jc w:val="left"/>
      </w:pPr>
      <w:r>
        <w:rPr/>
        <w:t>在同时满足下列条件的情况下，表明其结果能够可靠估计： </w:t>
      </w:r>
      <w:r>
        <w:rPr>
          <w:rFonts w:ascii="Times New Roman" w:hAnsi="Times New Roman" w:cs="Times New Roman" w:eastAsia="Times New Roman" w:hint="default"/>
        </w:rPr>
        <w:t>A.</w:t>
      </w:r>
      <w:r>
        <w:rPr/>
        <w:t>与合同相关的经济利益很可能流入企业； </w:t>
      </w:r>
      <w:r>
        <w:rPr>
          <w:rFonts w:ascii="Times New Roman" w:hAnsi="Times New Roman" w:cs="Times New Roman" w:eastAsia="Times New Roman" w:hint="default"/>
        </w:rPr>
        <w:t>B.</w:t>
      </w:r>
      <w:r>
        <w:rPr/>
        <w:t>实际发生的合同成本能够清楚地区分和可靠地计量；</w:t>
      </w:r>
    </w:p>
    <w:p>
      <w:pPr>
        <w:pStyle w:val="BodyText"/>
        <w:spacing w:line="300" w:lineRule="auto" w:before="27"/>
        <w:ind w:left="153" w:right="191" w:firstLine="360"/>
        <w:jc w:val="both"/>
      </w:pPr>
      <w:r>
        <w:rPr>
          <w:rFonts w:ascii="Times New Roman" w:hAnsi="Times New Roman" w:cs="Times New Roman" w:eastAsia="Times New Roman" w:hint="default"/>
        </w:rPr>
        <w:t>C.</w:t>
      </w:r>
      <w:r>
        <w:rPr/>
        <w:t>固定造价合同还必须同时满足合同总收入能够可靠计量及合同完工进度和为完成合同尚需发生的成本能够可靠地确 定。</w:t>
      </w:r>
    </w:p>
    <w:p>
      <w:pPr>
        <w:spacing w:line="240" w:lineRule="auto" w:before="6"/>
        <w:rPr>
          <w:rFonts w:ascii="宋体" w:hAnsi="宋体" w:cs="宋体" w:eastAsia="宋体" w:hint="default"/>
          <w:sz w:val="23"/>
          <w:szCs w:val="23"/>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90"/>
        <w:jc w:val="left"/>
      </w:pPr>
      <w:r>
        <w:rPr/>
        <w:t>按累计实际发生的合同成本占合同预计总成本的比例确定合同完工进度。</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20</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1" w:firstLine="360"/>
        <w:jc w:val="both"/>
      </w:pPr>
      <w:r>
        <w:rPr>
          <w:spacing w:val="-2"/>
        </w:rPr>
        <w:t>政府补助，是指本公司从政府无偿取得货币性资产或非货币性资产，但不包括政府作为所有者投入的资本。政府补助分</w:t>
      </w:r>
      <w:r>
        <w:rPr/>
        <w:t> 为与资产相关的政府补助和与收益相关的政府补助。</w:t>
      </w:r>
      <w:r>
        <w:rPr>
          <w:spacing w:val="7"/>
        </w:rPr>
        <w:t> </w:t>
      </w:r>
      <w:r>
        <w:rPr/>
        <w:t>与资产相关的政府补助，是指本公司取得的、用于购建或以其他方</w:t>
      </w:r>
      <w:r>
        <w:rPr/>
        <w:t> 式形成长期资产的政府补助；与收益相关的政府补助，是指除与资产相关的政府补助之外的政府补助。</w:t>
      </w: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只有在能够满足政府补助所附条件以及能够收到时，本公司才确认政府补助。本公司收到的货币性政府补助，按照收到</w:t>
      </w:r>
      <w:r>
        <w:rPr/>
        <w:t> 或应收的金额计量；收到的非货币性政府补助，按照公允价值计量；公允价值不能可靠取得的，按照名义金额计量。</w:t>
      </w:r>
    </w:p>
    <w:p>
      <w:pPr>
        <w:pStyle w:val="BodyText"/>
        <w:spacing w:line="316" w:lineRule="auto" w:before="139"/>
        <w:ind w:right="108" w:firstLine="360"/>
        <w:jc w:val="both"/>
      </w:pPr>
      <w:r>
        <w:rPr/>
        <w:t>本公司收到的与资产相关的政府补助，在收到时确认为递延收益，并在相关资产使用寿命内平均分配，计入当期损益。 但是，按照名义金额计量的政府补助，直接计入当期损益。</w:t>
      </w:r>
    </w:p>
    <w:p>
      <w:pPr>
        <w:pStyle w:val="BodyText"/>
        <w:spacing w:line="316" w:lineRule="auto" w:before="139"/>
        <w:ind w:right="191" w:firstLine="360"/>
        <w:jc w:val="both"/>
      </w:pPr>
      <w:r>
        <w:rPr>
          <w:spacing w:val="-2"/>
        </w:rPr>
        <w:t>本公司收到的与收益相关的政府补助，如果用于补偿本公司以后期间的相关费用或损失，则确认为递延收益，并在确认</w:t>
      </w:r>
      <w:r>
        <w:rPr/>
        <w:t> 相关费用的期间，计入当期损益；如果用于补偿本公司已发生的相关费用或损失的，直接计入当期损益。</w:t>
      </w:r>
    </w:p>
    <w:p>
      <w:pPr>
        <w:pStyle w:val="BodyText"/>
        <w:spacing w:line="240" w:lineRule="auto" w:before="139"/>
        <w:ind w:left="514" w:right="90"/>
        <w:jc w:val="left"/>
      </w:pPr>
      <w:r>
        <w:rPr>
          <w:spacing w:val="-4"/>
        </w:rPr>
        <w:t>本公司已确认的政府补助需要返还的，如果存在相关递延收益，则冲减相关递延收益账面余额，超出部分计入当期损益；</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不存在相关递延收益时，直接将返还的金额计入当期损益。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0" w:firstLine="360"/>
        <w:jc w:val="both"/>
      </w:pPr>
      <w:r>
        <w:rPr>
          <w:spacing w:val="-2"/>
        </w:rPr>
        <w:t>资产、负债的账面价值与其计税基础不同产生可抵扣暂时性差异，在估计未来期间能够取得足够的应纳税所得额用以利</w:t>
      </w:r>
      <w:r>
        <w:rPr/>
        <w:t> </w:t>
      </w:r>
      <w:r>
        <w:rPr>
          <w:spacing w:val="-2"/>
        </w:rPr>
        <w:t>用该可抵扣暂时性差异时，以很可能取得用来抵扣可抵扣暂时性差异的应纳税所得额为限，按照预计该可抵扣暂时性差异转</w:t>
      </w:r>
      <w:r>
        <w:rPr>
          <w:spacing w:val="-64"/>
        </w:rPr>
        <w:t> </w:t>
      </w:r>
      <w:r>
        <w:rPr>
          <w:spacing w:val="-64"/>
        </w:rPr>
      </w:r>
      <w:r>
        <w:rPr/>
        <w:t>回期间的适用税率计算确认递延所得税资产。</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50" w:firstLine="360"/>
        <w:jc w:val="both"/>
      </w:pPr>
      <w:r>
        <w:rPr>
          <w:spacing w:val="-2"/>
        </w:rPr>
        <w:t>资产、负债的账面价值与其计税基础不同产生应纳税暂时性差异，按照预计该应纳税暂时性差异转回期间的适用税率计</w:t>
      </w:r>
      <w:r>
        <w:rPr/>
        <w:t> 算确认递延所得税负债。</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23</w:t>
      </w:r>
      <w:r>
        <w:rPr/>
        <w:t>、前期会计差错更正</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38" w:lineRule="auto" w:before="116"/>
        <w:ind w:left="444" w:right="8659" w:hanging="2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253" w:right="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254" w:right="31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54" w:right="31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营业税应税收入</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254" w:right="310"/>
        <w:jc w:val="left"/>
      </w:pPr>
      <w:r>
        <w:rPr/>
        <w:t>各分公司、分厂执行的所得税税率</w:t>
      </w:r>
    </w:p>
    <w:p>
      <w:pPr>
        <w:spacing w:line="240" w:lineRule="auto" w:before="11"/>
        <w:rPr>
          <w:rFonts w:ascii="宋体" w:hAnsi="宋体" w:cs="宋体" w:eastAsia="宋体" w:hint="default"/>
          <w:sz w:val="26"/>
          <w:szCs w:val="26"/>
        </w:rPr>
      </w:pPr>
    </w:p>
    <w:p>
      <w:pPr>
        <w:pStyle w:val="Heading4"/>
        <w:spacing w:line="240" w:lineRule="auto"/>
        <w:ind w:left="254" w:right="31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253" w:right="411" w:firstLine="290"/>
        <w:jc w:val="both"/>
      </w:pPr>
      <w:r>
        <w:rPr>
          <w:spacing w:val="-1"/>
        </w:rPr>
        <w:t>本公司经成都市高新技术企业认定管理机构认定为高新技术企业，取得</w:t>
      </w:r>
      <w:r>
        <w:rPr>
          <w:rFonts w:ascii="Times New Roman" w:hAnsi="Times New Roman" w:cs="Times New Roman" w:eastAsia="Times New Roman" w:hint="default"/>
          <w:spacing w:val="-1"/>
        </w:rPr>
        <w:t>“GF201151000392”</w:t>
      </w:r>
      <w:r>
        <w:rPr>
          <w:spacing w:val="-1"/>
        </w:rPr>
        <w:t>号高新技术企业证书，有效期</w:t>
      </w:r>
      <w:r>
        <w:rPr/>
        <w:t> 三年，</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年度享受国家高新技术企业</w:t>
      </w:r>
      <w:r>
        <w:rPr>
          <w:rFonts w:ascii="Times New Roman" w:hAnsi="Times New Roman" w:cs="Times New Roman" w:eastAsia="Times New Roman" w:hint="default"/>
        </w:rPr>
        <w:t>15%</w:t>
      </w:r>
      <w:r>
        <w:rPr/>
        <w:t>的所得税税率。</w:t>
      </w:r>
    </w:p>
    <w:p>
      <w:pPr>
        <w:pStyle w:val="BodyText"/>
        <w:spacing w:line="240" w:lineRule="auto" w:before="133"/>
        <w:ind w:left="613" w:right="310"/>
        <w:jc w:val="left"/>
      </w:pPr>
      <w:r>
        <w:rPr>
          <w:spacing w:val="5"/>
        </w:rPr>
        <w:t>本公司控股子公司上海卫士通网络安全有限公司，经上海市高新技术企业认定管理机构认定为高新技术企业，取得</w:t>
      </w:r>
    </w:p>
    <w:p>
      <w:pPr>
        <w:pStyle w:val="BodyText"/>
        <w:spacing w:line="415" w:lineRule="auto" w:before="76"/>
        <w:ind w:left="614" w:right="310" w:hanging="360"/>
        <w:jc w:val="left"/>
      </w:pPr>
      <w:r>
        <w:rPr>
          <w:rFonts w:ascii="Times New Roman" w:hAnsi="Times New Roman" w:cs="Times New Roman" w:eastAsia="Times New Roman" w:hint="default"/>
        </w:rPr>
        <w:t>“GF201131000637”</w:t>
      </w:r>
      <w:r>
        <w:rPr/>
        <w:t>号高新技术企业证书，有效期三年，</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年度享受国家高新技术企业</w:t>
      </w:r>
      <w:r>
        <w:rPr>
          <w:rFonts w:ascii="Times New Roman" w:hAnsi="Times New Roman" w:cs="Times New Roman" w:eastAsia="Times New Roman" w:hint="default"/>
        </w:rPr>
        <w:t>15%</w:t>
      </w:r>
      <w:r>
        <w:rPr/>
        <w:t>的所得税税率。 本公司控股子公司四川卫士通信息安全平台技术有限公司，经四川省高新技术企业认定管理机构认定为高新技术企业，</w:t>
      </w:r>
    </w:p>
    <w:p>
      <w:pPr>
        <w:pStyle w:val="BodyText"/>
        <w:spacing w:line="194" w:lineRule="exact"/>
        <w:ind w:left="254" w:right="310"/>
        <w:jc w:val="left"/>
      </w:pPr>
      <w:r>
        <w:rPr/>
        <w:t>取得</w:t>
      </w:r>
      <w:r>
        <w:rPr>
          <w:rFonts w:ascii="Times New Roman" w:hAnsi="Times New Roman" w:cs="Times New Roman" w:eastAsia="Times New Roman" w:hint="default"/>
        </w:rPr>
        <w:t>“GF201151000281”</w:t>
      </w:r>
      <w:r>
        <w:rPr/>
        <w:t>号高新技术企业证书，有效期三年，</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年度享受国家高新技术企业</w:t>
      </w:r>
      <w:r>
        <w:rPr>
          <w:rFonts w:ascii="Times New Roman" w:hAnsi="Times New Roman" w:cs="Times New Roman" w:eastAsia="Times New Roman" w:hint="default"/>
        </w:rPr>
        <w:t>15%</w:t>
      </w:r>
      <w:r>
        <w:rPr/>
        <w:t>的所得税税率。</w:t>
      </w:r>
    </w:p>
    <w:p>
      <w:pPr>
        <w:pStyle w:val="BodyText"/>
        <w:spacing w:line="300" w:lineRule="auto" w:before="63"/>
        <w:ind w:left="253" w:right="410" w:firstLine="290"/>
        <w:jc w:val="both"/>
      </w:pPr>
      <w:r>
        <w:rPr/>
        <w:t>本公司全资子公司成都卫士通信息安全技术有限公司，依据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[2011]58</w:t>
      </w:r>
      <w:r>
        <w:rPr/>
        <w:t>号</w:t>
      </w:r>
      <w:r>
        <w:rPr>
          <w:rFonts w:ascii="Times New Roman" w:hAnsi="Times New Roman" w:cs="Times New Roman" w:eastAsia="Times New Roman" w:hint="default"/>
        </w:rPr>
        <w:t>”</w:t>
      </w:r>
      <w:r>
        <w:rPr/>
        <w:t>《关于深入实施西部大开发战略有关税收</w:t>
      </w:r>
      <w:r>
        <w:rPr>
          <w:spacing w:val="1"/>
        </w:rPr>
        <w:t> </w:t>
      </w:r>
      <w:r>
        <w:rPr>
          <w:spacing w:val="-1"/>
        </w:rPr>
        <w:t>政策问题的通知》规定，自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日，享受设在西部地区的鼓励类产业企业减按</w:t>
      </w:r>
      <w:r>
        <w:rPr>
          <w:rFonts w:ascii="Times New Roman" w:hAnsi="Times New Roman" w:cs="Times New Roman" w:eastAsia="Times New Roman" w:hint="default"/>
          <w:spacing w:val="-1"/>
        </w:rPr>
        <w:t>15%</w:t>
      </w:r>
      <w:r>
        <w:rPr>
          <w:spacing w:val="-1"/>
        </w:rPr>
        <w:t>的税率征收企业</w:t>
      </w:r>
      <w:r>
        <w:rPr>
          <w:spacing w:val="-81"/>
        </w:rPr>
        <w:t> </w:t>
      </w:r>
      <w:r>
        <w:rPr/>
        <w:t>所得税的税收优惠。</w:t>
      </w:r>
    </w:p>
    <w:p>
      <w:pPr>
        <w:spacing w:line="240" w:lineRule="auto" w:before="6"/>
        <w:rPr>
          <w:rFonts w:ascii="宋体" w:hAnsi="宋体" w:cs="宋体" w:eastAsia="宋体" w:hint="default"/>
          <w:sz w:val="23"/>
          <w:szCs w:val="23"/>
        </w:rPr>
      </w:pPr>
    </w:p>
    <w:p>
      <w:pPr>
        <w:pStyle w:val="Heading4"/>
        <w:spacing w:line="240" w:lineRule="auto"/>
        <w:ind w:left="254" w:right="31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54" w:right="411" w:firstLine="360"/>
        <w:jc w:val="both"/>
      </w:pPr>
      <w:r>
        <w:rPr>
          <w:spacing w:val="-2"/>
        </w:rPr>
        <w:t>（</w:t>
      </w:r>
      <w:r>
        <w:rPr>
          <w:rFonts w:ascii="Times New Roman" w:hAnsi="Times New Roman" w:cs="Times New Roman" w:eastAsia="Times New Roman" w:hint="default"/>
          <w:spacing w:val="-2"/>
        </w:rPr>
        <w:t>1</w:t>
      </w:r>
      <w:r>
        <w:rPr>
          <w:spacing w:val="-2"/>
        </w:rPr>
        <w:t>）根据财税【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号《财政部、国家税务总局关于软件产品增值税政策的通知》文件，本公司销售软件产品实</w:t>
      </w:r>
      <w:r>
        <w:rPr/>
        <w:t> 行增值税即征即退政策，本期收到增值税退税款</w:t>
      </w:r>
      <w:r>
        <w:rPr>
          <w:rFonts w:ascii="Times New Roman" w:hAnsi="Times New Roman" w:cs="Times New Roman" w:eastAsia="Times New Roman" w:hint="default"/>
        </w:rPr>
        <w:t>17,231,400.54</w:t>
      </w:r>
      <w:r>
        <w:rPr/>
        <w:t>元。</w:t>
      </w:r>
    </w:p>
    <w:p>
      <w:pPr>
        <w:pStyle w:val="BodyText"/>
        <w:spacing w:line="240" w:lineRule="auto" w:before="133"/>
        <w:ind w:left="613" w:right="310"/>
        <w:jc w:val="left"/>
      </w:pPr>
      <w:r>
        <w:rPr/>
        <w:t>（</w:t>
      </w:r>
      <w:r>
        <w:rPr>
          <w:rFonts w:ascii="Times New Roman" w:hAnsi="Times New Roman" w:cs="Times New Roman" w:eastAsia="Times New Roman" w:hint="default"/>
        </w:rPr>
        <w:t>2</w:t>
      </w:r>
      <w:r>
        <w:rPr/>
        <w:t>）本公司控股子公司上海卫士通网络安全有限公司适用城建税税率为</w:t>
      </w:r>
      <w:r>
        <w:rPr>
          <w:rFonts w:ascii="Times New Roman" w:hAnsi="Times New Roman" w:cs="Times New Roman" w:eastAsia="Times New Roman" w:hint="default"/>
        </w:rPr>
        <w:t>1%</w:t>
      </w:r>
      <w:r>
        <w:rPr/>
        <w:t>。</w:t>
      </w:r>
    </w:p>
    <w:p>
      <w:pPr>
        <w:spacing w:line="240" w:lineRule="auto" w:before="13"/>
        <w:rPr>
          <w:rFonts w:ascii="宋体" w:hAnsi="宋体" w:cs="宋体" w:eastAsia="宋体" w:hint="default"/>
          <w:sz w:val="13"/>
          <w:szCs w:val="13"/>
        </w:rPr>
      </w:pPr>
    </w:p>
    <w:p>
      <w:pPr>
        <w:pStyle w:val="BodyText"/>
        <w:spacing w:line="300" w:lineRule="auto"/>
        <w:ind w:left="253" w:right="408" w:firstLine="360"/>
        <w:jc w:val="both"/>
      </w:pPr>
      <w:r>
        <w:rPr/>
        <w:t>（</w:t>
      </w:r>
      <w:r>
        <w:rPr>
          <w:rFonts w:ascii="Times New Roman" w:hAnsi="Times New Roman" w:cs="Times New Roman" w:eastAsia="Times New Roman" w:hint="default"/>
        </w:rPr>
        <w:t>3</w:t>
      </w:r>
      <w:r>
        <w:rPr/>
        <w:t>）根据成都市税务局《关于实施价格调节基金减征政策的通知》，本公司和成都地区子公司自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日起，价 格调节基金税率由</w:t>
      </w:r>
      <w:r>
        <w:rPr>
          <w:rFonts w:ascii="Times New Roman" w:hAnsi="Times New Roman" w:cs="Times New Roman" w:eastAsia="Times New Roman" w:hint="default"/>
        </w:rPr>
        <w:t>1‰</w:t>
      </w:r>
      <w:r>
        <w:rPr/>
        <w:t>下调到</w:t>
      </w:r>
      <w:r>
        <w:rPr>
          <w:rFonts w:ascii="Times New Roman" w:hAnsi="Times New Roman" w:cs="Times New Roman" w:eastAsia="Times New Roman" w:hint="default"/>
        </w:rPr>
        <w:t>0.7 ‰</w:t>
      </w:r>
      <w:r>
        <w:rPr/>
        <w:t>。</w:t>
      </w:r>
    </w:p>
    <w:p>
      <w:pPr>
        <w:spacing w:line="240" w:lineRule="auto" w:before="4"/>
        <w:rPr>
          <w:rFonts w:ascii="宋体" w:hAnsi="宋体" w:cs="宋体" w:eastAsia="宋体" w:hint="default"/>
          <w:sz w:val="20"/>
          <w:szCs w:val="20"/>
        </w:rPr>
      </w:pPr>
    </w:p>
    <w:p>
      <w:pPr>
        <w:pStyle w:val="Heading2"/>
        <w:spacing w:line="240" w:lineRule="auto"/>
        <w:ind w:left="254" w:right="31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31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31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41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09"/>
        <w:gridCol w:w="566"/>
        <w:gridCol w:w="568"/>
        <w:gridCol w:w="851"/>
        <w:gridCol w:w="566"/>
        <w:gridCol w:w="1134"/>
        <w:gridCol w:w="530"/>
        <w:gridCol w:w="683"/>
        <w:gridCol w:w="630"/>
        <w:gridCol w:w="568"/>
        <w:gridCol w:w="566"/>
        <w:gridCol w:w="568"/>
        <w:gridCol w:w="850"/>
        <w:gridCol w:w="1276"/>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9"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从母公司所有</w:t>
            </w:r>
          </w:p>
        </w:tc>
      </w:tr>
    </w:tbl>
    <w:p>
      <w:pPr>
        <w:spacing w:after="0" w:line="240" w:lineRule="auto"/>
        <w:jc w:val="left"/>
        <w:rPr>
          <w:rFonts w:ascii="宋体" w:hAnsi="宋体" w:cs="宋体" w:eastAsia="宋体" w:hint="default"/>
          <w:sz w:val="18"/>
          <w:szCs w:val="18"/>
        </w:rPr>
        <w:sectPr>
          <w:pgSz w:w="11910" w:h="16840"/>
          <w:pgMar w:header="747" w:footer="982" w:top="1060" w:bottom="1180" w:left="880" w:right="720"/>
        </w:sectPr>
      </w:pPr>
    </w:p>
    <w:p>
      <w:pPr>
        <w:spacing w:line="240" w:lineRule="auto" w:before="0"/>
        <w:rPr>
          <w:rFonts w:ascii="Times New Roman" w:hAnsi="Times New Roman" w:cs="Times New Roman" w:eastAsia="Times New Roman" w:hint="default"/>
          <w:sz w:val="20"/>
          <w:szCs w:val="20"/>
        </w:rPr>
      </w:pPr>
      <w:r>
        <w:rPr/>
        <w:pict>
          <v:shape style="position:absolute;margin-left:160.440002pt;margin-top:297.899994pt;width:52pt;height:144.450pt;mso-position-horizontal-relative:page;mso-position-vertical-relative:page;z-index:-859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销售、</w:t>
                  </w:r>
                </w:p>
              </w:txbxContent>
            </v:textbox>
            <w10:wrap type="none"/>
          </v:shape>
        </w:pict>
      </w:r>
      <w:r>
        <w:rPr/>
        <w:pict>
          <v:shape style="position:absolute;margin-left:160.440002pt;margin-top:442.799988pt;width:52pt;height:191.25pt;mso-position-horizontal-relative:page;mso-position-vertical-relative:page;z-index:-859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0"/>
                    <w:ind w:left="0" w:right="0"/>
                    <w:jc w:val="left"/>
                  </w:pPr>
                  <w:r>
                    <w:rPr/>
                    <w:t>销售、</w:t>
                  </w:r>
                </w:p>
              </w:txbxContent>
            </v:textbox>
            <w10:wrap type="none"/>
          </v:shape>
        </w:pict>
      </w:r>
      <w:r>
        <w:rPr/>
        <w:pict>
          <v:shape style="position:absolute;margin-left:160.440002pt;margin-top:634.5pt;width:52pt;height:128.85pt;mso-position-horizontal-relative:page;mso-position-vertical-relative:page;z-index:-859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7"/>
                    <w:ind w:left="0" w:right="0"/>
                    <w:jc w:val="left"/>
                  </w:pPr>
                  <w:r>
                    <w:rPr/>
                    <w:t>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709"/>
        <w:gridCol w:w="566"/>
        <w:gridCol w:w="568"/>
        <w:gridCol w:w="851"/>
        <w:gridCol w:w="566"/>
        <w:gridCol w:w="1134"/>
        <w:gridCol w:w="530"/>
        <w:gridCol w:w="683"/>
        <w:gridCol w:w="630"/>
        <w:gridCol w:w="568"/>
        <w:gridCol w:w="566"/>
        <w:gridCol w:w="568"/>
        <w:gridCol w:w="850"/>
        <w:gridCol w:w="1276"/>
      </w:tblGrid>
      <w:tr>
        <w:trPr>
          <w:trHeight w:val="322" w:hRule="exact"/>
        </w:trPr>
        <w:tc>
          <w:tcPr>
            <w:tcW w:w="70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司类</w:t>
            </w: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地</w:t>
            </w:r>
          </w:p>
        </w:tc>
        <w:tc>
          <w:tcPr>
            <w:tcW w:w="851" w:type="dxa"/>
            <w:vMerge w:val="restart"/>
            <w:tcBorders>
              <w:top w:val="single" w:sz="4" w:space="0" w:color="000000"/>
              <w:left w:val="single" w:sz="4" w:space="0" w:color="000000"/>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134" w:type="dxa"/>
            <w:vMerge w:val="restart"/>
            <w:tcBorders>
              <w:top w:val="single" w:sz="4" w:space="0" w:color="000000"/>
              <w:left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实际</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96"/>
              <w:jc w:val="right"/>
              <w:rPr>
                <w:rFonts w:ascii="宋体" w:hAnsi="宋体" w:cs="宋体" w:eastAsia="宋体" w:hint="default"/>
                <w:sz w:val="18"/>
                <w:szCs w:val="18"/>
              </w:rPr>
            </w:pPr>
            <w:r>
              <w:rPr>
                <w:rFonts w:ascii="宋体" w:hAnsi="宋体" w:cs="宋体" w:eastAsia="宋体" w:hint="default"/>
                <w:sz w:val="18"/>
                <w:szCs w:val="18"/>
              </w:rPr>
              <w:t>合并</w:t>
            </w: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权益中用</w:t>
            </w: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者权益冲减子</w:t>
            </w:r>
          </w:p>
        </w:tc>
      </w:tr>
      <w:tr>
        <w:trPr>
          <w:trHeight w:val="312" w:hRule="exact"/>
        </w:trPr>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30"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53"/>
              <w:jc w:val="righ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96"/>
              <w:jc w:val="right"/>
              <w:rPr>
                <w:rFonts w:ascii="宋体" w:hAnsi="宋体" w:cs="宋体" w:eastAsia="宋体" w:hint="default"/>
                <w:sz w:val="18"/>
                <w:szCs w:val="18"/>
              </w:rPr>
            </w:pPr>
            <w:r>
              <w:rPr>
                <w:rFonts w:ascii="宋体" w:hAnsi="宋体" w:cs="宋体" w:eastAsia="宋体" w:hint="default"/>
                <w:sz w:val="18"/>
                <w:szCs w:val="18"/>
              </w:rPr>
              <w:t>报表</w:t>
            </w:r>
          </w:p>
        </w:tc>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59" w:right="0"/>
              <w:jc w:val="left"/>
              <w:rPr>
                <w:rFonts w:ascii="宋体" w:hAnsi="宋体" w:cs="宋体" w:eastAsia="宋体" w:hint="default"/>
                <w:sz w:val="18"/>
                <w:szCs w:val="18"/>
              </w:rPr>
            </w:pPr>
            <w:r>
              <w:rPr>
                <w:rFonts w:ascii="宋体" w:hAnsi="宋体" w:cs="宋体" w:eastAsia="宋体" w:hint="default"/>
                <w:sz w:val="18"/>
                <w:szCs w:val="18"/>
              </w:rPr>
              <w:t>于冲减少</w:t>
            </w: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公司少数股东</w:t>
            </w:r>
          </w:p>
        </w:tc>
      </w:tr>
      <w:tr>
        <w:trPr>
          <w:trHeight w:val="307" w:hRule="exact"/>
        </w:trPr>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630"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59" w:right="0"/>
              <w:jc w:val="left"/>
              <w:rPr>
                <w:rFonts w:ascii="宋体" w:hAnsi="宋体" w:cs="宋体" w:eastAsia="宋体" w:hint="default"/>
                <w:sz w:val="18"/>
                <w:szCs w:val="18"/>
              </w:rPr>
            </w:pPr>
            <w:r>
              <w:rPr>
                <w:rFonts w:ascii="宋体" w:hAnsi="宋体" w:cs="宋体" w:eastAsia="宋体" w:hint="default"/>
                <w:sz w:val="18"/>
                <w:szCs w:val="18"/>
              </w:rPr>
              <w:t>数股东损</w:t>
            </w: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分担的本期亏</w:t>
            </w:r>
          </w:p>
        </w:tc>
      </w:tr>
      <w:tr>
        <w:trPr>
          <w:trHeight w:val="312" w:hRule="exact"/>
        </w:trPr>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630"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59"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损超过少数股</w:t>
            </w:r>
          </w:p>
        </w:tc>
      </w:tr>
      <w:tr>
        <w:trPr>
          <w:trHeight w:val="311" w:hRule="exact"/>
        </w:trPr>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30"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东在该子公司</w:t>
            </w:r>
          </w:p>
        </w:tc>
      </w:tr>
      <w:tr>
        <w:trPr>
          <w:trHeight w:val="313" w:hRule="exact"/>
        </w:trPr>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30"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年初所有者权</w:t>
            </w:r>
          </w:p>
        </w:tc>
      </w:tr>
      <w:tr>
        <w:trPr>
          <w:trHeight w:val="312" w:hRule="exact"/>
        </w:trPr>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30"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568"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益中所享有份</w:t>
            </w:r>
          </w:p>
        </w:tc>
      </w:tr>
      <w:tr>
        <w:trPr>
          <w:trHeight w:val="357" w:hRule="exact"/>
        </w:trPr>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196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上海卫 士通网 络安全 有限公 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上海 市</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信息安全 产品销 售、集成 及服务</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网络集成、通 信技术专业 的</w:t>
            </w:r>
            <w:r>
              <w:rPr>
                <w:rFonts w:ascii="Times New Roman" w:hAnsi="Times New Roman" w:cs="Times New Roman" w:eastAsia="Times New Roman" w:hint="default"/>
                <w:sz w:val="18"/>
                <w:szCs w:val="18"/>
              </w:rPr>
              <w:t>"</w:t>
            </w:r>
            <w:r>
              <w:rPr>
                <w:rFonts w:ascii="宋体" w:hAnsi="宋体" w:cs="宋体" w:eastAsia="宋体" w:hint="default"/>
                <w:sz w:val="18"/>
                <w:szCs w:val="18"/>
              </w:rPr>
              <w:t>四技</w:t>
            </w:r>
            <w:r>
              <w:rPr>
                <w:rFonts w:ascii="Times New Roman" w:hAnsi="Times New Roman" w:cs="Times New Roman" w:eastAsia="Times New Roman" w:hint="default"/>
                <w:sz w:val="18"/>
                <w:szCs w:val="18"/>
              </w:rPr>
              <w:t>"</w:t>
            </w:r>
            <w:r>
              <w:rPr>
                <w:rFonts w:ascii="宋体" w:hAnsi="宋体" w:cs="宋体" w:eastAsia="宋体" w:hint="default"/>
                <w:sz w:val="18"/>
                <w:szCs w:val="18"/>
              </w:rPr>
              <w:t>服 务，通信安全 产品的开发、 生产和销售。</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2,186,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83"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1,941,</w:t>
            </w:r>
          </w:p>
          <w:p>
            <w:pPr>
              <w:pStyle w:val="TableParagraph"/>
              <w:spacing w:line="240" w:lineRule="auto" w:before="105"/>
              <w:ind w:left="39" w:right="0"/>
              <w:jc w:val="left"/>
              <w:rPr>
                <w:rFonts w:ascii="Times New Roman" w:hAnsi="Times New Roman" w:cs="Times New Roman" w:eastAsia="Times New Roman" w:hint="default"/>
                <w:sz w:val="18"/>
                <w:szCs w:val="18"/>
              </w:rPr>
            </w:pPr>
            <w:r>
              <w:rPr>
                <w:rFonts w:ascii="Times New Roman"/>
                <w:sz w:val="18"/>
              </w:rPr>
              <w:t>325.56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568" w:type="dxa"/>
            <w:tcBorders>
              <w:top w:val="single" w:sz="4" w:space="0" w:color="000000"/>
              <w:left w:val="single" w:sz="4" w:space="0" w:color="000000"/>
              <w:bottom w:val="nil" w:sz="6" w:space="0" w:color="auto"/>
              <w:right w:val="single" w:sz="4" w:space="0" w:color="000000"/>
            </w:tcBorders>
            <w:shd w:val="clear" w:color="auto" w:fill="C7EDCC"/>
          </w:tcPr>
          <w:p>
            <w:pPr/>
          </w:p>
        </w:tc>
        <w:tc>
          <w:tcPr>
            <w:tcW w:w="85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通信保密与</w:t>
            </w:r>
          </w:p>
        </w:tc>
        <w:tc>
          <w:tcPr>
            <w:tcW w:w="530"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r>
      <w:tr>
        <w:trPr>
          <w:trHeight w:val="2184"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四川卫 士通信 息安全 平台技 术有限 公司</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5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成都 市</w:t>
            </w:r>
          </w:p>
        </w:tc>
        <w:tc>
          <w:tcPr>
            <w:tcW w:w="8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96"/>
              <w:jc w:val="left"/>
              <w:rPr>
                <w:rFonts w:ascii="宋体" w:hAnsi="宋体" w:cs="宋体" w:eastAsia="宋体" w:hint="default"/>
                <w:sz w:val="18"/>
                <w:szCs w:val="18"/>
              </w:rPr>
            </w:pPr>
            <w:r>
              <w:rPr>
                <w:rFonts w:ascii="宋体" w:hAnsi="宋体" w:cs="宋体" w:eastAsia="宋体" w:hint="default"/>
                <w:sz w:val="18"/>
                <w:szCs w:val="18"/>
              </w:rPr>
              <w:t>信息安全 产品、开 发、 集成及服 务</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信息安全技 术开发；信息 网络与多媒 体终端及系 统的产品开 发、生产、销 售及工程建</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15,89</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5,143.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06</w:t>
            </w: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1" w:right="0"/>
              <w:jc w:val="left"/>
              <w:rPr>
                <w:rFonts w:ascii="Times New Roman" w:hAnsi="Times New Roman" w:cs="Times New Roman" w:eastAsia="Times New Roman" w:hint="default"/>
                <w:sz w:val="18"/>
                <w:szCs w:val="18"/>
              </w:rPr>
            </w:pPr>
            <w:r>
              <w:rPr>
                <w:rFonts w:ascii="Times New Roman"/>
                <w:sz w:val="18"/>
              </w:rPr>
              <w:t>72.74%</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57" w:hRule="exact"/>
        </w:trPr>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568" w:type="dxa"/>
            <w:tcBorders>
              <w:top w:val="nil" w:sz="6" w:space="0" w:color="auto"/>
              <w:left w:val="single" w:sz="4" w:space="0" w:color="000000"/>
              <w:bottom w:val="single" w:sz="4" w:space="0" w:color="000000"/>
              <w:right w:val="single" w:sz="4" w:space="0" w:color="000000"/>
            </w:tcBorders>
            <w:shd w:val="clear" w:color="auto" w:fill="C7EDCC"/>
          </w:tcPr>
          <w:p>
            <w:pPr/>
          </w:p>
        </w:tc>
        <w:tc>
          <w:tcPr>
            <w:tcW w:w="85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设等。</w:t>
            </w:r>
          </w:p>
        </w:tc>
        <w:tc>
          <w:tcPr>
            <w:tcW w:w="530"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357" w:hRule="exact"/>
        </w:trPr>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568" w:type="dxa"/>
            <w:tcBorders>
              <w:top w:val="single" w:sz="4" w:space="0" w:color="000000"/>
              <w:left w:val="single" w:sz="4" w:space="0" w:color="000000"/>
              <w:bottom w:val="nil" w:sz="6" w:space="0" w:color="auto"/>
              <w:right w:val="single" w:sz="4" w:space="0" w:color="000000"/>
            </w:tcBorders>
            <w:shd w:val="clear" w:color="auto" w:fill="C7EDCC"/>
          </w:tcPr>
          <w:p>
            <w:pPr/>
          </w:p>
        </w:tc>
        <w:tc>
          <w:tcPr>
            <w:tcW w:w="85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信息安全技</w:t>
            </w:r>
          </w:p>
        </w:tc>
        <w:tc>
          <w:tcPr>
            <w:tcW w:w="530"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r>
      <w:tr>
        <w:trPr>
          <w:trHeight w:val="311"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568" w:type="dxa"/>
            <w:tcBorders>
              <w:top w:val="nil" w:sz="6" w:space="0" w:color="auto"/>
              <w:left w:val="single" w:sz="4" w:space="0" w:color="000000"/>
              <w:bottom w:val="nil" w:sz="6" w:space="0" w:color="auto"/>
              <w:right w:val="single" w:sz="4" w:space="0" w:color="000000"/>
            </w:tcBorders>
            <w:shd w:val="clear" w:color="auto" w:fill="C7EDCC"/>
          </w:tcPr>
          <w:p>
            <w:pPr/>
          </w:p>
        </w:tc>
        <w:tc>
          <w:tcPr>
            <w:tcW w:w="851"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术开发，技术</w:t>
            </w:r>
          </w:p>
        </w:tc>
        <w:tc>
          <w:tcPr>
            <w:tcW w:w="530"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568" w:type="dxa"/>
            <w:tcBorders>
              <w:top w:val="nil" w:sz="6" w:space="0" w:color="auto"/>
              <w:left w:val="single" w:sz="4" w:space="0" w:color="000000"/>
              <w:bottom w:val="nil" w:sz="6" w:space="0" w:color="auto"/>
              <w:right w:val="single" w:sz="4" w:space="0" w:color="000000"/>
            </w:tcBorders>
            <w:shd w:val="clear" w:color="auto" w:fill="C7EDCC"/>
          </w:tcPr>
          <w:p>
            <w:pPr/>
          </w:p>
        </w:tc>
        <w:tc>
          <w:tcPr>
            <w:tcW w:w="851"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服务；销售计</w:t>
            </w:r>
          </w:p>
        </w:tc>
        <w:tc>
          <w:tcPr>
            <w:tcW w:w="530"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872"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成都卫 士通信 息安全 技术有 限公司</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5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成都 市</w:t>
            </w:r>
          </w:p>
        </w:tc>
        <w:tc>
          <w:tcPr>
            <w:tcW w:w="8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产品开 发、 集成及服 务</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算机软硬件 及辅助设备、 通信设备（不 含无线电发 </w:t>
            </w:r>
            <w:r>
              <w:rPr>
                <w:rFonts w:ascii="宋体" w:hAnsi="宋体" w:cs="宋体" w:eastAsia="宋体" w:hint="default"/>
                <w:spacing w:val="-15"/>
                <w:sz w:val="18"/>
                <w:szCs w:val="18"/>
              </w:rPr>
              <w:t>射设备）、电</w:t>
            </w:r>
            <w:r>
              <w:rPr>
                <w:rFonts w:ascii="宋体" w:hAnsi="宋体" w:cs="宋体" w:eastAsia="宋体" w:hint="default"/>
                <w:sz w:val="18"/>
                <w:szCs w:val="18"/>
              </w:rPr>
              <w:t> 子产品；信息</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568" w:type="dxa"/>
            <w:tcBorders>
              <w:top w:val="nil" w:sz="6" w:space="0" w:color="auto"/>
              <w:left w:val="single" w:sz="4" w:space="0" w:color="000000"/>
              <w:bottom w:val="nil" w:sz="6" w:space="0" w:color="auto"/>
              <w:right w:val="single" w:sz="4" w:space="0" w:color="000000"/>
            </w:tcBorders>
            <w:shd w:val="clear" w:color="auto" w:fill="C7EDCC"/>
          </w:tcPr>
          <w:p>
            <w:pPr/>
          </w:p>
        </w:tc>
        <w:tc>
          <w:tcPr>
            <w:tcW w:w="851"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安全系统集</w:t>
            </w:r>
          </w:p>
        </w:tc>
        <w:tc>
          <w:tcPr>
            <w:tcW w:w="530"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3"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568" w:type="dxa"/>
            <w:tcBorders>
              <w:top w:val="nil" w:sz="6" w:space="0" w:color="auto"/>
              <w:left w:val="single" w:sz="4" w:space="0" w:color="000000"/>
              <w:bottom w:val="nil" w:sz="6" w:space="0" w:color="auto"/>
              <w:right w:val="single" w:sz="4" w:space="0" w:color="000000"/>
            </w:tcBorders>
            <w:shd w:val="clear" w:color="auto" w:fill="C7EDCC"/>
          </w:tcPr>
          <w:p>
            <w:pPr/>
          </w:p>
        </w:tc>
        <w:tc>
          <w:tcPr>
            <w:tcW w:w="851"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成及技术咨</w:t>
            </w:r>
          </w:p>
        </w:tc>
        <w:tc>
          <w:tcPr>
            <w:tcW w:w="530"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57" w:hRule="exact"/>
        </w:trPr>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568" w:type="dxa"/>
            <w:tcBorders>
              <w:top w:val="nil" w:sz="6" w:space="0" w:color="auto"/>
              <w:left w:val="single" w:sz="4" w:space="0" w:color="000000"/>
              <w:bottom w:val="single" w:sz="4" w:space="0" w:color="000000"/>
              <w:right w:val="single" w:sz="4" w:space="0" w:color="000000"/>
            </w:tcBorders>
            <w:shd w:val="clear" w:color="auto" w:fill="C7EDCC"/>
          </w:tcPr>
          <w:p>
            <w:pPr/>
          </w:p>
        </w:tc>
        <w:tc>
          <w:tcPr>
            <w:tcW w:w="85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w:t>
            </w:r>
          </w:p>
        </w:tc>
        <w:tc>
          <w:tcPr>
            <w:tcW w:w="530"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357" w:hRule="exact"/>
        </w:trPr>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568" w:type="dxa"/>
            <w:tcBorders>
              <w:top w:val="single" w:sz="4" w:space="0" w:color="000000"/>
              <w:left w:val="single" w:sz="4" w:space="0" w:color="000000"/>
              <w:bottom w:val="nil" w:sz="6" w:space="0" w:color="auto"/>
              <w:right w:val="single" w:sz="4" w:space="0" w:color="000000"/>
            </w:tcBorders>
            <w:shd w:val="clear" w:color="auto" w:fill="C7EDCC"/>
          </w:tcPr>
          <w:p>
            <w:pPr/>
          </w:p>
        </w:tc>
        <w:tc>
          <w:tcPr>
            <w:tcW w:w="85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网络设备、计</w:t>
            </w:r>
          </w:p>
        </w:tc>
        <w:tc>
          <w:tcPr>
            <w:tcW w:w="530"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r>
      <w:tr>
        <w:trPr>
          <w:trHeight w:val="1873"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34"/>
              <w:jc w:val="both"/>
              <w:rPr>
                <w:rFonts w:ascii="宋体" w:hAnsi="宋体" w:cs="宋体" w:eastAsia="宋体" w:hint="default"/>
                <w:sz w:val="18"/>
                <w:szCs w:val="18"/>
              </w:rPr>
            </w:pPr>
            <w:r>
              <w:rPr>
                <w:rFonts w:ascii="宋体" w:hAnsi="宋体" w:cs="宋体" w:eastAsia="宋体" w:hint="default"/>
                <w:sz w:val="18"/>
                <w:szCs w:val="18"/>
              </w:rPr>
              <w:t>成都三 零豪赛 网络安 全技术 有限公 司</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5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成都 市</w:t>
            </w:r>
          </w:p>
        </w:tc>
        <w:tc>
          <w:tcPr>
            <w:tcW w:w="8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产品开 发、 集成及服 务</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算机软硬件、 电子产品的 开发、生产、 销售、工程建 设；工程集成 和技术服务</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56" w:hRule="exact"/>
        </w:trPr>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568" w:type="dxa"/>
            <w:tcBorders>
              <w:top w:val="nil" w:sz="6" w:space="0" w:color="auto"/>
              <w:left w:val="single" w:sz="4" w:space="0" w:color="000000"/>
              <w:bottom w:val="single" w:sz="4" w:space="0" w:color="000000"/>
              <w:right w:val="single" w:sz="4" w:space="0" w:color="000000"/>
            </w:tcBorders>
            <w:shd w:val="clear" w:color="auto" w:fill="C7EDCC"/>
          </w:tcPr>
          <w:p>
            <w:pPr/>
          </w:p>
        </w:tc>
        <w:tc>
          <w:tcPr>
            <w:tcW w:w="85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530"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880" w:right="7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709"/>
        <w:gridCol w:w="566"/>
        <w:gridCol w:w="568"/>
        <w:gridCol w:w="851"/>
        <w:gridCol w:w="566"/>
        <w:gridCol w:w="1134"/>
        <w:gridCol w:w="530"/>
        <w:gridCol w:w="683"/>
        <w:gridCol w:w="630"/>
        <w:gridCol w:w="568"/>
        <w:gridCol w:w="566"/>
        <w:gridCol w:w="568"/>
        <w:gridCol w:w="850"/>
        <w:gridCol w:w="1276"/>
      </w:tblGrid>
      <w:tr>
        <w:trPr>
          <w:trHeight w:val="358" w:hRule="exact"/>
        </w:trPr>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568" w:type="dxa"/>
            <w:tcBorders>
              <w:top w:val="single" w:sz="4" w:space="0" w:color="000000"/>
              <w:left w:val="single" w:sz="4" w:space="0" w:color="000000"/>
              <w:bottom w:val="nil" w:sz="6" w:space="0" w:color="auto"/>
              <w:right w:val="single" w:sz="4" w:space="0" w:color="000000"/>
            </w:tcBorders>
            <w:shd w:val="clear" w:color="auto" w:fill="C7EDCC"/>
          </w:tcPr>
          <w:p>
            <w:pPr/>
          </w:p>
        </w:tc>
        <w:tc>
          <w:tcPr>
            <w:tcW w:w="851"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计算机领域</w:t>
            </w:r>
          </w:p>
        </w:tc>
        <w:tc>
          <w:tcPr>
            <w:tcW w:w="530"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r>
      <w:tr>
        <w:trPr>
          <w:trHeight w:val="312"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568" w:type="dxa"/>
            <w:tcBorders>
              <w:top w:val="nil" w:sz="6" w:space="0" w:color="auto"/>
              <w:left w:val="single" w:sz="4" w:space="0" w:color="000000"/>
              <w:bottom w:val="nil" w:sz="6" w:space="0" w:color="auto"/>
              <w:right w:val="single" w:sz="4" w:space="0" w:color="000000"/>
            </w:tcBorders>
            <w:shd w:val="clear" w:color="auto" w:fill="C7EDCC"/>
          </w:tcPr>
          <w:p>
            <w:pPr/>
          </w:p>
        </w:tc>
        <w:tc>
          <w:tcPr>
            <w:tcW w:w="851"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内的技术开</w:t>
            </w:r>
          </w:p>
        </w:tc>
        <w:tc>
          <w:tcPr>
            <w:tcW w:w="530"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560"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成都摩 宝网络 科技有 限公司</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7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5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成都 市</w:t>
            </w:r>
          </w:p>
        </w:tc>
        <w:tc>
          <w:tcPr>
            <w:tcW w:w="8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计算机领 域内的技 术开发及 服务</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101,16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发、技术转 让、技术咨 询、技术服 务；计算机网 络信息技术</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2" w:right="0"/>
              <w:jc w:val="left"/>
              <w:rPr>
                <w:rFonts w:ascii="Times New Roman" w:hAnsi="Times New Roman" w:cs="Times New Roman" w:eastAsia="Times New Roman" w:hint="default"/>
                <w:sz w:val="18"/>
                <w:szCs w:val="18"/>
              </w:rPr>
            </w:pPr>
            <w:r>
              <w:rPr>
                <w:rFonts w:ascii="Times New Roman"/>
                <w:sz w:val="18"/>
              </w:rPr>
              <w:t>17,17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5,215.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05</w:t>
            </w: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24.39%</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49,189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3"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568" w:type="dxa"/>
            <w:tcBorders>
              <w:top w:val="nil" w:sz="6" w:space="0" w:color="auto"/>
              <w:left w:val="single" w:sz="4" w:space="0" w:color="000000"/>
              <w:bottom w:val="nil" w:sz="6" w:space="0" w:color="auto"/>
              <w:right w:val="single" w:sz="4" w:space="0" w:color="000000"/>
            </w:tcBorders>
            <w:shd w:val="clear" w:color="auto" w:fill="C7EDCC"/>
          </w:tcPr>
          <w:p>
            <w:pPr/>
          </w:p>
        </w:tc>
        <w:tc>
          <w:tcPr>
            <w:tcW w:w="851"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服务和咨询</w:t>
            </w:r>
          </w:p>
        </w:tc>
        <w:tc>
          <w:tcPr>
            <w:tcW w:w="530"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56" w:hRule="exact"/>
        </w:trPr>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568" w:type="dxa"/>
            <w:tcBorders>
              <w:top w:val="nil" w:sz="6" w:space="0" w:color="auto"/>
              <w:left w:val="single" w:sz="4" w:space="0" w:color="000000"/>
              <w:bottom w:val="single" w:sz="4" w:space="0" w:color="000000"/>
              <w:right w:val="single" w:sz="4" w:space="0" w:color="000000"/>
            </w:tcBorders>
            <w:shd w:val="clear" w:color="auto" w:fill="C7EDCC"/>
          </w:tcPr>
          <w:p>
            <w:pPr/>
          </w:p>
        </w:tc>
        <w:tc>
          <w:tcPr>
            <w:tcW w:w="851"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530"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254" w:right="310"/>
        <w:jc w:val="left"/>
      </w:pPr>
      <w:r>
        <w:rPr/>
        <w:t>通过设立或投资等方式取得的子公司的其他说明</w:t>
      </w:r>
    </w:p>
    <w:p>
      <w:pPr>
        <w:spacing w:line="240" w:lineRule="auto" w:before="11"/>
        <w:rPr>
          <w:rFonts w:ascii="宋体" w:hAnsi="宋体" w:cs="宋体" w:eastAsia="宋体" w:hint="default"/>
          <w:sz w:val="26"/>
          <w:szCs w:val="26"/>
        </w:rPr>
      </w:pPr>
    </w:p>
    <w:p>
      <w:pPr>
        <w:pStyle w:val="Heading4"/>
        <w:spacing w:line="240" w:lineRule="auto"/>
        <w:ind w:left="254" w:right="31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4" w:right="3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254" w:right="310"/>
        <w:jc w:val="left"/>
      </w:pPr>
      <w:r>
        <w:rPr>
          <w:spacing w:val="-3"/>
        </w:rPr>
        <w:t>与上年相比本年（期）减少合并单位</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家，原因为：根据原控股子公司沈阳卫士通网络安全有限责任公司股东会决议，该公</w:t>
      </w:r>
    </w:p>
    <w:p>
      <w:pPr>
        <w:pStyle w:val="BodyText"/>
        <w:spacing w:line="240" w:lineRule="auto" w:before="64"/>
        <w:ind w:left="254" w:right="310"/>
        <w:jc w:val="left"/>
      </w:pPr>
      <w:r>
        <w:rPr/>
        <w:t>司于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日实施清算，故自该日起不再将其纳入合并财务报表范围，截至报告日工商注销登记手续尚在办理中。</w:t>
      </w:r>
    </w:p>
    <w:p>
      <w:pPr>
        <w:spacing w:line="240" w:lineRule="auto" w:before="9"/>
        <w:rPr>
          <w:rFonts w:ascii="宋体" w:hAnsi="宋体" w:cs="宋体" w:eastAsia="宋体" w:hint="default"/>
          <w:sz w:val="25"/>
          <w:szCs w:val="25"/>
        </w:rPr>
      </w:pPr>
    </w:p>
    <w:p>
      <w:pPr>
        <w:pStyle w:val="Heading4"/>
        <w:spacing w:line="240" w:lineRule="auto"/>
        <w:ind w:left="254" w:right="31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54" w:right="310"/>
        <w:jc w:val="left"/>
      </w:pPr>
      <w:r>
        <w:rPr/>
        <w:t>本期不再纳入合并范围的子公司、特殊目的主体、通过受托经营或承租等方式形成控制权的经营实体</w:t>
      </w:r>
    </w:p>
    <w:p>
      <w:pPr>
        <w:pStyle w:val="BodyText"/>
        <w:spacing w:line="240" w:lineRule="auto" w:before="116"/>
        <w:ind w:left="0" w:right="411"/>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沈阳卫士通网络安全有限责任公司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7" w:right="0"/>
              <w:jc w:val="left"/>
              <w:rPr>
                <w:rFonts w:ascii="Times New Roman" w:hAnsi="Times New Roman" w:cs="Times New Roman" w:eastAsia="Times New Roman" w:hint="default"/>
                <w:sz w:val="18"/>
                <w:szCs w:val="18"/>
              </w:rPr>
            </w:pPr>
            <w:r>
              <w:rPr>
                <w:rFonts w:ascii="Times New Roman"/>
                <w:sz w:val="18"/>
              </w:rPr>
              <w:t>1,557,880.65</w:t>
            </w:r>
          </w:p>
        </w:tc>
      </w:tr>
    </w:tbl>
    <w:p>
      <w:pPr>
        <w:spacing w:line="240" w:lineRule="auto" w:before="2"/>
        <w:rPr>
          <w:rFonts w:ascii="宋体" w:hAnsi="宋体" w:cs="宋体" w:eastAsia="宋体" w:hint="default"/>
          <w:sz w:val="18"/>
          <w:szCs w:val="18"/>
        </w:rPr>
      </w:pPr>
    </w:p>
    <w:p>
      <w:pPr>
        <w:pStyle w:val="Heading2"/>
        <w:spacing w:line="240" w:lineRule="auto" w:before="26"/>
        <w:ind w:left="254" w:right="31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31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224,748.15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198,508.06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224,748.15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198,508.06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385,900,253.17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366,051,378.82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385,900,253.17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366,051,378.82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3,326,546.39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1,972,337.81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3,326,546.39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1,972,337.81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389,451,547.71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368,222,224.69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880" w:right="72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10,188,950.00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10,188,950.00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233,269,88</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1.85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24,032,454.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204,310,7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18,157,266.5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233,269,88</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1.85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24,032,454.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204,310,7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18,157,266.5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w:t>
            </w:r>
          </w:p>
        </w:tc>
      </w:tr>
      <w:tr>
        <w:trPr>
          <w:trHeight w:val="1026"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1,791,179.0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1,791,179.0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235,061,06</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0.85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25,823,633.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204,310,7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80.70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18,157,266.5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57" w:lineRule="auto" w:before="51"/>
        <w:ind w:left="153" w:right="-19"/>
        <w:jc w:val="left"/>
      </w:pPr>
      <w:r>
        <w:rPr/>
        <w:t>应收账款种类的说明 期末单项金额重大并单项计提坏账准备的应收账款</w:t>
      </w:r>
    </w:p>
    <w:p>
      <w:pPr>
        <w:pStyle w:val="BodyText"/>
        <w:spacing w:line="338"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1"/>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164,984,442.38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70.73%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8,249,222.12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172,196,410.18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8,609,820.50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47,531,150.66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20.38%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4,753,115.06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16,387,921.22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1,638,792.12</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9,349,781.23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4.01%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2,804,934.37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7,924,145.10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2,377,243.53</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174,690,507.58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4.88%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8,225,182.77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7,802,304.20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5,531,410.40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5,295,261.10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2.27%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2,647,630.55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3,810,110.00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1,905,055.00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2,658,471.28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2,126,777.02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1,829,194.00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1,463,355.20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3,450,775.20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3,450,775.20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2,163,000.20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2,163,000.20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233,269,881.85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24,032,454.32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204,310,780.70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18,157,266.55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组合中，采用余额百分比法计提坏账准备的应收账款</w:t>
      </w:r>
    </w:p>
    <w:p>
      <w:pPr>
        <w:pStyle w:val="BodyText"/>
        <w:spacing w:line="338" w:lineRule="auto" w:before="117"/>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1,791,179.00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1,791,179.00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预计未来现金流量现值 低于其账面价值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1,791,179.00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1,791,179.00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700"/>
        <w:gridCol w:w="1559"/>
        <w:gridCol w:w="1320"/>
        <w:gridCol w:w="1727"/>
      </w:tblGrid>
      <w:tr>
        <w:trPr>
          <w:trHeight w:val="402" w:hRule="exact"/>
        </w:trPr>
        <w:tc>
          <w:tcPr>
            <w:tcW w:w="32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262" w:type="dxa"/>
            <w:vMerge/>
            <w:tcBorders>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12,133,513.31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606,675.67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9,833,564.54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515,851.84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12,133,513.31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606,675.67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9,833,564.54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515,851.84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417"/>
        <w:gridCol w:w="1277"/>
        <w:gridCol w:w="1700"/>
        <w:gridCol w:w="2340"/>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云南省人民检察院</w:t>
            </w:r>
          </w:p>
        </w:tc>
        <w:tc>
          <w:tcPr>
            <w:tcW w:w="14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15,520,000.00</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中国航空综合技术研究所</w:t>
            </w:r>
          </w:p>
        </w:tc>
        <w:tc>
          <w:tcPr>
            <w:tcW w:w="14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12,706,000.00</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w:t>
            </w:r>
          </w:p>
        </w:tc>
      </w:tr>
      <w:tr>
        <w:trPr>
          <w:trHeight w:val="715"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 所</w:t>
            </w:r>
          </w:p>
        </w:tc>
        <w:tc>
          <w:tcPr>
            <w:tcW w:w="14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12,133,513.31</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417"/>
        <w:gridCol w:w="1277"/>
        <w:gridCol w:w="1700"/>
        <w:gridCol w:w="234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浙江省委信息中心</w:t>
            </w:r>
          </w:p>
        </w:tc>
        <w:tc>
          <w:tcPr>
            <w:tcW w:w="14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8,477,000.00</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新疆兵团信息中心</w:t>
            </w:r>
          </w:p>
        </w:tc>
        <w:tc>
          <w:tcPr>
            <w:tcW w:w="14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8,204,589.74</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60,049,103.05</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2410"/>
        <w:gridCol w:w="1609"/>
        <w:gridCol w:w="243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12,133,513.31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941,950.00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3,259,199.10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822,748.00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815,331.20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495,480.00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161,485.00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125,200.00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97,029.06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39,839.97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中国电子科技集团公司第二十一研究所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中国电子科技集团公司第二十三研究所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中国电子科技集团公司第二十六研究所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20,157.00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中国电子科技集团公司第四十八研究所</w:t>
            </w:r>
          </w:p>
        </w:tc>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22,298,382.64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17,582,863.9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3,697,497.68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19,720,510.1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2,589,318.42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13.13%</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17,582,863.9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3,697,497.68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19,720,510.1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2,589,318.42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13.13%</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1,114,112.70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1,114,112.70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79,759.50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79,759.50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18,696,976.6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4,811,610.38</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19,800,269.6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2,669,077.92</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7,420,312.52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371,015.63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12,194,964.35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609,748.21</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7,420,312.52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371,015.63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12,194,964.35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609,748.21</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4,324,173.80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432,417.38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4,917,834.52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491,783.46</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3,620,462.98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1,086,138.89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792,851.00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237,855.30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2,217,914.60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1,807,925.78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181,486,025.00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1,249,931.45</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540,966.00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270,483.00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822,345.77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411,172.89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697,529.12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558,023.30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768,779.60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615,023.68</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979,419.48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979,419.48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223,734.88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223,734.88</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17,582,863.90</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3,697,497.68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19,720,510.12</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2,589,318.42</w:t>
            </w:r>
          </w:p>
        </w:tc>
      </w:tr>
    </w:tbl>
    <w:p>
      <w:pPr>
        <w:pStyle w:val="BodyText"/>
        <w:spacing w:line="240" w:lineRule="auto" w:before="51"/>
        <w:ind w:right="0"/>
        <w:jc w:val="left"/>
      </w:pPr>
      <w:r>
        <w:rPr/>
        <w:t>组合中，采用余额百分比法计提坏账准备的其他应收款</w:t>
      </w:r>
    </w:p>
    <w:p>
      <w:pPr>
        <w:pStyle w:val="BodyText"/>
        <w:spacing w:line="340"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240" w:lineRule="auto" w:before="44"/>
        <w:ind w:left="153" w:right="-19"/>
        <w:jc w:val="left"/>
      </w:pPr>
      <w:r>
        <w:rPr/>
        <w:t>期末单项金额虽不重大但单项计提坏账准备的其他应收款</w:t>
      </w:r>
    </w:p>
    <w:p>
      <w:pPr>
        <w:pStyle w:val="BodyText"/>
        <w:spacing w:line="240"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4" w:space="417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778,652.00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778,652.00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预计未来现金流量现值 低于其账面价值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1,114,112.70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1,114,112.70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甘肃省政府采购中心</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1,895,000.00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中共陕西省委办公厅</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青海省电化教育馆</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851,000.00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中国航空工业集团公司</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中国交通通信信息中心</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462,300.00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4,818,300.00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872"/>
        <w:gridCol w:w="2430"/>
        <w:gridCol w:w="243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8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6" w:right="0"/>
              <w:jc w:val="left"/>
              <w:rPr>
                <w:rFonts w:ascii="Times New Roman" w:hAnsi="Times New Roman" w:cs="Times New Roman" w:eastAsia="Times New Roman" w:hint="default"/>
                <w:sz w:val="18"/>
                <w:szCs w:val="18"/>
              </w:rPr>
            </w:pPr>
            <w:r>
              <w:rPr>
                <w:rFonts w:ascii="Times New Roman"/>
                <w:sz w:val="18"/>
              </w:rPr>
              <w:t>261,354.00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7,541,098.67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8,420,752.69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71.97%</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1,068,945.25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2,909,459.23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242,775.59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217,714.04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315,212.01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9,070,533.55</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11,700,623.93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预付款项账龄的说明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700"/>
        <w:gridCol w:w="1702"/>
        <w:gridCol w:w="1418"/>
        <w:gridCol w:w="1914"/>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四川华西建筑装饰工程有限公司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四川冠美家具有限责任公司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1,143,265.50</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1,018,930.89</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深圳市泰纳电子科技开发有限公司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697,000.00</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成都鑫峰汇信息工程有限公司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413,070.00</w:t>
            </w:r>
          </w:p>
        </w:tc>
        <w:tc>
          <w:tcPr>
            <w:tcW w:w="141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pStyle w:val="BodyText"/>
        <w:spacing w:line="338" w:lineRule="auto" w:before="51"/>
        <w:ind w:left="153" w:right="4191"/>
        <w:jc w:val="left"/>
      </w:pPr>
      <w:r>
        <w:rPr/>
        <w:t>预付款项主要单位的说明 四川华西建筑装饰工程有限公司为我公司南区办公楼装修工程承包商； 四川冠美家具有限责任公司为我公司办公家具供应商；</w:t>
      </w:r>
    </w:p>
    <w:p>
      <w:pPr>
        <w:pStyle w:val="BodyText"/>
        <w:spacing w:line="316" w:lineRule="auto" w:before="2"/>
        <w:ind w:left="153" w:right="4551"/>
        <w:jc w:val="left"/>
      </w:pPr>
      <w:r>
        <w:rPr/>
        <w:t>成都三零盛安信息系统有限公司为我公司元器件供应商； 深圳市泰纳电子科技开发有限公司为我公司固定资产设备供应商； 成都鑫峰汇信息工程有限公司为我公司固定资产设备供应商。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70"/>
        <w:jc w:val="left"/>
      </w:pPr>
      <w:r>
        <w:rPr/>
        <w:t>本报告期末公司预付款项余额</w:t>
      </w:r>
      <w:r>
        <w:rPr>
          <w:rFonts w:ascii="Times New Roman" w:hAnsi="Times New Roman" w:cs="Times New Roman" w:eastAsia="Times New Roman" w:hint="default"/>
        </w:rPr>
        <w:t>9,070,533.55</w:t>
      </w:r>
      <w:r>
        <w:rPr/>
        <w:t>元，其中账龄在一年以内的占比</w:t>
      </w:r>
      <w:r>
        <w:rPr>
          <w:rFonts w:ascii="Times New Roman" w:hAnsi="Times New Roman" w:cs="Times New Roman" w:eastAsia="Times New Roman" w:hint="default"/>
        </w:rPr>
        <w:t>83.14%</w:t>
      </w:r>
      <w:r>
        <w:rPr/>
        <w:t>。预付款项的主要内容为南区办公楼装修 款及固定资产设备购置款。</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20,578,785.52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1,443,132.08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19,135,653.44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25,394,969.49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68,757.18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25,326,212.31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9,402,223.97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687,335.58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8,714,888.39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13,342,850.84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472,752.06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12,870,098.78</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15,936,234.02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4,697,413.43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11,238,820.59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6,840,081.68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2,387,464.84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4,452,616.84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32,274,606.79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5,392,049.11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26,882,557.68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29,579,380.28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4,205,963.02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25,373,417.26</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411,702.56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411,702.56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511,991.92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511,991.92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12,694,819.88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3,267,038.94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9,427,780.94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10,909,777.28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351,443.26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10,558,334.02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1"/>
        <w:gridCol w:w="1194"/>
        <w:gridCol w:w="1330"/>
        <w:gridCol w:w="1327"/>
        <w:gridCol w:w="1330"/>
        <w:gridCol w:w="132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91,298,372.74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15,486,969.14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75,811,403.60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86,579,051.49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7,486,380.36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79,092,671.13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2"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68,757.18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1,404,782.38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30,407.48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1,443,132.08</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472,752.06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236,020.09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21,436.57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687,335.58</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2,387,464.84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2,741,105.31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431,156.72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4,697,413.43</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4,205,963.02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1,443,027.17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256,941.08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5,392,049.11</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351,443.26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2,951,989.86</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36,394.18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3,267,038.94</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7,486,380.36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8,776,924.81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776,336.03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15,486,969.14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570"/>
        <w:gridCol w:w="2214"/>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570" w:type="dxa"/>
            <w:tcBorders>
              <w:top w:val="single" w:sz="4" w:space="0" w:color="000000"/>
              <w:left w:val="single" w:sz="4" w:space="0" w:color="000000"/>
              <w:bottom w:val="nil" w:sz="6" w:space="0" w:color="auto"/>
              <w:right w:val="single" w:sz="4" w:space="0" w:color="000000"/>
            </w:tcBorders>
            <w:shd w:val="clear" w:color="auto" w:fill="D3D3D3"/>
          </w:tcPr>
          <w:p>
            <w:pPr/>
          </w:p>
        </w:tc>
        <w:tc>
          <w:tcPr>
            <w:tcW w:w="22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21" w:right="110" w:hanging="810"/>
              <w:jc w:val="left"/>
              <w:rPr>
                <w:rFonts w:ascii="宋体" w:hAnsi="宋体" w:cs="宋体" w:eastAsia="宋体" w:hint="default"/>
                <w:sz w:val="18"/>
                <w:szCs w:val="18"/>
              </w:rPr>
            </w:pPr>
            <w:r>
              <w:rPr>
                <w:rFonts w:ascii="宋体" w:hAnsi="宋体" w:cs="宋体" w:eastAsia="宋体" w:hint="default"/>
                <w:sz w:val="18"/>
                <w:szCs w:val="18"/>
              </w:rPr>
              <w:t>本期转回存货跌价准备的 原因</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214"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570" w:type="dxa"/>
            <w:tcBorders>
              <w:top w:val="nil" w:sz="6" w:space="0" w:color="auto"/>
              <w:left w:val="single" w:sz="4" w:space="0" w:color="000000"/>
              <w:bottom w:val="single" w:sz="4" w:space="0" w:color="000000"/>
              <w:right w:val="single" w:sz="4" w:space="0" w:color="000000"/>
            </w:tcBorders>
            <w:shd w:val="clear" w:color="auto" w:fill="D3D3D3"/>
          </w:tcPr>
          <w:p>
            <w:pPr/>
          </w:p>
        </w:tc>
        <w:tc>
          <w:tcPr>
            <w:tcW w:w="2214"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570"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94"/>
              <w:jc w:val="left"/>
              <w:rPr>
                <w:rFonts w:ascii="宋体" w:hAnsi="宋体" w:cs="宋体" w:eastAsia="宋体" w:hint="default"/>
                <w:sz w:val="18"/>
                <w:szCs w:val="18"/>
              </w:rPr>
            </w:pPr>
            <w:r>
              <w:rPr>
                <w:rFonts w:ascii="宋体" w:hAnsi="宋体" w:cs="宋体" w:eastAsia="宋体" w:hint="default"/>
                <w:sz w:val="18"/>
                <w:szCs w:val="18"/>
              </w:rPr>
              <w:t>年末存货按成本高于可变现净 值的差额计提存货跌价准备。</w:t>
            </w:r>
          </w:p>
        </w:tc>
        <w:tc>
          <w:tcPr>
            <w:tcW w:w="2214" w:type="dxa"/>
            <w:vMerge w:val="restart"/>
            <w:tcBorders>
              <w:top w:val="single" w:sz="4" w:space="0" w:color="000000"/>
              <w:left w:val="single" w:sz="4" w:space="0" w:color="000000"/>
              <w:right w:val="single" w:sz="4" w:space="0" w:color="000000"/>
            </w:tcBorders>
            <w:shd w:val="clear" w:color="auto" w:fill="C7EDCC"/>
          </w:tcPr>
          <w:p>
            <w:pPr/>
          </w:p>
        </w:tc>
        <w:tc>
          <w:tcPr>
            <w:tcW w:w="2392" w:type="dxa"/>
            <w:vMerge w:val="restart"/>
            <w:tcBorders>
              <w:top w:val="single" w:sz="4" w:space="0" w:color="000000"/>
              <w:left w:val="single" w:sz="4" w:space="0" w:color="000000"/>
              <w:right w:val="single" w:sz="4" w:space="0" w:color="000000"/>
            </w:tcBorders>
          </w:tcPr>
          <w:p>
            <w:pPr/>
          </w:p>
        </w:tc>
      </w:tr>
      <w:tr>
        <w:trPr>
          <w:trHeight w:val="392" w:hRule="exact"/>
        </w:trPr>
        <w:tc>
          <w:tcPr>
            <w:tcW w:w="2392"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570" w:type="dxa"/>
            <w:vMerge/>
            <w:tcBorders>
              <w:left w:val="single" w:sz="4" w:space="0" w:color="000000"/>
              <w:right w:val="single" w:sz="4" w:space="0" w:color="000000"/>
            </w:tcBorders>
            <w:shd w:val="clear" w:color="auto" w:fill="C7EDCC"/>
          </w:tcPr>
          <w:p>
            <w:pPr/>
          </w:p>
        </w:tc>
        <w:tc>
          <w:tcPr>
            <w:tcW w:w="2214" w:type="dxa"/>
            <w:vMerge/>
            <w:tcBorders>
              <w:left w:val="single" w:sz="4" w:space="0" w:color="000000"/>
              <w:right w:val="single" w:sz="4" w:space="0" w:color="000000"/>
            </w:tcBorders>
            <w:shd w:val="clear" w:color="auto" w:fill="C7EDCC"/>
          </w:tcPr>
          <w:p>
            <w:pPr/>
          </w:p>
        </w:tc>
        <w:tc>
          <w:tcPr>
            <w:tcW w:w="2392" w:type="dxa"/>
            <w:vMerge/>
            <w:tcBorders>
              <w:left w:val="single" w:sz="4" w:space="0" w:color="000000"/>
              <w:right w:val="single" w:sz="4" w:space="0" w:color="000000"/>
            </w:tcBorders>
          </w:tcPr>
          <w:p>
            <w:pPr/>
          </w:p>
        </w:tc>
      </w:tr>
      <w:tr>
        <w:trPr>
          <w:trHeight w:val="161" w:hRule="exact"/>
        </w:trPr>
        <w:tc>
          <w:tcPr>
            <w:tcW w:w="2392" w:type="dxa"/>
            <w:tcBorders>
              <w:top w:val="nil" w:sz="6" w:space="0" w:color="auto"/>
              <w:left w:val="single" w:sz="4" w:space="0" w:color="000000"/>
              <w:bottom w:val="single" w:sz="4" w:space="0" w:color="000000"/>
              <w:right w:val="single" w:sz="13" w:space="0" w:color="C7EDCC"/>
            </w:tcBorders>
            <w:shd w:val="clear" w:color="auto" w:fill="D3D3D3"/>
          </w:tcPr>
          <w:p>
            <w:pPr/>
          </w:p>
        </w:tc>
        <w:tc>
          <w:tcPr>
            <w:tcW w:w="2570" w:type="dxa"/>
            <w:vMerge/>
            <w:tcBorders>
              <w:left w:val="single" w:sz="4" w:space="0" w:color="000000"/>
              <w:bottom w:val="single" w:sz="4" w:space="0" w:color="000000"/>
              <w:right w:val="single" w:sz="4" w:space="0" w:color="000000"/>
            </w:tcBorders>
            <w:shd w:val="clear" w:color="auto" w:fill="C7EDCC"/>
          </w:tcPr>
          <w:p>
            <w:pPr/>
          </w:p>
        </w:tc>
        <w:tc>
          <w:tcPr>
            <w:tcW w:w="2214" w:type="dxa"/>
            <w:vMerge/>
            <w:tcBorders>
              <w:left w:val="single" w:sz="4" w:space="0" w:color="000000"/>
              <w:bottom w:val="single" w:sz="4" w:space="0" w:color="000000"/>
              <w:right w:val="single" w:sz="4" w:space="0" w:color="000000"/>
            </w:tcBorders>
            <w:shd w:val="clear" w:color="auto" w:fill="C7EDCC"/>
          </w:tcPr>
          <w:p>
            <w:pPr/>
          </w:p>
        </w:tc>
        <w:tc>
          <w:tcPr>
            <w:tcW w:w="2392" w:type="dxa"/>
            <w:vMerge/>
            <w:tcBorders>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2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5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2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5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2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5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2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5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2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7"/>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4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9"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深圳市虹 安信息技</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8"/>
        <w:gridCol w:w="798"/>
        <w:gridCol w:w="798"/>
        <w:gridCol w:w="798"/>
        <w:gridCol w:w="798"/>
        <w:gridCol w:w="797"/>
        <w:gridCol w:w="799"/>
        <w:gridCol w:w="798"/>
        <w:gridCol w:w="798"/>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术有限公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成都兴政 电子政务 运营服务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长期股权投资的说明</w:t>
      </w:r>
    </w:p>
    <w:p>
      <w:pPr>
        <w:spacing w:line="240" w:lineRule="auto" w:before="0"/>
        <w:rPr>
          <w:rFonts w:ascii="宋体" w:hAnsi="宋体" w:cs="宋体" w:eastAsia="宋体" w:hint="default"/>
          <w:sz w:val="15"/>
          <w:szCs w:val="15"/>
        </w:rPr>
      </w:pPr>
    </w:p>
    <w:p>
      <w:pPr>
        <w:pStyle w:val="BodyText"/>
        <w:spacing w:line="300" w:lineRule="auto"/>
        <w:ind w:right="140" w:firstLine="360"/>
        <w:jc w:val="left"/>
      </w:pPr>
      <w:r>
        <w:rPr/>
        <w:t>被投资单位深圳市虹安信息技术有限公司截止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日净资产小于零，公司对其投资成本</w:t>
      </w:r>
      <w:r>
        <w:rPr>
          <w:rFonts w:ascii="Times New Roman" w:hAnsi="Times New Roman" w:cs="Times New Roman" w:eastAsia="Times New Roman" w:hint="default"/>
        </w:rPr>
        <w:t>800,000.00</w:t>
      </w:r>
      <w:r>
        <w:rPr/>
        <w:t>元，全额计 提了减值准备。</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62,784,418.94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98,164,260.73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1,085,111.64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159,863,568.03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85,213,410.16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85,213,410.16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12,760,684.55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374,736.56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13,135,421.11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21,067,356.47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10,242,143.02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896,993.20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30,412,506.29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196,561.32</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207,361.32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28,759,816.60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2,323,170.99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188,118.44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30,894,869.15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37,200,495.10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9,257,051.18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1,056,162.80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45,401,383.48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340,881.02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340,881.02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6,344,402.22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1,425,831.73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7,770,233.95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13,414,916.37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3,950,040.07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871,514.38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16,493,442.06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187,987.98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190,768.86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17,253,188.53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3,537,517.48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184,648.42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20,606,057.59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25,583,923.84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114,462,184.55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84,872,529.14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6,416,282.33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5,365,187.16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7,652,440.10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13,919,064.23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8,573.34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16,592.46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4516"/>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11,506,628.07</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10,288,811.56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791,037.48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560,161.43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230,876.05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25,583,923.84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113,671,147.07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84,872,529.14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6,416,282.33</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5,365,187.16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7,652,440.10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13,358,902.80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8,573.34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16,592.46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11,506,628.07</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10,057,935.51</w:t>
            </w:r>
          </w:p>
        </w:tc>
      </w:tr>
    </w:tbl>
    <w:p>
      <w:pPr>
        <w:pStyle w:val="BodyText"/>
        <w:spacing w:line="240" w:lineRule="auto" w:before="51"/>
        <w:ind w:right="0"/>
        <w:jc w:val="left"/>
      </w:pPr>
      <w:r>
        <w:rPr/>
        <w:t>本期折旧额</w:t>
      </w:r>
      <w:r>
        <w:rPr>
          <w:spacing w:val="-47"/>
        </w:rPr>
        <w:t> </w:t>
      </w:r>
      <w:r>
        <w:rPr>
          <w:rFonts w:ascii="Times New Roman" w:hAnsi="Times New Roman" w:cs="Times New Roman" w:eastAsia="Times New Roman" w:hint="default"/>
        </w:rPr>
        <w:t>9,257,051.18</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85,213,410.16</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房屋建筑物（南区办公楼）</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南区办公楼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70,508,336.33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70,508,336.33</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70,508,336.33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70,508,336.33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7"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南区办 公楼</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87,000,0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70,508,3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85,213,4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97.95%</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募集资 </w:t>
            </w:r>
            <w:r>
              <w:rPr>
                <w:rFonts w:ascii="宋体" w:hAnsi="宋体" w:cs="宋体" w:eastAsia="宋体" w:hint="default"/>
                <w:spacing w:val="-10"/>
                <w:sz w:val="18"/>
                <w:szCs w:val="18"/>
              </w:rPr>
              <w:t>金、自筹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87,000,0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9" w:right="0"/>
              <w:jc w:val="center"/>
              <w:rPr>
                <w:rFonts w:ascii="Times New Roman" w:hAnsi="Times New Roman" w:cs="Times New Roman" w:eastAsia="Times New Roman" w:hint="default"/>
                <w:sz w:val="18"/>
                <w:szCs w:val="18"/>
              </w:rPr>
            </w:pPr>
            <w:r>
              <w:rPr>
                <w:rFonts w:ascii="Times New Roman"/>
                <w:sz w:val="18"/>
              </w:rPr>
              <w:t>70,508,3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14,705,0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85,213,4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5"/>
        <w:gridCol w:w="735"/>
        <w:gridCol w:w="736"/>
        <w:gridCol w:w="734"/>
        <w:gridCol w:w="736"/>
        <w:gridCol w:w="734"/>
        <w:gridCol w:w="737"/>
        <w:gridCol w:w="736"/>
        <w:gridCol w:w="736"/>
        <w:gridCol w:w="736"/>
        <w:gridCol w:w="737"/>
        <w:gridCol w:w="736"/>
        <w:gridCol w:w="737"/>
      </w:tblGrid>
      <w:tr>
        <w:trPr>
          <w:trHeight w:val="362" w:hRule="exact"/>
        </w:trPr>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36.33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73.83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10.16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5,686,994.11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5,986,994.11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  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2,226,994.11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2,526,994.11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310,314.64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455,314.64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  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108,476.64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253,476.64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201,838.00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201,838.00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5,376,679.47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5,531,679.47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  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2,118,517.47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2,273,517.47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3,258,162.00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3,258,162.00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  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5,376,679.47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5,531,679.47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  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2,118,517.47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2,273,517.47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3,258,162.00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3,258,162.00</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310,314.64</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11</w:t>
      </w:r>
      <w:r>
        <w:rPr/>
        <w:t>、商誉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560"/>
        <w:gridCol w:w="1274"/>
        <w:gridCol w:w="1238"/>
        <w:gridCol w:w="1460"/>
        <w:gridCol w:w="1199"/>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7,991.91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7,991.91</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7,991.91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7,991.91</w:t>
            </w:r>
          </w:p>
        </w:tc>
        <w:tc>
          <w:tcPr>
            <w:tcW w:w="1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9" w:lineRule="auto" w:before="51"/>
        <w:ind w:left="513" w:right="1491" w:hanging="360"/>
        <w:jc w:val="left"/>
      </w:pPr>
      <w:r>
        <w:rPr/>
        <w:t>说明商誉的减值测试方法和减值准备计提方法 经对商誉进行减值测试，未出现其预计未来可回收金额低于账面价值的情况，未发生商誉减值损失。</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52"/>
              <w:jc w:val="center"/>
              <w:rPr>
                <w:rFonts w:ascii="宋体" w:hAnsi="宋体" w:cs="宋体" w:eastAsia="宋体" w:hint="default"/>
                <w:sz w:val="18"/>
                <w:szCs w:val="18"/>
              </w:rPr>
            </w:pPr>
            <w:r>
              <w:rPr>
                <w:rFonts w:ascii="宋体" w:hAnsi="宋体" w:cs="宋体" w:eastAsia="宋体" w:hint="default"/>
                <w:sz w:val="18"/>
                <w:szCs w:val="18"/>
              </w:rPr>
              <w:t>固定资产改良支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198,991.03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545,544.00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342,836.05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401,698.98</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198,991.03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545,544.00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342,836.05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401,698.98</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13</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7,776,536.13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5,545,428.10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抵销未实现内部销售损益所得税影响</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2,843,020.85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1,887,830.31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预提费用对所得税的影响</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6,492.23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10,619,556.98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7,439,750.64</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1"/>
        <w:ind w:right="0"/>
        <w:jc w:val="left"/>
      </w:pPr>
      <w:r>
        <w:rPr/>
        <w:t>未确认递延所得税资产明细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9,475.41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33,126.36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7,510,954.18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4,444,764.19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7,520,429.59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4,477,890.55</w:t>
            </w:r>
          </w:p>
        </w:tc>
      </w:tr>
    </w:tbl>
    <w:p>
      <w:pPr>
        <w:pStyle w:val="BodyText"/>
        <w:spacing w:line="240" w:lineRule="auto" w:before="51"/>
        <w:ind w:right="0"/>
        <w:jc w:val="left"/>
      </w:pPr>
      <w:r>
        <w:rPr/>
        <w:t>未确认递延所得税资产的可抵扣亏损将于以下年度到期</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819,404.27</w:t>
            </w:r>
          </w:p>
        </w:tc>
        <w:tc>
          <w:tcPr>
            <w:tcW w:w="331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6,039,095.08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6,058,373.23</w:t>
            </w:r>
          </w:p>
        </w:tc>
        <w:tc>
          <w:tcPr>
            <w:tcW w:w="331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10,828,114.43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10,901,279.27</w:t>
            </w:r>
          </w:p>
        </w:tc>
        <w:tc>
          <w:tcPr>
            <w:tcW w:w="331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13,176,607.21</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30,043,816.72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17,779,056.77</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应纳税差异和可抵扣差异项目明细</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8"/>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5"/>
        <w:gridCol w:w="2924"/>
        <w:gridCol w:w="2789"/>
      </w:tblGrid>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47,675,348.68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28,180,219.38</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预提费用对所得税的影响</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43,281.50</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抵销未实现内部销售损益所得税影响</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18,953,472.27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12,585,535.40</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66,628,820.95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40,809,036.28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10,619,556.98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7,439,750.64</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、资产减值准备明细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20,826,344.47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9,808,899.23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30,635,243.70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7,486,380.36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8,776,924.81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776,336.03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15,486,969.14</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791,037.48</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791,037.48</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28,312,724.83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20,176,861.52</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776,336.03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47,713,250.32</w:t>
            </w:r>
          </w:p>
        </w:tc>
      </w:tr>
    </w:tbl>
    <w:p>
      <w:pPr>
        <w:pStyle w:val="BodyText"/>
        <w:spacing w:line="240" w:lineRule="auto" w:before="51"/>
        <w:ind w:right="0"/>
        <w:jc w:val="left"/>
      </w:pPr>
      <w:r>
        <w:rPr/>
        <w:t>资产减值明细情况的说明</w:t>
      </w:r>
    </w:p>
    <w:p>
      <w:pPr>
        <w:spacing w:line="240" w:lineRule="auto" w:before="0"/>
        <w:rPr>
          <w:rFonts w:ascii="宋体" w:hAnsi="宋体" w:cs="宋体" w:eastAsia="宋体" w:hint="default"/>
          <w:sz w:val="15"/>
          <w:szCs w:val="15"/>
        </w:rPr>
      </w:pPr>
    </w:p>
    <w:p>
      <w:pPr>
        <w:pStyle w:val="BodyText"/>
        <w:spacing w:line="300" w:lineRule="auto"/>
        <w:ind w:right="0" w:firstLine="360"/>
        <w:jc w:val="left"/>
      </w:pPr>
      <w:r>
        <w:rPr>
          <w:spacing w:val="-2"/>
        </w:rPr>
        <w:t>本期计提资产减值准备</w:t>
      </w:r>
      <w:r>
        <w:rPr>
          <w:rFonts w:ascii="Times New Roman" w:hAnsi="Times New Roman" w:cs="Times New Roman" w:eastAsia="Times New Roman" w:hint="default"/>
          <w:spacing w:val="-2"/>
        </w:rPr>
        <w:t>20,176,861.52</w:t>
      </w:r>
      <w:r>
        <w:rPr>
          <w:spacing w:val="-2"/>
        </w:rPr>
        <w:t>元，本期资产减值损失</w:t>
      </w:r>
      <w:r>
        <w:rPr>
          <w:rFonts w:ascii="Times New Roman" w:hAnsi="Times New Roman" w:cs="Times New Roman" w:eastAsia="Times New Roman" w:hint="default"/>
          <w:spacing w:val="-2"/>
        </w:rPr>
        <w:t>19,901,861.52</w:t>
      </w:r>
      <w:r>
        <w:rPr>
          <w:spacing w:val="-2"/>
        </w:rPr>
        <w:t>元，差额</w:t>
      </w:r>
      <w:r>
        <w:rPr>
          <w:rFonts w:ascii="Times New Roman" w:hAnsi="Times New Roman" w:cs="Times New Roman" w:eastAsia="Times New Roman" w:hint="default"/>
          <w:spacing w:val="-2"/>
        </w:rPr>
        <w:t>275,000.00</w:t>
      </w:r>
      <w:r>
        <w:rPr>
          <w:spacing w:val="-2"/>
        </w:rPr>
        <w:t>元，其原因为本公司控股子</w:t>
      </w:r>
      <w:r>
        <w:rPr/>
        <w:t> 公司阳卫士通网络安全有限责任公司实施清算，原计提资产减值准备</w:t>
      </w:r>
      <w:r>
        <w:rPr>
          <w:rFonts w:ascii="Times New Roman" w:hAnsi="Times New Roman" w:cs="Times New Roman" w:eastAsia="Times New Roman" w:hint="default"/>
        </w:rPr>
        <w:t>275,000.00</w:t>
      </w:r>
      <w:r>
        <w:rPr/>
        <w:t>元，本期由资产减值损失转为投资收益。</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3"/>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111,720,679.76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85,409,948.37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11,130,252.11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6,598,086.95</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应付其他款项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44,624.10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937,888.00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3"/>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122,895,555.97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8" w:right="0"/>
              <w:jc w:val="left"/>
              <w:rPr>
                <w:rFonts w:ascii="Times New Roman" w:hAnsi="Times New Roman" w:cs="Times New Roman" w:eastAsia="Times New Roman" w:hint="default"/>
                <w:sz w:val="18"/>
                <w:szCs w:val="18"/>
              </w:rPr>
            </w:pPr>
            <w:r>
              <w:rPr>
                <w:rFonts w:ascii="Times New Roman"/>
                <w:sz w:val="18"/>
              </w:rPr>
              <w:t>92,945,923.32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15,762,389.49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18,129,413.53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15,762,389.49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18,129,413.53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期末无账龄超过一年的大额应付账款情况。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  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14,822,739.58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19,751,128.86</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14,822,739.58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19,751,128.86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2" w:right="0"/>
        <w:jc w:val="left"/>
      </w:pPr>
      <w:r>
        <w:rPr/>
        <w:t>期末无账龄超过一年的大额预收款项情况。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2"/>
        <w:gridCol w:w="1276"/>
        <w:gridCol w:w="2126"/>
        <w:gridCol w:w="1984"/>
        <w:gridCol w:w="1631"/>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86,082,435.76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86,082,435.76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223,285.00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223,285.00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13,439.48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9,472,356.26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9,485,795.74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8,606.33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5,757,997.65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5,766,603.98</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医疗保险费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2,851,342.34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2,851,342.34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554,265.43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554,265.43</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144,328.37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144,328.37</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4,833.15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164,422.47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169,255.62</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633,724.10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7,394,142.70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7,263,045.40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8" w:right="0"/>
              <w:jc w:val="left"/>
              <w:rPr>
                <w:rFonts w:ascii="Times New Roman" w:hAnsi="Times New Roman" w:cs="Times New Roman" w:eastAsia="Times New Roman" w:hint="default"/>
                <w:sz w:val="18"/>
                <w:szCs w:val="18"/>
              </w:rPr>
            </w:pPr>
            <w:r>
              <w:rPr>
                <w:rFonts w:ascii="Times New Roman"/>
                <w:sz w:val="18"/>
              </w:rPr>
              <w:t>764,821.40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2"/>
        <w:gridCol w:w="1276"/>
        <w:gridCol w:w="2126"/>
        <w:gridCol w:w="1984"/>
        <w:gridCol w:w="1631"/>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116,802.50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116,802.50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2,520,457.06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245,335.06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64,453.04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2,701,339.08</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18,888.04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18,888.04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商业保险费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45,565.00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45,565.00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单位计提养老基金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2,520,457.06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180,882.02</w:t>
            </w:r>
          </w:p>
        </w:tc>
        <w:tc>
          <w:tcPr>
            <w:tcW w:w="1984"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2,701,339.08</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3,167,620.64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103,534,357.28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103,235,817.44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3,466,160.48</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13,383,940.04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13,059,094.44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681,590.34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45,609.41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4,566,378.00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14,119,852.66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385,356.81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613,731.94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1,142,964.24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1,018,992.35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498,642.52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443,228.20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332,428.35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295,485.49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3,422.49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2,534.47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199,659.84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669,859.09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个人教育费</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5,238.00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21,194,382.63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30,273,626.05</w:t>
            </w:r>
          </w:p>
        </w:tc>
      </w:tr>
    </w:tbl>
    <w:p>
      <w:pPr>
        <w:pStyle w:val="BodyText"/>
        <w:spacing w:line="240" w:lineRule="auto" w:before="51"/>
        <w:ind w:right="9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5"/>
          <w:szCs w:val="15"/>
        </w:rPr>
      </w:pPr>
    </w:p>
    <w:p>
      <w:pPr>
        <w:pStyle w:val="BodyText"/>
        <w:spacing w:line="300" w:lineRule="auto"/>
        <w:ind w:right="90" w:firstLine="360"/>
        <w:jc w:val="left"/>
      </w:pPr>
      <w:r>
        <w:rPr>
          <w:spacing w:val="-4"/>
        </w:rPr>
        <w:t>说明：本公司与分公司计缴企业所得税，依据国税发【</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28</w:t>
      </w:r>
      <w:r>
        <w:rPr>
          <w:spacing w:val="-4"/>
        </w:rPr>
        <w:t>号《跨地区经营汇总纳税企业所得税征收管理暂行办法》</w:t>
      </w:r>
      <w:r>
        <w:rPr/>
        <w:t> 规定执行。</w:t>
      </w:r>
    </w:p>
    <w:p>
      <w:pPr>
        <w:spacing w:line="240" w:lineRule="auto" w:before="6"/>
        <w:rPr>
          <w:rFonts w:ascii="宋体" w:hAnsi="宋体" w:cs="宋体" w:eastAsia="宋体" w:hint="default"/>
          <w:sz w:val="23"/>
          <w:szCs w:val="23"/>
        </w:rPr>
      </w:pPr>
    </w:p>
    <w:p>
      <w:pPr>
        <w:pStyle w:val="Heading4"/>
        <w:spacing w:line="240" w:lineRule="auto"/>
        <w:ind w:right="90"/>
        <w:jc w:val="left"/>
        <w:rPr>
          <w:b w:val="0"/>
          <w:bCs w:val="0"/>
        </w:rPr>
      </w:pPr>
      <w:r>
        <w:rPr>
          <w:rFonts w:ascii="Times New Roman" w:hAnsi="Times New Roman" w:cs="Times New Roman" w:eastAsia="Times New Roman" w:hint="default"/>
        </w:rPr>
        <w:t>19</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524"/>
        <w:gridCol w:w="2125"/>
        <w:gridCol w:w="2657"/>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5" w:right="0"/>
              <w:jc w:val="left"/>
              <w:rPr>
                <w:rFonts w:ascii="Times New Roman" w:hAnsi="Times New Roman" w:cs="Times New Roman" w:eastAsia="Times New Roman" w:hint="default"/>
                <w:sz w:val="18"/>
                <w:szCs w:val="18"/>
              </w:rPr>
            </w:pPr>
            <w:r>
              <w:rPr>
                <w:rFonts w:ascii="Times New Roman"/>
                <w:sz w:val="18"/>
              </w:rPr>
              <w:t>3,007,746.85</w:t>
            </w:r>
          </w:p>
        </w:tc>
        <w:tc>
          <w:tcPr>
            <w:tcW w:w="21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成都三实立科技实业有限公司</w:t>
            </w:r>
          </w:p>
        </w:tc>
        <w:tc>
          <w:tcPr>
            <w:tcW w:w="152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1,385,465.14</w:t>
            </w:r>
          </w:p>
        </w:tc>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6" w:right="0"/>
              <w:jc w:val="left"/>
              <w:rPr>
                <w:rFonts w:ascii="Times New Roman" w:hAnsi="Times New Roman" w:cs="Times New Roman" w:eastAsia="Times New Roman" w:hint="default"/>
                <w:sz w:val="18"/>
                <w:szCs w:val="18"/>
              </w:rPr>
            </w:pPr>
            <w:r>
              <w:rPr>
                <w:rFonts w:ascii="Times New Roman"/>
                <w:sz w:val="18"/>
              </w:rPr>
              <w:t>3,007,746.85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1,385,465.14</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0"/>
        <w:jc w:val="left"/>
      </w:pPr>
      <w:r>
        <w:rPr/>
        <w:t>应付股利的说明</w:t>
      </w:r>
    </w:p>
    <w:p>
      <w:pPr>
        <w:pStyle w:val="BodyText"/>
        <w:spacing w:line="300" w:lineRule="auto" w:before="116"/>
        <w:ind w:left="153" w:right="226"/>
        <w:jc w:val="left"/>
      </w:pPr>
      <w:r>
        <w:rPr/>
        <w:t>根据</w:t>
      </w:r>
      <w:r>
        <w:rPr>
          <w:rFonts w:ascii="Times New Roman" w:hAnsi="Times New Roman" w:cs="Times New Roman" w:eastAsia="Times New Roman" w:hint="default"/>
        </w:rPr>
        <w:t>2011</w:t>
      </w:r>
      <w:r>
        <w:rPr/>
        <w:t>年度利润分配方案，公司以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172,712,065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w:t>
      </w:r>
      <w:r>
        <w:rPr/>
        <w:t>元（含税） 人民币现金，中国电子科技集团公司第三十研究所按持股数</w:t>
      </w:r>
      <w:r>
        <w:rPr>
          <w:rFonts w:ascii="Times New Roman" w:hAnsi="Times New Roman" w:cs="Times New Roman" w:eastAsia="Times New Roman" w:hint="default"/>
        </w:rPr>
        <w:t>60,154,937</w:t>
      </w:r>
      <w:r>
        <w:rPr/>
        <w:t>应派发股利</w:t>
      </w:r>
      <w:r>
        <w:rPr>
          <w:rFonts w:ascii="Times New Roman" w:hAnsi="Times New Roman" w:cs="Times New Roman" w:eastAsia="Times New Roman" w:hint="default"/>
        </w:rPr>
        <w:t>3,007,746.85</w:t>
      </w:r>
      <w:r>
        <w:rPr/>
        <w:t>元，报告期末尚未支付。</w:t>
      </w:r>
    </w:p>
    <w:p>
      <w:pPr>
        <w:spacing w:after="0" w:line="30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应付其他单位往来款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10,587,425.35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4,211,442.20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应付代扣款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2,961,789.32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1,515,538.54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1,243,573.80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646,673.80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14,792,788.47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6,373,654.54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中国电子科技集团第三十研究所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5,647,062.39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2,376,355.02</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5,647,062.39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2,376,355.02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6"/>
        <w:jc w:val="left"/>
      </w:pPr>
      <w:r>
        <w:rPr/>
        <w:t>报告期末本公司应付控股股东中国电子科技集团公司第三十研究所其他应付款</w:t>
      </w:r>
      <w:r>
        <w:rPr>
          <w:rFonts w:ascii="Times New Roman" w:hAnsi="Times New Roman" w:cs="Times New Roman" w:eastAsia="Times New Roman" w:hint="default"/>
        </w:rPr>
        <w:t>5,647,062.39</w:t>
      </w:r>
      <w:r>
        <w:rPr/>
        <w:t>元，主要为公司</w:t>
      </w:r>
      <w:r>
        <w:rPr>
          <w:rFonts w:ascii="Times New Roman" w:hAnsi="Times New Roman" w:cs="Times New Roman" w:eastAsia="Times New Roman" w:hint="default"/>
        </w:rPr>
        <w:t>2012</w:t>
      </w:r>
      <w:r>
        <w:rPr/>
        <w:t>年度租赁其 办公用房的费用。</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21</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基于超声波技术的手机支付平台及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移动互 联网平台建设及产业化项目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11,349,615.84</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移动互联网应用安全接入平台研发及产业化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基于国产操作系统的终端安全防护工具研发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云计算关键支撑软件（平台安全软件）研究与 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3,556,280.93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4,082,515.70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工业控制安全防护系统研发与产业化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1,887,215.60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年物联网发展专项资金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1,663,309.19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2,242,145.40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714"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高性能网络信息安全综合防御系统研发与产业 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1,632,800.00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1,632,800.00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智能电网自动化控制安全防护系统产业化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安全云系统研发及产业化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移动支付平台研发与应用示范</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SJW77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电力专用纵向加密认证装置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通综合安全防护系统</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网综合安全防护系统研发及产业化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安全云存储服务系统</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255,600.81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251,050.70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270,825.30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新一代信息安全关键设备的研发与产业化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184,165.54</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移动支付安全中间件成果转化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140,056.86</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增强型可信计算平台</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一体化多核网络安全平台</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面向电子商务的安全支付平台</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584,828.00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移动电子商务及电子支付</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10,688.38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49,915,095.47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9,528,802.78</w:t>
            </w:r>
          </w:p>
        </w:tc>
      </w:tr>
    </w:tbl>
    <w:p>
      <w:pPr>
        <w:pStyle w:val="BodyText"/>
        <w:spacing w:line="357" w:lineRule="auto" w:before="51"/>
        <w:ind w:left="444" w:right="2031" w:hanging="291"/>
        <w:jc w:val="left"/>
      </w:pPr>
      <w:r>
        <w:rPr/>
        <w:t>其他非流动负债说明，包括本报告期取得的各类与资产相关、与收益相关的政府补助及其期末金额 本期收到项目拨款，根据项目实施进度计入递延收益或分期结转营业外收入，明细如下：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left="0" w:right="232"/>
        <w:jc w:val="right"/>
      </w:pPr>
      <w:r>
        <w:rPr/>
        <w:pict>
          <v:shape style="position:absolute;margin-left:56.34pt;margin-top:-97.147682pt;width:475.7pt;height:315.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6"/>
                    <w:gridCol w:w="1277"/>
                    <w:gridCol w:w="1181"/>
                    <w:gridCol w:w="1181"/>
                    <w:gridCol w:w="1182"/>
                    <w:gridCol w:w="2540"/>
                  </w:tblGrid>
                  <w:tr>
                    <w:trPr>
                      <w:trHeight w:val="667" w:hRule="exact"/>
                    </w:trPr>
                    <w:tc>
                      <w:tcPr>
                        <w:tcW w:w="2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收到时间</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sz w:val="18"/>
                            <w:szCs w:val="18"/>
                          </w:rPr>
                          <w:t>收到金额</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23" w:right="221"/>
                          <w:jc w:val="left"/>
                          <w:rPr>
                            <w:rFonts w:ascii="宋体" w:hAnsi="宋体" w:cs="宋体" w:eastAsia="宋体" w:hint="default"/>
                            <w:sz w:val="18"/>
                            <w:szCs w:val="18"/>
                          </w:rPr>
                        </w:pPr>
                        <w:r>
                          <w:rPr>
                            <w:rFonts w:ascii="宋体" w:hAnsi="宋体" w:cs="宋体" w:eastAsia="宋体" w:hint="default"/>
                            <w:sz w:val="18"/>
                            <w:szCs w:val="18"/>
                          </w:rPr>
                          <w:t>计入递延 收益金额</w:t>
                        </w:r>
                      </w:p>
                    </w:tc>
                    <w:tc>
                      <w:tcPr>
                        <w:tcW w:w="11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23" w:right="222"/>
                          <w:jc w:val="left"/>
                          <w:rPr>
                            <w:rFonts w:ascii="宋体" w:hAnsi="宋体" w:cs="宋体" w:eastAsia="宋体" w:hint="default"/>
                            <w:sz w:val="18"/>
                            <w:szCs w:val="18"/>
                          </w:rPr>
                        </w:pPr>
                        <w:r>
                          <w:rPr>
                            <w:rFonts w:ascii="宋体" w:hAnsi="宋体" w:cs="宋体" w:eastAsia="宋体" w:hint="default"/>
                            <w:sz w:val="18"/>
                            <w:szCs w:val="18"/>
                          </w:rPr>
                          <w:t>转营业外 收入金额</w:t>
                        </w:r>
                      </w:p>
                    </w:tc>
                    <w:tc>
                      <w:tcPr>
                        <w:tcW w:w="25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批准文件</w:t>
                        </w:r>
                      </w:p>
                    </w:tc>
                  </w:tr>
                  <w:tr>
                    <w:trPr>
                      <w:trHeight w:val="976"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10"/>
                          <w:ind w:left="2" w:right="-14"/>
                          <w:jc w:val="both"/>
                          <w:rPr>
                            <w:rFonts w:ascii="宋体" w:hAnsi="宋体" w:cs="宋体" w:eastAsia="宋体" w:hint="default"/>
                            <w:sz w:val="18"/>
                            <w:szCs w:val="18"/>
                          </w:rPr>
                        </w:pPr>
                        <w:r>
                          <w:rPr>
                            <w:rFonts w:ascii="宋体" w:hAnsi="宋体" w:cs="宋体" w:eastAsia="宋体" w:hint="default"/>
                            <w:spacing w:val="11"/>
                            <w:sz w:val="18"/>
                            <w:szCs w:val="18"/>
                          </w:rPr>
                          <w:t>基于超声波技术的手机支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付平台及</w:t>
                        </w:r>
                        <w:r>
                          <w:rPr>
                            <w:rFonts w:ascii="Times New Roman" w:hAnsi="Times New Roman" w:cs="Times New Roman" w:eastAsia="Times New Roman" w:hint="default"/>
                            <w:spacing w:val="11"/>
                            <w:sz w:val="18"/>
                            <w:szCs w:val="18"/>
                          </w:rPr>
                          <w:t>O2O</w:t>
                        </w:r>
                        <w:r>
                          <w:rPr>
                            <w:rFonts w:ascii="宋体" w:hAnsi="宋体" w:cs="宋体" w:eastAsia="宋体" w:hint="default"/>
                            <w:spacing w:val="11"/>
                            <w:sz w:val="18"/>
                            <w:szCs w:val="18"/>
                          </w:rPr>
                          <w:t>移动互联网</w:t>
                        </w:r>
                        <w:r>
                          <w:rPr>
                            <w:rFonts w:ascii="宋体" w:hAnsi="宋体" w:cs="宋体" w:eastAsia="宋体" w:hint="default"/>
                            <w:spacing w:val="-87"/>
                            <w:sz w:val="18"/>
                            <w:szCs w:val="18"/>
                          </w:rPr>
                          <w:t> </w:t>
                        </w:r>
                        <w:r>
                          <w:rPr>
                            <w:rFonts w:ascii="宋体" w:hAnsi="宋体" w:cs="宋体" w:eastAsia="宋体" w:hint="default"/>
                            <w:sz w:val="18"/>
                            <w:szCs w:val="18"/>
                          </w:rPr>
                          <w:t>平台建设及产业化项目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16,000,000.00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[2012]81</w:t>
                        </w:r>
                        <w:r>
                          <w:rPr>
                            <w:rFonts w:ascii="宋体" w:hAnsi="宋体" w:cs="宋体" w:eastAsia="宋体" w:hint="default"/>
                            <w:sz w:val="18"/>
                            <w:szCs w:val="18"/>
                          </w:rPr>
                          <w:t>号）</w:t>
                        </w:r>
                      </w:p>
                    </w:tc>
                  </w:tr>
                  <w:tr>
                    <w:trPr>
                      <w:trHeight w:val="977"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安全云产业化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（分批）</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14,040,000.00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11,349,615.84</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2,690,384.16</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成财建【</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182</w:t>
                        </w:r>
                        <w:r>
                          <w:rPr>
                            <w:rFonts w:ascii="宋体" w:hAnsi="宋体" w:cs="宋体" w:eastAsia="宋体" w:hint="default"/>
                            <w:spacing w:val="-5"/>
                            <w:sz w:val="18"/>
                            <w:szCs w:val="18"/>
                          </w:rPr>
                          <w:t>号，成高经发</w:t>
                        </w:r>
                      </w:p>
                      <w:p>
                        <w:pPr>
                          <w:pStyle w:val="TableParagraph"/>
                          <w:spacing w:line="300" w:lineRule="auto" w:before="63"/>
                          <w:ind w:left="2"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号，成高经发【</w:t>
                        </w:r>
                        <w:r>
                          <w:rPr>
                            <w:rFonts w:ascii="Times New Roman" w:hAnsi="Times New Roman" w:cs="Times New Roman" w:eastAsia="Times New Roman" w:hint="default"/>
                            <w:sz w:val="18"/>
                            <w:szCs w:val="18"/>
                          </w:rPr>
                          <w:t>2012 55</w:t>
                        </w:r>
                        <w:r>
                          <w:rPr>
                            <w:rFonts w:ascii="宋体" w:hAnsi="宋体" w:cs="宋体" w:eastAsia="宋体" w:hint="default"/>
                            <w:sz w:val="18"/>
                            <w:szCs w:val="18"/>
                          </w:rPr>
                          <w:t>号，成高经发【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82</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移动互联网应用安全接入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平台研发及产业化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5,150,000.00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5,150,000.00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67</w:t>
                        </w:r>
                        <w:r>
                          <w:rPr>
                            <w:rFonts w:ascii="宋体" w:hAnsi="宋体" w:cs="宋体" w:eastAsia="宋体" w:hint="default"/>
                            <w:sz w:val="18"/>
                            <w:szCs w:val="18"/>
                          </w:rPr>
                          <w:t>号）</w:t>
                        </w:r>
                      </w:p>
                    </w:tc>
                  </w:tr>
                  <w:tr>
                    <w:trPr>
                      <w:trHeight w:val="976"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基于国产操作系统的终端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安全防护工具研发</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3,850,000.00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3,752,000.00</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98,000.00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10"/>
                          <w:ind w:left="2" w:right="8"/>
                          <w:jc w:val="both"/>
                          <w:rPr>
                            <w:rFonts w:ascii="宋体" w:hAnsi="宋体" w:cs="宋体" w:eastAsia="宋体" w:hint="default"/>
                            <w:sz w:val="18"/>
                            <w:szCs w:val="18"/>
                          </w:rPr>
                        </w:pPr>
                        <w:r>
                          <w:rPr>
                            <w:rFonts w:ascii="宋体" w:hAnsi="宋体" w:cs="宋体" w:eastAsia="宋体" w:hint="default"/>
                            <w:sz w:val="18"/>
                            <w:szCs w:val="18"/>
                          </w:rPr>
                          <w:t>中华人民共和国财政部网上公示 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年第一批工业转型升 级资金拟支持名单公示》</w:t>
                        </w:r>
                      </w:p>
                    </w:tc>
                  </w:tr>
                  <w:tr>
                    <w:trPr>
                      <w:trHeight w:val="353"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电子商务支付服务项目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（成财外</w:t>
                        </w:r>
                        <w:r>
                          <w:rPr>
                            <w:rFonts w:ascii="Times New Roman" w:hAnsi="Times New Roman" w:cs="Times New Roman" w:eastAsia="Times New Roman" w:hint="default"/>
                            <w:sz w:val="18"/>
                            <w:szCs w:val="18"/>
                          </w:rPr>
                          <w:t>[2012]104</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平台政策性项目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2,510,000.00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2,510,000.00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2" w:right="8"/>
                          <w:jc w:val="left"/>
                          <w:rPr>
                            <w:rFonts w:ascii="宋体" w:hAnsi="宋体" w:cs="宋体" w:eastAsia="宋体" w:hint="default"/>
                            <w:sz w:val="18"/>
                            <w:szCs w:val="18"/>
                          </w:rPr>
                        </w:pPr>
                        <w:r>
                          <w:rPr>
                            <w:rFonts w:ascii="宋体" w:hAnsi="宋体" w:cs="宋体" w:eastAsia="宋体" w:hint="default"/>
                            <w:spacing w:val="-5"/>
                            <w:sz w:val="18"/>
                            <w:szCs w:val="18"/>
                          </w:rPr>
                          <w:t>成高经发【</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166</w:t>
                        </w:r>
                        <w:r>
                          <w:rPr>
                            <w:rFonts w:ascii="宋体" w:hAnsi="宋体" w:cs="宋体" w:eastAsia="宋体" w:hint="default"/>
                            <w:spacing w:val="-5"/>
                            <w:sz w:val="18"/>
                            <w:szCs w:val="18"/>
                          </w:rPr>
                          <w:t>号，成高经</w:t>
                        </w:r>
                        <w:r>
                          <w:rPr>
                            <w:rFonts w:ascii="宋体" w:hAnsi="宋体" w:cs="宋体" w:eastAsia="宋体" w:hint="default"/>
                            <w:sz w:val="18"/>
                            <w:szCs w:val="18"/>
                          </w:rPr>
                          <w:t> 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83</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工业控制安全防护系统研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发与产业化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1,887,215.60</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12,784.40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（川财建【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323</w:t>
                        </w:r>
                        <w:r>
                          <w:rPr>
                            <w:rFonts w:ascii="宋体" w:hAnsi="宋体" w:cs="宋体" w:eastAsia="宋体" w:hint="default"/>
                            <w:sz w:val="18"/>
                            <w:szCs w:val="18"/>
                          </w:rPr>
                          <w:t>号）</w:t>
                        </w:r>
                      </w:p>
                    </w:tc>
                  </w:tr>
                  <w:tr>
                    <w:trPr>
                      <w:trHeight w:val="353"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内综合安全防护系统研发</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1,470,000.00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400,000.00</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1,070,000.00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成财企【</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154</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成高经发</w:t>
                        </w:r>
                        <w:r>
                          <w:rPr>
                            <w:rFonts w:ascii="宋体" w:hAnsi="宋体" w:cs="宋体" w:eastAsia="宋体" w:hint="default"/>
                            <w:sz w:val="18"/>
                            <w:szCs w:val="18"/>
                          </w:rPr>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16"/>
        <w:gridCol w:w="1277"/>
        <w:gridCol w:w="1181"/>
        <w:gridCol w:w="1181"/>
        <w:gridCol w:w="1182"/>
        <w:gridCol w:w="2540"/>
      </w:tblGrid>
      <w:tr>
        <w:trPr>
          <w:trHeight w:val="355" w:hRule="exact"/>
        </w:trPr>
        <w:tc>
          <w:tcPr>
            <w:tcW w:w="2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及产业化</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181" w:type="dxa"/>
            <w:tcBorders>
              <w:top w:val="single" w:sz="6" w:space="0" w:color="000000"/>
              <w:left w:val="single" w:sz="6" w:space="0" w:color="000000"/>
              <w:bottom w:val="single" w:sz="12" w:space="0" w:color="000000"/>
              <w:right w:val="single" w:sz="6" w:space="0" w:color="000000"/>
            </w:tcBorders>
          </w:tcPr>
          <w:p>
            <w:pPr/>
          </w:p>
        </w:tc>
        <w:tc>
          <w:tcPr>
            <w:tcW w:w="1181" w:type="dxa"/>
            <w:tcBorders>
              <w:top w:val="single" w:sz="6" w:space="0" w:color="000000"/>
              <w:left w:val="single" w:sz="6" w:space="0" w:color="000000"/>
              <w:bottom w:val="single" w:sz="12" w:space="0" w:color="000000"/>
              <w:right w:val="single" w:sz="6" w:space="0" w:color="000000"/>
            </w:tcBorders>
          </w:tcPr>
          <w:p>
            <w:pPr/>
          </w:p>
        </w:tc>
        <w:tc>
          <w:tcPr>
            <w:tcW w:w="1182" w:type="dxa"/>
            <w:tcBorders>
              <w:top w:val="single" w:sz="6" w:space="0" w:color="000000"/>
              <w:left w:val="single" w:sz="6" w:space="0" w:color="000000"/>
              <w:bottom w:val="single" w:sz="12" w:space="0" w:color="000000"/>
              <w:right w:val="single" w:sz="6" w:space="0" w:color="000000"/>
            </w:tcBorders>
          </w:tcPr>
          <w:p>
            <w:pPr/>
          </w:p>
        </w:tc>
        <w:tc>
          <w:tcPr>
            <w:tcW w:w="25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83</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新一代信息安全关键设备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的研发与产业化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184,165.54</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815,834.46</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（成财教【</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367</w:t>
            </w:r>
            <w:r>
              <w:rPr>
                <w:rFonts w:ascii="宋体" w:hAnsi="宋体" w:cs="宋体" w:eastAsia="宋体" w:hint="default"/>
                <w:sz w:val="18"/>
                <w:szCs w:val="18"/>
              </w:rPr>
              <w:t>）</w:t>
            </w:r>
          </w:p>
        </w:tc>
      </w:tr>
      <w:tr>
        <w:trPr>
          <w:trHeight w:val="665"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智能电网自动化控制安全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防护系统产业化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170</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安全云系统研发及产业化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中国电子科技集团公司技术创新 基金项目协议书</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移动支付安全中间件成果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转化</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140,056.86</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559,943.14</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（成财教</w:t>
            </w:r>
            <w:r>
              <w:rPr>
                <w:rFonts w:ascii="Times New Roman" w:hAnsi="Times New Roman" w:cs="Times New Roman" w:eastAsia="Times New Roman" w:hint="default"/>
                <w:sz w:val="18"/>
                <w:szCs w:val="18"/>
              </w:rPr>
              <w:t>[2011]347</w:t>
            </w:r>
            <w:r>
              <w:rPr>
                <w:rFonts w:ascii="宋体" w:hAnsi="宋体" w:cs="宋体" w:eastAsia="宋体" w:hint="default"/>
                <w:sz w:val="18"/>
                <w:szCs w:val="18"/>
              </w:rPr>
              <w:t>号）</w:t>
            </w:r>
          </w:p>
        </w:tc>
      </w:tr>
      <w:tr>
        <w:trPr>
          <w:trHeight w:val="665"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移动支付平台研发与应用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示范</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648,000.00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648,000.00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（成财建</w:t>
            </w:r>
            <w:r>
              <w:rPr>
                <w:rFonts w:ascii="Times New Roman" w:hAnsi="Times New Roman" w:cs="Times New Roman" w:eastAsia="Times New Roman" w:hint="default"/>
                <w:sz w:val="18"/>
                <w:szCs w:val="18"/>
              </w:rPr>
              <w:t>[2012]79</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新一代应用防火墙研发及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产业化项目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590,000.00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67</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SJW77</w:t>
            </w:r>
            <w:r>
              <w:rPr>
                <w:rFonts w:ascii="Times New Roman" w:hAnsi="Times New Roman" w:cs="Times New Roman" w:eastAsia="Times New Roman" w:hint="default"/>
                <w:spacing w:val="-29"/>
                <w:sz w:val="18"/>
                <w:szCs w:val="18"/>
              </w:rPr>
              <w:t> </w:t>
            </w:r>
            <w:r>
              <w:rPr>
                <w:rFonts w:ascii="宋体" w:hAnsi="宋体" w:cs="宋体" w:eastAsia="宋体" w:hint="default"/>
                <w:spacing w:val="14"/>
                <w:sz w:val="18"/>
                <w:szCs w:val="18"/>
              </w:rPr>
              <w:t>电力专用纵向加密</w:t>
            </w:r>
            <w:r>
              <w:rPr>
                <w:rFonts w:ascii="宋体" w:hAnsi="宋体" w:cs="宋体" w:eastAsia="宋体" w:hint="default"/>
                <w:spacing w:val="-74"/>
                <w:sz w:val="18"/>
                <w:szCs w:val="18"/>
              </w:rPr>
              <w:t> </w:t>
            </w:r>
            <w:r>
              <w:rPr>
                <w:rFonts w:ascii="宋体" w:hAnsi="宋体" w:cs="宋体" w:eastAsia="宋体" w:hint="default"/>
                <w:sz w:val="18"/>
                <w:szCs w:val="18"/>
              </w:rPr>
              <w:t>认证装置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99</w:t>
            </w:r>
            <w:r>
              <w:rPr>
                <w:rFonts w:ascii="宋体" w:hAnsi="宋体" w:cs="宋体" w:eastAsia="宋体" w:hint="default"/>
                <w:sz w:val="18"/>
                <w:szCs w:val="18"/>
              </w:rPr>
              <w:t>号）</w:t>
            </w:r>
          </w:p>
        </w:tc>
      </w:tr>
      <w:tr>
        <w:trPr>
          <w:trHeight w:val="665"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0"/>
              <w:jc w:val="left"/>
              <w:rPr>
                <w:rFonts w:ascii="宋体" w:hAnsi="宋体" w:cs="宋体" w:eastAsia="宋体" w:hint="default"/>
                <w:sz w:val="18"/>
                <w:szCs w:val="18"/>
              </w:rPr>
            </w:pPr>
            <w:r>
              <w:rPr>
                <w:rFonts w:ascii="宋体" w:hAnsi="宋体" w:cs="宋体" w:eastAsia="宋体" w:hint="default"/>
                <w:spacing w:val="9"/>
                <w:sz w:val="18"/>
                <w:szCs w:val="18"/>
              </w:rPr>
              <w:t>一</w:t>
            </w:r>
            <w:r>
              <w:rPr>
                <w:rFonts w:ascii="Times New Roman" w:hAnsi="Times New Roman" w:cs="Times New Roman" w:eastAsia="Times New Roman" w:hint="default"/>
                <w:spacing w:val="9"/>
                <w:sz w:val="18"/>
                <w:szCs w:val="18"/>
              </w:rPr>
              <w:t>KEY</w:t>
            </w:r>
            <w:r>
              <w:rPr>
                <w:rFonts w:ascii="宋体" w:hAnsi="宋体" w:cs="宋体" w:eastAsia="宋体" w:hint="default"/>
                <w:spacing w:val="9"/>
                <w:sz w:val="18"/>
                <w:szCs w:val="18"/>
              </w:rPr>
              <w:t>通综合安全防护系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统</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1182" w:type="dxa"/>
            <w:tcBorders>
              <w:top w:val="single" w:sz="12" w:space="0" w:color="000000"/>
              <w:left w:val="single" w:sz="6" w:space="0" w:color="000000"/>
              <w:bottom w:val="single" w:sz="12" w:space="0" w:color="000000"/>
              <w:right w:val="single" w:sz="6" w:space="0" w:color="000000"/>
            </w:tcBorders>
          </w:tcPr>
          <w:p>
            <w:pP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99</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综合安全网关产业化技术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改造项目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（成高经审【</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635</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摩宝移动电子商务及电子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支付平台应用示范项目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成都市财政局、成都市商务局成 财外</w:t>
            </w:r>
            <w:r>
              <w:rPr>
                <w:rFonts w:ascii="Times New Roman" w:hAnsi="Times New Roman" w:cs="Times New Roman" w:eastAsia="Times New Roman" w:hint="default"/>
                <w:sz w:val="18"/>
                <w:szCs w:val="18"/>
              </w:rPr>
              <w:t>[2012]18</w:t>
            </w:r>
            <w:r>
              <w:rPr>
                <w:rFonts w:ascii="宋体" w:hAnsi="宋体" w:cs="宋体" w:eastAsia="宋体" w:hint="default"/>
                <w:sz w:val="18"/>
                <w:szCs w:val="18"/>
              </w:rPr>
              <w:t>号）</w:t>
            </w:r>
          </w:p>
        </w:tc>
      </w:tr>
      <w:tr>
        <w:trPr>
          <w:trHeight w:val="353"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295,000.00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104,104.50</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190,895.50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综合安全网关（</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年省产</w:t>
            </w:r>
            <w:r>
              <w:rPr>
                <w:rFonts w:ascii="宋体" w:hAnsi="宋体" w:cs="宋体" w:eastAsia="宋体" w:hint="default"/>
                <w:spacing w:val="-84"/>
                <w:sz w:val="18"/>
                <w:szCs w:val="18"/>
              </w:rPr>
              <w:t> </w:t>
            </w:r>
            <w:r>
              <w:rPr>
                <w:rFonts w:ascii="宋体" w:hAnsi="宋体" w:cs="宋体" w:eastAsia="宋体" w:hint="default"/>
                <w:sz w:val="18"/>
                <w:szCs w:val="18"/>
              </w:rPr>
              <w:t>业技术研究与开发资金）</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p>
        </w:tc>
      </w:tr>
      <w:tr>
        <w:trPr>
          <w:trHeight w:val="664"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pacing w:val="11"/>
                <w:sz w:val="18"/>
                <w:szCs w:val="18"/>
              </w:rPr>
              <w:t>国家规划布局内重点软件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企业扶持资金</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100,000.00</w:t>
            </w:r>
          </w:p>
        </w:tc>
        <w:tc>
          <w:tcPr>
            <w:tcW w:w="1181"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100,000.00</w:t>
            </w:r>
          </w:p>
        </w:tc>
        <w:tc>
          <w:tcPr>
            <w:tcW w:w="25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3"/>
                <w:sz w:val="18"/>
                <w:szCs w:val="18"/>
              </w:rPr>
              <w:t>成都市软件产业发展专项资金</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（市经信委部分）</w:t>
            </w:r>
          </w:p>
        </w:tc>
      </w:tr>
      <w:tr>
        <w:trPr>
          <w:trHeight w:val="353" w:hRule="exact"/>
        </w:trPr>
        <w:tc>
          <w:tcPr>
            <w:tcW w:w="2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54,903,000.00</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42,415,158.34</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12,487,841.66</w:t>
            </w:r>
          </w:p>
        </w:tc>
        <w:tc>
          <w:tcPr>
            <w:tcW w:w="254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172,712,065.00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172,712,065.00</w:t>
            </w:r>
          </w:p>
        </w:tc>
      </w:tr>
    </w:tbl>
    <w:p>
      <w:pPr>
        <w:pStyle w:val="BodyText"/>
        <w:spacing w:line="240" w:lineRule="auto" w:before="51"/>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3"/>
        <w:ind w:right="0"/>
        <w:jc w:val="left"/>
      </w:pPr>
      <w:r>
        <w:rPr/>
        <w:t>年的股份有限公司，设立前的年份只需说明净资产情况；有限责任公司整体变更为股份公司应说明公司设立时的验资情况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101,295,335.62</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101,295,335.62</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8,334,349.74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15,849.77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8,318,499.97</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109,629,685.36</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15,849.77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109,613,835.59</w:t>
            </w:r>
          </w:p>
        </w:tc>
      </w:tr>
    </w:tbl>
    <w:p>
      <w:pPr>
        <w:pStyle w:val="BodyText"/>
        <w:spacing w:line="357" w:lineRule="auto" w:before="51"/>
        <w:ind w:left="444" w:right="210" w:hanging="291"/>
        <w:jc w:val="left"/>
      </w:pPr>
      <w:r>
        <w:rPr/>
        <w:t>资本公积说明 本期减少资本公积</w:t>
      </w:r>
      <w:r>
        <w:rPr>
          <w:rFonts w:ascii="Times New Roman" w:hAnsi="Times New Roman" w:cs="Times New Roman" w:eastAsia="Times New Roman" w:hint="default"/>
        </w:rPr>
        <w:t>15,849.77</w:t>
      </w:r>
      <w:r>
        <w:rPr/>
        <w:t>元，包括：</w:t>
      </w:r>
      <w:r>
        <w:rPr>
          <w:rFonts w:ascii="Times New Roman" w:hAnsi="Times New Roman" w:cs="Times New Roman" w:eastAsia="Times New Roman" w:hint="default"/>
        </w:rPr>
        <w:t>1</w:t>
      </w:r>
      <w:r>
        <w:rPr/>
        <w:t>）母公司购买子公司四川卫士通信息安全平台技术有限公司少数股东股权，相</w:t>
      </w:r>
    </w:p>
    <w:p>
      <w:pPr>
        <w:pStyle w:val="BodyText"/>
        <w:spacing w:line="214" w:lineRule="exact"/>
        <w:ind w:right="0"/>
        <w:jc w:val="left"/>
      </w:pPr>
      <w:r>
        <w:rPr/>
        <w:t>应减少资本公积</w:t>
      </w:r>
      <w:r>
        <w:rPr>
          <w:rFonts w:ascii="Times New Roman" w:hAnsi="Times New Roman" w:cs="Times New Roman" w:eastAsia="Times New Roman" w:hint="default"/>
        </w:rPr>
        <w:t>15,912.99</w:t>
      </w:r>
      <w:r>
        <w:rPr/>
        <w:t>；</w:t>
      </w:r>
      <w:r>
        <w:rPr>
          <w:rFonts w:ascii="Times New Roman" w:hAnsi="Times New Roman" w:cs="Times New Roman" w:eastAsia="Times New Roman" w:hint="default"/>
        </w:rPr>
        <w:t>2</w:t>
      </w:r>
      <w:r>
        <w:rPr/>
        <w:t>）母公司购买子公司成都摩宝网络科技有限公司少数股东股权，相应增加资本公积</w:t>
      </w:r>
      <w:r>
        <w:rPr>
          <w:rFonts w:ascii="Times New Roman" w:hAnsi="Times New Roman" w:cs="Times New Roman" w:eastAsia="Times New Roman" w:hint="default"/>
        </w:rPr>
        <w:t>63.22</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38,682,461.60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302,626.48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38,985,088.08</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38,682,461.60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302,626.48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38,985,088.08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193,742,778.22</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193,742,778.22</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17,872,345.54</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302,626.48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8,635,603.23</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202,676,894.05</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left="153" w:right="141" w:firstLine="290"/>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日公司第五届董事会第七次会议及</w:t>
      </w:r>
      <w:r>
        <w:rPr>
          <w:rFonts w:ascii="Times New Roman" w:hAnsi="Times New Roman" w:cs="Times New Roman" w:eastAsia="Times New Roman" w:hint="default"/>
        </w:rPr>
        <w:t>2011</w:t>
      </w:r>
      <w:r>
        <w:rPr/>
        <w:t>年度股东大会决议通过的</w:t>
      </w:r>
      <w:r>
        <w:rPr>
          <w:rFonts w:ascii="Times New Roman" w:hAnsi="Times New Roman" w:cs="Times New Roman" w:eastAsia="Times New Roman" w:hint="default"/>
        </w:rPr>
        <w:t>2011</w:t>
      </w:r>
      <w:r>
        <w:rPr/>
        <w:t>年度利润分配方案，公司以</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172,712,065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w:t>
      </w:r>
      <w:r>
        <w:rPr/>
        <w:t>元人民币现金，合计分配普通股股利</w:t>
      </w:r>
      <w:r>
        <w:rPr>
          <w:rFonts w:ascii="Times New Roman" w:hAnsi="Times New Roman" w:cs="Times New Roman" w:eastAsia="Times New Roman" w:hint="default"/>
        </w:rPr>
        <w:t>8,635,603.23</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26</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317,100,862.23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508,219,658.68</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328,843.74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139,326.05</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131,935,638.36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210,730,491.50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82" w:header="747"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317,100,862.23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131,865,701.70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508,219,658.68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210,668,192.50</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317,100,862.23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131,865,701.70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508,219,658.68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210,668,192.50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单机产品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169,481,274.83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30,621,900.46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268,338,490.12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62,383,320.66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21,777,193.83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2,935,447.38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61,244,036.88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9,153,564.45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110,840,476.16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85,222,646.29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154,978,210.21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117,593,387.06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15,001,917.41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13,085,707.57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23,658,921.47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21,537,920.33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317,100,862.23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131,865,701.70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508,219,658.68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210,668,192.50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8,528,417.62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2,521,245.57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19,976,720.64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10,050,055.07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108,076,773.15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46,385,313.41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133,517,433.71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37,505,175.63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54,040,387.38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24,647,406.30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109,195,086.85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52,680,869.51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17,589,282.39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3,272,565.54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29,743,501.73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9,838,421.92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8,470,798.30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1,924,774.01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12,625,632.03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3,419,226.68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17,400,235.73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9,753,714.50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42,872,104.13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15,938,914.06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101,994,093.79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43,276,415.50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159,900,179.59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81,222,863.46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1,000,873.87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84,266.87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12,666.17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317,100,862.23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131,865,701.70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508,219,658.68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210,668,192.50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footerReference w:type="default" r:id="rId21"/>
          <w:pgSz w:w="11910" w:h="16840"/>
          <w:pgMar w:footer="982" w:header="747" w:top="1060" w:bottom="1180" w:left="980" w:right="98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2836"/>
        <w:gridCol w:w="3331"/>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26,133,076.87</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中国航空综合技术研究所</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11,444,444.45</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四川省电力公司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10,155,821.47</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海澜之家服饰股份有限公司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8,407,626.02</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中国石油天然气集团公司管材研究所</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7,346,153.81</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63,487,122.62</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1,086,644.08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739,817.80</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2,688,359.48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3,198,739.75</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1,198,939.32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1,393,086.30</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617,925.54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899,387.35</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0.07%</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610,226.07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924,829.77</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18,194.24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10,565.23</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6,220,288.73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7,166,426.20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41,751,863.89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42,451,940.95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4,784,517.50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11,099,415.38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6,935,740.46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7,596,007.47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用户培训费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3,454,022.09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7,415,798.47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2,909,621.84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5,194,615.53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3,691,915.04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3,467,007.52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5,926,586.73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1,942,707.50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1,890,582.00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1,516,370.88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1,387,408.89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1,230,754.09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2,435,953.00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1,216,889.22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1,582,820.83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1,094,096.42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156,712.09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824,321.29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76,907,744.36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85,049,924.72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51,364,391.76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62,099,499.47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26,446,592.82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24,129,583.69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8,599,227.31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9,664,669.92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3,406,023.97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4,017,269.33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3,693,990.25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2,894,824.81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3,747,430.11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2,801,055.10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1,106,020.71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2,284,637.57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2,602,561.40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2,138,022.00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775,443.60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1,284,480.80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873,795.31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368,986.28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792,844.30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463,328.38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250,928.79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335,838.00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103,870,675.94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113,754,939.47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-2,815,174.85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-2,744,543.27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98,124.01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140,698.66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-2,717,050.84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-2,603,844.61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1,851,949.53</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1,851,949.53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9,808,899.23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5,516,136.19</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8,776,924.81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2,608,426.28</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791,037.48</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19,901,861.52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8,124,562.47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2,802.04</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2,802.04</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31,691,607.85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19,758,935.31</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66,338.53</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67,887.79</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74,119.83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65,285.16</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31,788,941.01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19,961,248.83</w:t>
            </w: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252"/>
        <w:gridCol w:w="1442"/>
        <w:gridCol w:w="3472"/>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96.8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1252"/>
                    <w:gridCol w:w="1442"/>
                    <w:gridCol w:w="3472"/>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税款返还</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17,231,400.54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7,304,278.37</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财税</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电子商务支付服务项目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（成财外</w:t>
                        </w:r>
                        <w:r>
                          <w:rPr>
                            <w:rFonts w:ascii="Times New Roman" w:hAnsi="Times New Roman" w:cs="Times New Roman" w:eastAsia="Times New Roman" w:hint="default"/>
                            <w:sz w:val="18"/>
                            <w:szCs w:val="18"/>
                          </w:rPr>
                          <w:t>[2012]104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安全云产业化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2,685,884.16</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（成财建【</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2" w:lineRule="auto" w:before="63"/>
                          <w:ind w:left="22" w:right="109"/>
                          <w:jc w:val="left"/>
                          <w:rPr>
                            <w:rFonts w:ascii="宋体" w:hAnsi="宋体" w:cs="宋体" w:eastAsia="宋体" w:hint="default"/>
                            <w:sz w:val="18"/>
                            <w:szCs w:val="18"/>
                          </w:rPr>
                        </w:pPr>
                        <w:r>
                          <w:rPr>
                            <w:rFonts w:ascii="宋体" w:hAnsi="宋体" w:cs="宋体" w:eastAsia="宋体" w:hint="default"/>
                            <w:spacing w:val="-13"/>
                            <w:sz w:val="18"/>
                            <w:szCs w:val="18"/>
                          </w:rPr>
                          <w:t>（成高经发【</w:t>
                        </w:r>
                        <w:r>
                          <w:rPr>
                            <w:rFonts w:ascii="Times New Roman" w:hAnsi="Times New Roman" w:cs="Times New Roman" w:eastAsia="Times New Roman" w:hint="default"/>
                            <w:spacing w:val="-13"/>
                            <w:sz w:val="18"/>
                            <w:szCs w:val="18"/>
                          </w:rPr>
                          <w:t>2012</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55</w:t>
                        </w:r>
                        <w:r>
                          <w:rPr>
                            <w:rFonts w:ascii="Times New Roman" w:hAnsi="Times New Roman" w:cs="Times New Roman" w:eastAsia="Times New Roman" w:hint="default"/>
                            <w:spacing w:val="13"/>
                            <w:sz w:val="18"/>
                            <w:szCs w:val="18"/>
                          </w:rPr>
                          <w:t> </w:t>
                        </w:r>
                        <w:r>
                          <w:rPr>
                            <w:rFonts w:ascii="宋体" w:hAnsi="宋体" w:cs="宋体" w:eastAsia="宋体" w:hint="default"/>
                            <w:spacing w:val="-27"/>
                            <w:sz w:val="18"/>
                            <w:szCs w:val="18"/>
                          </w:rPr>
                          <w:t>号），（成高经发【</w:t>
                        </w:r>
                        <w:r>
                          <w:rPr>
                            <w:rFonts w:ascii="Times New Roman" w:hAnsi="Times New Roman" w:cs="Times New Roman" w:eastAsia="Times New Roman" w:hint="default"/>
                            <w:spacing w:val="-27"/>
                            <w:sz w:val="18"/>
                            <w:szCs w:val="18"/>
                          </w:rPr>
                          <w:t>2012</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平台政策性项目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（成高经发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内网综合安全防护系统研发及产业化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新一代信息安全关键设备的研发与产业化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815,834.46</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（成财教【</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367</w:t>
                        </w:r>
                        <w:r>
                          <w:rPr>
                            <w:rFonts w:ascii="宋体" w:hAnsi="宋体" w:cs="宋体" w:eastAsia="宋体" w:hint="default"/>
                            <w:sz w:val="18"/>
                            <w:szCs w:val="18"/>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新一代应用防火墙研发及产业化项目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（成高经发【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面向电子商务的安全支付平台</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584,828.00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115,172.00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成都财政局、科技技术局成财教</w:t>
                        </w:r>
                        <w:r>
                          <w:rPr>
                            <w:rFonts w:ascii="Times New Roman" w:hAnsi="Times New Roman" w:cs="Times New Roman" w:eastAsia="Times New Roman" w:hint="default"/>
                            <w:sz w:val="18"/>
                            <w:szCs w:val="18"/>
                          </w:rPr>
                          <w:t>[2010]334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年物联网发展专项资金</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583,336.21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757,854.60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成都市财政局（成财企</w:t>
                        </w:r>
                        <w:r>
                          <w:rPr>
                            <w:rFonts w:ascii="Times New Roman" w:hAnsi="Times New Roman" w:cs="Times New Roman" w:eastAsia="Times New Roman" w:hint="default"/>
                            <w:sz w:val="18"/>
                            <w:szCs w:val="18"/>
                          </w:rPr>
                          <w:t>[2011]91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移动支付安全中间件成果转化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559,943.14</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（成财教</w:t>
                        </w:r>
                        <w:r>
                          <w:rPr>
                            <w:rFonts w:ascii="Times New Roman" w:hAnsi="Times New Roman" w:cs="Times New Roman" w:eastAsia="Times New Roman" w:hint="default"/>
                            <w:sz w:val="18"/>
                            <w:szCs w:val="18"/>
                          </w:rPr>
                          <w:t>[2011]347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云计算关键支撑软件（平台安全软件）研究</w:t>
                        </w:r>
                        <w:r>
                          <w:rPr>
                            <w:rFonts w:ascii="宋体" w:hAnsi="宋体" w:cs="宋体" w:eastAsia="宋体" w:hint="default"/>
                            <w:sz w:val="18"/>
                            <w:szCs w:val="18"/>
                          </w:rPr>
                          <w:t> 与产业化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526,234.77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917,484.30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（工信部财函【</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综合安全网关产业化技术改造项目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（成高经审【</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635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318,552.98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3,842,546.41</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无批文</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摩宝移动电子商务及电子支付平台应用示 范项目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（成财外</w:t>
                        </w:r>
                        <w:r>
                          <w:rPr>
                            <w:rFonts w:ascii="Times New Roman" w:hAnsi="Times New Roman" w:cs="Times New Roman" w:eastAsia="Times New Roman" w:hint="default"/>
                            <w:sz w:val="18"/>
                            <w:szCs w:val="18"/>
                          </w:rPr>
                          <w:t>[2012]18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综合安全网关（</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年省产业技术研究与 开发资金）</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安全云存储服务系统</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144,399.19</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成都高新区软件及服务外包产业推进办公 室成都高新区软件产业发展专项资金项目 合同书，合作技术开发合同</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国家规划布局内重点软件企业扶持资金</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成都市经济和信息化委员会，成都市软件产 业发展专项资金（市经信委部分）项目（事 项）经费合同</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基于国产操作系统的终端安全防护工具研 发</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中华人民共和国财政部网上公示关于《</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年第一批工业转型升级资金拟支持名单公 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工业控制安全防护系统研发与产业化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12,784.40</w:t>
                        </w: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近距离通信技术研发及产业化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499,953.59</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成高科</w:t>
                        </w:r>
                        <w:r>
                          <w:rPr>
                            <w:rFonts w:ascii="Times New Roman" w:hAnsi="Times New Roman" w:cs="Times New Roman" w:eastAsia="Times New Roman" w:hint="default"/>
                            <w:sz w:val="18"/>
                            <w:szCs w:val="18"/>
                          </w:rPr>
                          <w:t>[2011]130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移动电子商务及电子支付</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905,355.22</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成高科</w:t>
                        </w:r>
                        <w:r>
                          <w:rPr>
                            <w:rFonts w:ascii="Times New Roman" w:hAnsi="Times New Roman" w:cs="Times New Roman" w:eastAsia="Times New Roman" w:hint="default"/>
                            <w:sz w:val="18"/>
                            <w:szCs w:val="18"/>
                          </w:rPr>
                          <w:t>[2010]68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科技型中小企业创业基金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11C26215103358</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科技型中小企业创业基金</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11C26215103358(</w:t>
                        </w:r>
                        <w:r>
                          <w:rPr>
                            <w:rFonts w:ascii="宋体" w:hAnsi="宋体" w:cs="宋体" w:eastAsia="宋体" w:hint="default"/>
                            <w:sz w:val="18"/>
                            <w:szCs w:val="18"/>
                          </w:rPr>
                          <w:t>成高科</w:t>
                        </w:r>
                        <w:r>
                          <w:rPr>
                            <w:rFonts w:ascii="Times New Roman" w:hAnsi="Times New Roman" w:cs="Times New Roman" w:eastAsia="Times New Roman" w:hint="default"/>
                            <w:sz w:val="18"/>
                            <w:szCs w:val="18"/>
                          </w:rPr>
                          <w:t>[2010]242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成都高新区科技局和成都高新区财政局 成 高科</w:t>
                        </w:r>
                        <w:r>
                          <w:rPr>
                            <w:rFonts w:ascii="Times New Roman" w:hAnsi="Times New Roman" w:cs="Times New Roman" w:eastAsia="Times New Roman" w:hint="default"/>
                            <w:sz w:val="18"/>
                            <w:szCs w:val="18"/>
                          </w:rPr>
                          <w:t>[2010]242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财政部财建</w:t>
                        </w:r>
                        <w:r>
                          <w:rPr>
                            <w:rFonts w:ascii="Times New Roman" w:hAnsi="Times New Roman" w:cs="Times New Roman" w:eastAsia="Times New Roman" w:hint="default"/>
                            <w:spacing w:val="-1"/>
                            <w:sz w:val="18"/>
                            <w:szCs w:val="18"/>
                          </w:rPr>
                          <w:t>[2008]484</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号，工业和信息化部工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信部</w:t>
                        </w:r>
                        <w:r>
                          <w:rPr>
                            <w:rFonts w:ascii="Times New Roman" w:hAnsi="Times New Roman" w:cs="Times New Roman" w:eastAsia="Times New Roman" w:hint="default"/>
                            <w:sz w:val="18"/>
                            <w:szCs w:val="18"/>
                          </w:rPr>
                          <w:t>[2008]192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44"/>
        <w:ind w:left="0" w:right="157"/>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1252"/>
        <w:gridCol w:w="1442"/>
        <w:gridCol w:w="3472"/>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网络安全隔离与信息交换设备</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282,553.98</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促进企业提高信息化专项拨款</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促进企业提高信息化专项</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258,800.00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促进企业实施标准化战略专项拨款</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促进企业实施标准化战略专项</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（电科财</w:t>
            </w:r>
            <w:r>
              <w:rPr>
                <w:rFonts w:ascii="Times New Roman" w:hAnsi="Times New Roman" w:cs="Times New Roman" w:eastAsia="Times New Roman" w:hint="default"/>
                <w:sz w:val="18"/>
                <w:szCs w:val="18"/>
              </w:rPr>
              <w:t>[2011]470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综合无线安全网关技术研发</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3,270,000.00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06C26225101731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千兆网络安全平台</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611,936.84</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成财建</w:t>
            </w:r>
            <w:r>
              <w:rPr>
                <w:rFonts w:ascii="Times New Roman" w:hAnsi="Times New Roman" w:cs="Times New Roman" w:eastAsia="Times New Roman" w:hint="default"/>
                <w:sz w:val="18"/>
                <w:szCs w:val="18"/>
              </w:rPr>
              <w:t>[2010]218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高性能网络安全平台系列产品</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成都市科技局专利资助资金</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93,000.00</w:t>
            </w:r>
          </w:p>
        </w:tc>
        <w:tc>
          <w:tcPr>
            <w:tcW w:w="34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成都市科技局专利资助资金</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31,691,607.85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19,758,935.31</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20,855.98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20,855.98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13,734.07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133,863.62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45,615.01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营业外支出说明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6,168,135.65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21,131,799.60</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-3,179,806.34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-2,978,524.90</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2,988,329.31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18,153,274.70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36</w:t>
      </w:r>
      <w:r>
        <w:rPr/>
        <w:t>、基本每股收益和稀释每股收益的计算过程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0"/>
        <w:jc w:val="left"/>
      </w:pPr>
      <w:r>
        <w:rPr>
          <w:rFonts w:ascii="Times New Roman" w:hAnsi="Times New Roman" w:cs="Times New Roman" w:eastAsia="Times New Roman" w:hint="default"/>
        </w:rPr>
        <w:t>1</w:t>
      </w:r>
      <w:r>
        <w:rPr/>
        <w:t>．基本每股收益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634"/>
        <w:gridCol w:w="1134"/>
        <w:gridCol w:w="1721"/>
        <w:gridCol w:w="1720"/>
      </w:tblGrid>
      <w:tr>
        <w:trPr>
          <w:trHeight w:val="355" w:hRule="exact"/>
        </w:trPr>
        <w:tc>
          <w:tcPr>
            <w:tcW w:w="3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3" w:hRule="exact"/>
        </w:trPr>
        <w:tc>
          <w:tcPr>
            <w:tcW w:w="3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a</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79" w:right="0"/>
              <w:jc w:val="left"/>
              <w:rPr>
                <w:rFonts w:ascii="Times New Roman" w:hAnsi="Times New Roman" w:cs="Times New Roman" w:eastAsia="Times New Roman" w:hint="default"/>
                <w:sz w:val="18"/>
                <w:szCs w:val="18"/>
              </w:rPr>
            </w:pPr>
            <w:r>
              <w:rPr>
                <w:rFonts w:ascii="Times New Roman"/>
                <w:sz w:val="18"/>
              </w:rPr>
              <w:t>172,712,065.00</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132,855,435.00</w:t>
            </w:r>
          </w:p>
        </w:tc>
      </w:tr>
      <w:tr>
        <w:trPr>
          <w:trHeight w:val="664" w:hRule="exact"/>
        </w:trPr>
        <w:tc>
          <w:tcPr>
            <w:tcW w:w="36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加股份数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b</w:t>
            </w:r>
          </w:p>
        </w:tc>
        <w:tc>
          <w:tcPr>
            <w:tcW w:w="172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39,856,630.00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96"/>
        <w:gridCol w:w="2737"/>
        <w:gridCol w:w="1134"/>
        <w:gridCol w:w="1721"/>
        <w:gridCol w:w="1720"/>
      </w:tblGrid>
      <w:tr>
        <w:trPr>
          <w:trHeight w:val="355" w:hRule="exact"/>
        </w:trPr>
        <w:tc>
          <w:tcPr>
            <w:tcW w:w="36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c</w:t>
            </w:r>
          </w:p>
        </w:tc>
        <w:tc>
          <w:tcPr>
            <w:tcW w:w="1721" w:type="dxa"/>
            <w:tcBorders>
              <w:top w:val="single" w:sz="6" w:space="0" w:color="000000"/>
              <w:left w:val="single" w:sz="6" w:space="0" w:color="000000"/>
              <w:bottom w:val="single" w:sz="12" w:space="0" w:color="000000"/>
              <w:right w:val="single" w:sz="6" w:space="0" w:color="000000"/>
            </w:tcBorders>
          </w:tcPr>
          <w:p>
            <w:pPr/>
          </w:p>
        </w:tc>
        <w:tc>
          <w:tcPr>
            <w:tcW w:w="1720"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d</w:t>
            </w:r>
          </w:p>
        </w:tc>
        <w:tc>
          <w:tcPr>
            <w:tcW w:w="172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e</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12</w:t>
            </w:r>
          </w:p>
        </w:tc>
      </w:tr>
      <w:tr>
        <w:trPr>
          <w:trHeight w:val="352"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f</w:t>
            </w:r>
          </w:p>
        </w:tc>
        <w:tc>
          <w:tcPr>
            <w:tcW w:w="172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g</w:t>
            </w:r>
          </w:p>
        </w:tc>
        <w:tc>
          <w:tcPr>
            <w:tcW w:w="172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h</w:t>
            </w:r>
          </w:p>
        </w:tc>
        <w:tc>
          <w:tcPr>
            <w:tcW w:w="172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6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i=a+b+c×d</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÷e-f×g÷e-h</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172,712,065.00</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353"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j</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17,872,345.54</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86,496,177.37</w:t>
            </w:r>
          </w:p>
        </w:tc>
      </w:tr>
      <w:tr>
        <w:trPr>
          <w:trHeight w:val="352"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k</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9,043,776.87</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11,055,768.54</w:t>
            </w:r>
          </w:p>
        </w:tc>
      </w:tr>
      <w:tr>
        <w:trPr>
          <w:trHeight w:val="664" w:hRule="exact"/>
        </w:trPr>
        <w:tc>
          <w:tcPr>
            <w:tcW w:w="363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净利润</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l</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8,828,568.67</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75,440,408.83</w:t>
            </w:r>
          </w:p>
        </w:tc>
      </w:tr>
      <w:tr>
        <w:trPr>
          <w:trHeight w:val="664" w:hRule="exact"/>
        </w:trPr>
        <w:tc>
          <w:tcPr>
            <w:tcW w:w="896" w:type="dxa"/>
            <w:vMerge w:val="restart"/>
            <w:tcBorders>
              <w:top w:val="single" w:sz="12" w:space="0" w:color="000000"/>
              <w:left w:val="single" w:sz="6" w:space="0" w:color="000000"/>
              <w:right w:val="single" w:sz="6" w:space="0" w:color="000000"/>
            </w:tcBorders>
          </w:tcPr>
          <w:p>
            <w:pPr>
              <w:pStyle w:val="TableParagraph"/>
              <w:spacing w:line="316" w:lineRule="auto" w:before="10"/>
              <w:ind w:left="170" w:right="169"/>
              <w:jc w:val="left"/>
              <w:rPr>
                <w:rFonts w:ascii="宋体" w:hAnsi="宋体" w:cs="宋体" w:eastAsia="宋体" w:hint="default"/>
                <w:sz w:val="18"/>
                <w:szCs w:val="18"/>
              </w:rPr>
            </w:pPr>
            <w:r>
              <w:rPr>
                <w:rFonts w:ascii="宋体" w:hAnsi="宋体" w:cs="宋体" w:eastAsia="宋体" w:hint="default"/>
                <w:sz w:val="18"/>
                <w:szCs w:val="18"/>
              </w:rPr>
              <w:t>基本每 股收益</w:t>
            </w:r>
          </w:p>
        </w:tc>
        <w:tc>
          <w:tcPr>
            <w:tcW w:w="27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按归属于公司普通股股东的净利润</w:t>
            </w:r>
            <w:r>
              <w:rPr>
                <w:rFonts w:ascii="宋体" w:hAnsi="宋体" w:cs="宋体" w:eastAsia="宋体" w:hint="default"/>
                <w:spacing w:val="-76"/>
                <w:sz w:val="18"/>
                <w:szCs w:val="18"/>
              </w:rPr>
              <w:t> </w:t>
            </w:r>
            <w:r>
              <w:rPr>
                <w:rFonts w:ascii="宋体" w:hAnsi="宋体" w:cs="宋体" w:eastAsia="宋体" w:hint="default"/>
                <w:sz w:val="18"/>
                <w:szCs w:val="18"/>
              </w:rPr>
              <w:t>计算</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m=j/i</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0.1035</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0.5008</w:t>
            </w:r>
          </w:p>
        </w:tc>
      </w:tr>
      <w:tr>
        <w:trPr>
          <w:trHeight w:val="665" w:hRule="exact"/>
        </w:trPr>
        <w:tc>
          <w:tcPr>
            <w:tcW w:w="896" w:type="dxa"/>
            <w:vMerge/>
            <w:tcBorders>
              <w:left w:val="single" w:sz="6" w:space="0" w:color="000000"/>
              <w:bottom w:val="single" w:sz="12" w:space="0" w:color="000000"/>
              <w:right w:val="single" w:sz="6" w:space="0" w:color="000000"/>
            </w:tcBorders>
          </w:tcPr>
          <w:p>
            <w:pPr/>
          </w:p>
        </w:tc>
        <w:tc>
          <w:tcPr>
            <w:tcW w:w="27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按扣除非经常性损益后归属于公司</w:t>
            </w:r>
            <w:r>
              <w:rPr>
                <w:rFonts w:ascii="宋体" w:hAnsi="宋体" w:cs="宋体" w:eastAsia="宋体" w:hint="default"/>
                <w:spacing w:val="-76"/>
                <w:sz w:val="18"/>
                <w:szCs w:val="18"/>
              </w:rPr>
              <w:t> </w:t>
            </w:r>
            <w:r>
              <w:rPr>
                <w:rFonts w:ascii="宋体" w:hAnsi="宋体" w:cs="宋体" w:eastAsia="宋体" w:hint="default"/>
                <w:sz w:val="18"/>
                <w:szCs w:val="18"/>
              </w:rPr>
              <w:t>普通股股东的净利润计算</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n=</w:t>
            </w:r>
            <w:r>
              <w:rPr>
                <w:rFonts w:ascii="Times New Roman"/>
                <w:spacing w:val="-8"/>
                <w:sz w:val="21"/>
              </w:rPr>
              <w:t> </w:t>
            </w:r>
            <w:r>
              <w:rPr>
                <w:rFonts w:ascii="Times New Roman"/>
                <w:sz w:val="18"/>
              </w:rPr>
              <w:t>l</w:t>
            </w:r>
            <w:r>
              <w:rPr>
                <w:rFonts w:ascii="Times New Roman"/>
                <w:sz w:val="21"/>
              </w:rPr>
              <w:t>/i</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0.0511</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0.4368</w:t>
            </w:r>
          </w:p>
        </w:tc>
      </w:tr>
    </w:tbl>
    <w:p>
      <w:pPr>
        <w:pStyle w:val="BodyText"/>
        <w:spacing w:line="240" w:lineRule="auto" w:before="10"/>
        <w:ind w:left="444" w:right="0"/>
        <w:jc w:val="left"/>
      </w:pPr>
      <w:r>
        <w:rPr>
          <w:rFonts w:ascii="Times New Roman" w:hAnsi="Times New Roman" w:cs="Times New Roman" w:eastAsia="Times New Roman" w:hint="default"/>
        </w:rPr>
        <w:t>2</w:t>
      </w:r>
      <w:r>
        <w:rPr/>
        <w:t>．稀释每股收益</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805"/>
        <w:gridCol w:w="2834"/>
        <w:gridCol w:w="1134"/>
        <w:gridCol w:w="1722"/>
        <w:gridCol w:w="1723"/>
      </w:tblGrid>
      <w:tr>
        <w:trPr>
          <w:trHeight w:val="355" w:hRule="exact"/>
        </w:trPr>
        <w:tc>
          <w:tcPr>
            <w:tcW w:w="364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0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2"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a</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172,712,065.00</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132,855,435.00</w:t>
            </w:r>
          </w:p>
        </w:tc>
      </w:tr>
      <w:tr>
        <w:trPr>
          <w:trHeight w:val="665"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加股份数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b</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39,856,630.00</w:t>
            </w:r>
          </w:p>
        </w:tc>
      </w:tr>
      <w:tr>
        <w:trPr>
          <w:trHeight w:val="352"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c</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d</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e</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12</w:t>
            </w:r>
          </w:p>
        </w:tc>
      </w:tr>
      <w:tr>
        <w:trPr>
          <w:trHeight w:val="352"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f</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g</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h</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i=a+b+c×d</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÷e-f×g÷e-h</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172,712,065.00</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664"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认股权证、股份期权、可转换债券等增加的普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通股加权平均数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j</w:t>
            </w:r>
          </w:p>
        </w:tc>
        <w:tc>
          <w:tcPr>
            <w:tcW w:w="1722" w:type="dxa"/>
            <w:tcBorders>
              <w:top w:val="single" w:sz="12" w:space="0" w:color="000000"/>
              <w:left w:val="single" w:sz="6" w:space="0" w:color="000000"/>
              <w:bottom w:val="single" w:sz="12" w:space="0" w:color="000000"/>
              <w:right w:val="single" w:sz="6" w:space="0" w:color="000000"/>
            </w:tcBorders>
          </w:tcPr>
          <w:p>
            <w:pPr/>
          </w:p>
        </w:tc>
        <w:tc>
          <w:tcPr>
            <w:tcW w:w="172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k</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17,872,345.54</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86,496,177.37</w:t>
            </w:r>
          </w:p>
        </w:tc>
      </w:tr>
      <w:tr>
        <w:trPr>
          <w:trHeight w:val="352"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l</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9,043,776.87</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11,055,768.54</w:t>
            </w:r>
          </w:p>
        </w:tc>
      </w:tr>
      <w:tr>
        <w:trPr>
          <w:trHeight w:val="664" w:hRule="exact"/>
        </w:trPr>
        <w:tc>
          <w:tcPr>
            <w:tcW w:w="364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净利润</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m</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8,828,568.67</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75,440,408.83</w:t>
            </w:r>
          </w:p>
        </w:tc>
      </w:tr>
      <w:tr>
        <w:trPr>
          <w:trHeight w:val="665" w:hRule="exact"/>
        </w:trPr>
        <w:tc>
          <w:tcPr>
            <w:tcW w:w="805" w:type="dxa"/>
            <w:vMerge w:val="restart"/>
            <w:tcBorders>
              <w:top w:val="single" w:sz="12" w:space="0" w:color="000000"/>
              <w:left w:val="single" w:sz="6" w:space="0" w:color="000000"/>
              <w:right w:val="single" w:sz="6" w:space="0" w:color="000000"/>
            </w:tcBorders>
          </w:tcPr>
          <w:p>
            <w:pPr>
              <w:pStyle w:val="TableParagraph"/>
              <w:spacing w:line="316" w:lineRule="auto" w:before="10"/>
              <w:ind w:left="124" w:right="125"/>
              <w:jc w:val="left"/>
              <w:rPr>
                <w:rFonts w:ascii="宋体" w:hAnsi="宋体" w:cs="宋体" w:eastAsia="宋体" w:hint="default"/>
                <w:sz w:val="18"/>
                <w:szCs w:val="18"/>
              </w:rPr>
            </w:pPr>
            <w:r>
              <w:rPr>
                <w:rFonts w:ascii="宋体" w:hAnsi="宋体" w:cs="宋体" w:eastAsia="宋体" w:hint="default"/>
                <w:sz w:val="18"/>
                <w:szCs w:val="18"/>
              </w:rPr>
              <w:t>稀释每 股收益</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7"/>
              <w:jc w:val="left"/>
              <w:rPr>
                <w:rFonts w:ascii="宋体" w:hAnsi="宋体" w:cs="宋体" w:eastAsia="宋体" w:hint="default"/>
                <w:sz w:val="18"/>
                <w:szCs w:val="18"/>
              </w:rPr>
            </w:pPr>
            <w:r>
              <w:rPr>
                <w:rFonts w:ascii="宋体" w:hAnsi="宋体" w:cs="宋体" w:eastAsia="宋体" w:hint="default"/>
                <w:spacing w:val="7"/>
                <w:sz w:val="18"/>
                <w:szCs w:val="18"/>
              </w:rPr>
              <w:t>按归属于公司普通股股东的净利润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计算</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n=k÷(i+j)</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0.1035</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0.5008</w:t>
            </w:r>
          </w:p>
        </w:tc>
      </w:tr>
      <w:tr>
        <w:trPr>
          <w:trHeight w:val="664" w:hRule="exact"/>
        </w:trPr>
        <w:tc>
          <w:tcPr>
            <w:tcW w:w="805" w:type="dxa"/>
            <w:vMerge/>
            <w:tcBorders>
              <w:left w:val="single" w:sz="6" w:space="0" w:color="000000"/>
              <w:bottom w:val="single" w:sz="12" w:space="0" w:color="000000"/>
              <w:right w:val="single" w:sz="6" w:space="0" w:color="000000"/>
            </w:tcBorders>
          </w:tcPr>
          <w:p>
            <w:pP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7"/>
              <w:jc w:val="left"/>
              <w:rPr>
                <w:rFonts w:ascii="宋体" w:hAnsi="宋体" w:cs="宋体" w:eastAsia="宋体" w:hint="default"/>
                <w:sz w:val="18"/>
                <w:szCs w:val="18"/>
              </w:rPr>
            </w:pPr>
            <w:r>
              <w:rPr>
                <w:rFonts w:ascii="宋体" w:hAnsi="宋体" w:cs="宋体" w:eastAsia="宋体" w:hint="default"/>
                <w:spacing w:val="7"/>
                <w:sz w:val="18"/>
                <w:szCs w:val="18"/>
              </w:rPr>
              <w:t>按扣除非经常性损益后归属于公司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普通股股东的净利润计算</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o=m÷(i+j)</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0.0511</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0.4368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37</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54,921,410.00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11,775,636.88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2,815,174.85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收到履约投标保证金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1,848,046.25</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71,360,267.98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费用化研发支出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14,731,701.69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8,599,227.31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用户培训费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3,454,022.09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7,711,184.06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4,920,651.06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6,523,692.28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5,154,322.65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6,114,265.96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3,801,151.50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3,910,298.43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3,529,683.54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5,475,626.73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1,232,294.96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1,859,632.23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劳保费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1,415,979.58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98,124.01</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78,531,858.08</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9,702,295.98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89,750,793.63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19,901,861.52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8,124,562.47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9,257,051.18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6,772,001.58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310,314.64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342,836.05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250,928.79</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20,855.98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-921.10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-4,865.00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67,896.54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-1,851,949.53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-3,179,806.34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-2,978,524.90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-4,719,321.25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-2,676,747.03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-17,447,634.75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-56,919,104.31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53,077,548.80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-26,630,165.80</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67,536,136.81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13,968,770.34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386,125,001.32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366,249,886.88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366,249,886.88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352,656,185.81</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19,875,114.44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13,593,701.07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2234"/>
        <w:gridCol w:w="2656"/>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234"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501,906.75</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234"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501,906.75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2234"/>
        <w:gridCol w:w="2656"/>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234"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1,695,478.98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34"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1,745,478.98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34"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386,125,001.32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366,249,886.88</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224,748.15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198,508.06</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385,900,253.17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366,051,378.82</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386,125,001.32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366,249,886.88</w:t>
            </w:r>
          </w:p>
        </w:tc>
      </w:tr>
    </w:tbl>
    <w:p>
      <w:pPr>
        <w:pStyle w:val="BodyText"/>
        <w:spacing w:line="439" w:lineRule="auto" w:before="51"/>
        <w:ind w:left="513" w:right="5451" w:hanging="360"/>
        <w:jc w:val="left"/>
      </w:pPr>
      <w:r>
        <w:rPr/>
        <w:t>现金流量表补充资料的说明 不属于现金及现金等价物的货币资金情况的说明：</w:t>
      </w:r>
    </w:p>
    <w:p>
      <w:pPr>
        <w:pStyle w:val="BodyText"/>
        <w:spacing w:line="300" w:lineRule="auto" w:before="46"/>
        <w:ind w:right="149" w:firstLine="359"/>
        <w:jc w:val="both"/>
      </w:pPr>
      <w:r>
        <w:rPr>
          <w:rFonts w:ascii="Times New Roman" w:hAnsi="Times New Roman" w:cs="Times New Roman" w:eastAsia="Times New Roman" w:hint="default"/>
        </w:rPr>
        <w:t>2012</w:t>
      </w:r>
      <w:r>
        <w:rPr/>
        <w:t>年度合并现金流量表中现金及现金等价物期末数为</w:t>
      </w:r>
      <w:r>
        <w:rPr>
          <w:rFonts w:ascii="Times New Roman" w:hAnsi="Times New Roman" w:cs="Times New Roman" w:eastAsia="Times New Roman" w:hint="default"/>
        </w:rPr>
        <w:t>386,125,001.32</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日合并资产负债表中货币资金</w:t>
      </w:r>
      <w:r>
        <w:rPr>
          <w:spacing w:val="1"/>
        </w:rPr>
        <w:t> </w:t>
      </w:r>
      <w:r>
        <w:rPr/>
        <w:t>期末数为</w:t>
      </w:r>
      <w:r>
        <w:rPr>
          <w:rFonts w:ascii="Times New Roman" w:hAnsi="Times New Roman" w:cs="Times New Roman" w:eastAsia="Times New Roman" w:hint="default"/>
        </w:rPr>
        <w:t>389,451,547.71</w:t>
      </w:r>
      <w:r>
        <w:rPr/>
        <w:t>元，差额</w:t>
      </w:r>
      <w:r>
        <w:rPr>
          <w:rFonts w:ascii="Times New Roman" w:hAnsi="Times New Roman" w:cs="Times New Roman" w:eastAsia="Times New Roman" w:hint="default"/>
        </w:rPr>
        <w:t>3,326,546.39</w:t>
      </w:r>
      <w:r>
        <w:rPr/>
        <w:t>元，系合并现金流量表中现金期末数扣除了不符合现金及现金等价物标准的履</w:t>
      </w:r>
      <w:r>
        <w:rPr>
          <w:spacing w:val="-86"/>
        </w:rPr>
        <w:t> </w:t>
      </w:r>
      <w:r>
        <w:rPr>
          <w:spacing w:val="-86"/>
        </w:rPr>
      </w:r>
      <w:r>
        <w:rPr/>
        <w:t>约保函金。</w:t>
      </w:r>
    </w:p>
    <w:p>
      <w:pPr>
        <w:pStyle w:val="BodyText"/>
        <w:spacing w:line="300" w:lineRule="auto" w:before="151"/>
        <w:ind w:right="149" w:firstLine="359"/>
        <w:jc w:val="both"/>
      </w:pPr>
      <w:r>
        <w:rPr>
          <w:rFonts w:ascii="Times New Roman" w:hAnsi="Times New Roman" w:cs="Times New Roman" w:eastAsia="Times New Roman" w:hint="default"/>
        </w:rPr>
        <w:t>2011</w:t>
      </w:r>
      <w:r>
        <w:rPr/>
        <w:t>年度合并现金流量表中现金及现金等价物期末数为</w:t>
      </w:r>
      <w:r>
        <w:rPr>
          <w:rFonts w:ascii="Times New Roman" w:hAnsi="Times New Roman" w:cs="Times New Roman" w:eastAsia="Times New Roman" w:hint="default"/>
        </w:rPr>
        <w:t>366,249,886.88</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日合并资产负债表中货币资金</w:t>
      </w:r>
      <w:r>
        <w:rPr>
          <w:spacing w:val="1"/>
        </w:rPr>
        <w:t> </w:t>
      </w:r>
      <w:r>
        <w:rPr/>
        <w:t>期末数为</w:t>
      </w:r>
      <w:r>
        <w:rPr>
          <w:rFonts w:ascii="Times New Roman" w:hAnsi="Times New Roman" w:cs="Times New Roman" w:eastAsia="Times New Roman" w:hint="default"/>
        </w:rPr>
        <w:t>368,222,224.69</w:t>
      </w:r>
      <w:r>
        <w:rPr/>
        <w:t>元，差额</w:t>
      </w:r>
      <w:r>
        <w:rPr>
          <w:rFonts w:ascii="Times New Roman" w:hAnsi="Times New Roman" w:cs="Times New Roman" w:eastAsia="Times New Roman" w:hint="default"/>
        </w:rPr>
        <w:t>1,972,337.81</w:t>
      </w:r>
      <w:r>
        <w:rPr/>
        <w:t>元，系合并现金流量表中现金期末数扣除了不符合现金及现金等价物标准的履</w:t>
      </w:r>
      <w:r>
        <w:rPr>
          <w:spacing w:val="-86"/>
        </w:rPr>
        <w:t> </w:t>
      </w:r>
      <w:r>
        <w:rPr>
          <w:spacing w:val="-86"/>
        </w:rPr>
      </w:r>
      <w:r>
        <w:rPr/>
        <w:t>约保函金。</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8"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0"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43" w:hRule="exact"/>
        </w:trPr>
        <w:tc>
          <w:tcPr>
            <w:tcW w:w="8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6"/>
              <w:ind w:left="22" w:right="119"/>
              <w:jc w:val="both"/>
              <w:rPr>
                <w:rFonts w:ascii="宋体" w:hAnsi="宋体" w:cs="宋体" w:eastAsia="宋体" w:hint="default"/>
                <w:sz w:val="18"/>
                <w:szCs w:val="18"/>
              </w:rPr>
            </w:pPr>
            <w:r>
              <w:rPr>
                <w:rFonts w:ascii="宋体" w:hAnsi="宋体" w:cs="宋体" w:eastAsia="宋体" w:hint="default"/>
                <w:sz w:val="18"/>
                <w:szCs w:val="18"/>
              </w:rPr>
              <w:t>中国电子 科技集团 公司第三 十研究所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事业法人</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成都市高 新大道创 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6"/>
              <w:ind w:left="22" w:right="115"/>
              <w:jc w:val="both"/>
              <w:rPr>
                <w:rFonts w:ascii="宋体" w:hAnsi="宋体" w:cs="宋体" w:eastAsia="宋体" w:hint="default"/>
                <w:sz w:val="18"/>
                <w:szCs w:val="18"/>
              </w:rPr>
            </w:pPr>
            <w:r>
              <w:rPr>
                <w:rFonts w:ascii="宋体" w:hAnsi="宋体" w:cs="宋体" w:eastAsia="宋体" w:hint="default"/>
                <w:sz w:val="18"/>
                <w:szCs w:val="18"/>
              </w:rPr>
              <w:t>装备研制 工程建设 和信息服 务</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34.83%</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中国电子 科技集团 公司</w:t>
            </w:r>
          </w:p>
        </w:tc>
        <w:tc>
          <w:tcPr>
            <w:tcW w:w="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45075106-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371" w:right="3928" w:hanging="218"/>
        <w:jc w:val="left"/>
      </w:pPr>
      <w:r>
        <w:rPr/>
        <w:t>本企业的母公司情况的说明 中国电子科技集团公司第三十研究所系事业单位，开办资金</w:t>
      </w:r>
      <w:r>
        <w:rPr>
          <w:rFonts w:ascii="Times New Roman" w:hAnsi="Times New Roman" w:cs="Times New Roman" w:eastAsia="Times New Roman" w:hint="default"/>
        </w:rPr>
        <w:t>9,255</w:t>
      </w:r>
      <w:r>
        <w:rPr/>
        <w:t>万元。</w:t>
      </w:r>
    </w:p>
    <w:p>
      <w:pPr>
        <w:spacing w:after="0" w:line="357"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371" w:right="0"/>
        <w:jc w:val="left"/>
      </w:pPr>
      <w:r>
        <w:rPr/>
        <w:t>中国电子科技集团公司第三十研究所受中国电子科技集团公司控制，本公司的最终控制方为中国电子科技集团公司。</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成都卫士通 信息安全技 术有限公司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24"/>
              <w:jc w:val="both"/>
              <w:rPr>
                <w:rFonts w:ascii="宋体" w:hAnsi="宋体" w:cs="宋体" w:eastAsia="宋体" w:hint="default"/>
                <w:sz w:val="18"/>
                <w:szCs w:val="18"/>
              </w:rPr>
            </w:pPr>
            <w:r>
              <w:rPr>
                <w:rFonts w:ascii="宋体" w:hAnsi="宋体" w:cs="宋体" w:eastAsia="宋体" w:hint="default"/>
                <w:sz w:val="18"/>
                <w:szCs w:val="18"/>
              </w:rPr>
              <w:t>成都高新区 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  新</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信息安全产 品开发、销 售、集成及 服务</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67716053-2</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成都三零豪</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信息安全产</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630"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赛网络安全 技术有限公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成都高新区 创业路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品开发、销 售、集成及</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68459377-4</w:t>
            </w:r>
          </w:p>
        </w:tc>
      </w:tr>
      <w:tr>
        <w:trPr>
          <w:trHeight w:val="350"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浦东张江高</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564"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上海卫士通 网络安全有 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2"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科技园区郭 守敬路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 </w:t>
            </w:r>
            <w:r>
              <w:rPr>
                <w:rFonts w:ascii="宋体" w:hAnsi="宋体" w:cs="宋体" w:eastAsia="宋体" w:hint="default"/>
                <w:sz w:val="18"/>
                <w:szCs w:val="18"/>
              </w:rPr>
              <w:t>号浦东软件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p>
            <w:pPr>
              <w:pStyle w:val="TableParagraph"/>
              <w:spacing w:line="240" w:lineRule="auto" w:before="43"/>
              <w:ind w:left="22" w:right="0"/>
              <w:jc w:val="both"/>
              <w:rPr>
                <w:rFonts w:ascii="Times New Roman" w:hAnsi="Times New Roman" w:cs="Times New Roman" w:eastAsia="Times New Roman" w:hint="default"/>
                <w:sz w:val="18"/>
                <w:szCs w:val="18"/>
              </w:rPr>
            </w:pPr>
            <w:r>
              <w:rPr>
                <w:rFonts w:ascii="Times New Roman"/>
                <w:sz w:val="18"/>
              </w:rPr>
              <w:t>22301-875</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黄月江</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信息安全产 品开发、销 售、集成及 服务</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13227936-5</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座</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四川卫士通</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信息安全产</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630"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信息安全平 台技术有限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成都高新区 创业路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品开发、销 售、集成及</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72.74%</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72808152-8</w:t>
            </w:r>
          </w:p>
        </w:tc>
      </w:tr>
      <w:tr>
        <w:trPr>
          <w:trHeight w:val="350"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成都摩宝网 络科技有限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成都高新区 创业路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计算机领域 内的技术开 发与服务</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10,116.00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55109599-0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73480435-8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70348313-3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74032210-1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79218821-5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73019802-2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78542628-9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中国电子科技集团公司信息化工程总体</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40088422-0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389" w:type="dxa"/>
        <w:tblLayout w:type="fixed"/>
        <w:tblCellMar>
          <w:top w:w="0" w:type="dxa"/>
          <w:left w:w="0" w:type="dxa"/>
          <w:bottom w:w="0" w:type="dxa"/>
          <w:right w:w="0" w:type="dxa"/>
        </w:tblCellMar>
        <w:tblLook w:val="01E0"/>
      </w:tblPr>
      <w:tblGrid>
        <w:gridCol w:w="3187"/>
        <w:gridCol w:w="3191"/>
        <w:gridCol w:w="3191"/>
      </w:tblGrid>
      <w:tr>
        <w:trPr>
          <w:trHeight w:val="36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研究中心</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40000196-9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451209890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40170656-5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673017480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48500060-6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43720083-0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中国电子科技集团公司第二十二研究所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41708769-0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中国电子科技集团公司第二十一研究所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42500369-6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中国电子科技集团公司第二十三研究所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42501250-9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中国电子科技集团公司第二十六研究所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45040279-5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41880655-4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42609092-0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45072081-4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42516001-8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中国电子科技集团公司第三十四研究所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49867223-3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40001905-0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中国电子科技集团公司第四十一研究所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48522236-4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中国电子科技集团公司第四十三研究所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48503445-1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45040287-5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中国电子科技集团公司第四十六研究所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40135121-5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中国电子科技集团公司第四十八研究所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44488520-9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424007871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中国电子科技集团公司第五十三研究所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40000311-2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40174953-0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68099430-0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71998655-2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10113704-9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23121303-8</w:t>
            </w:r>
          </w:p>
        </w:tc>
      </w:tr>
    </w:tbl>
    <w:p>
      <w:pPr>
        <w:spacing w:line="240" w:lineRule="auto" w:before="2"/>
        <w:rPr>
          <w:rFonts w:ascii="宋体" w:hAnsi="宋体" w:cs="宋体" w:eastAsia="宋体" w:hint="default"/>
          <w:b/>
          <w:bCs/>
          <w:sz w:val="19"/>
          <w:szCs w:val="19"/>
        </w:rPr>
      </w:pPr>
    </w:p>
    <w:p>
      <w:pPr>
        <w:pStyle w:val="Heading4"/>
        <w:spacing w:line="240" w:lineRule="auto" w:before="35"/>
        <w:ind w:left="394"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119"/>
        <w:gridCol w:w="566"/>
        <w:gridCol w:w="2128"/>
        <w:gridCol w:w="2125"/>
        <w:gridCol w:w="191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8" w:right="0"/>
              <w:jc w:val="left"/>
              <w:rPr>
                <w:rFonts w:ascii="宋体" w:hAnsi="宋体" w:cs="宋体" w:eastAsia="宋体" w:hint="default"/>
                <w:sz w:val="18"/>
                <w:szCs w:val="18"/>
              </w:rPr>
            </w:pPr>
            <w:r>
              <w:rPr>
                <w:rFonts w:ascii="宋体" w:hAnsi="宋体" w:cs="宋体" w:eastAsia="宋体" w:hint="default"/>
                <w:sz w:val="18"/>
                <w:szCs w:val="18"/>
              </w:rPr>
              <w:t>关联交易定价方式及决策</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740" w:right="980"/>
        </w:sectPr>
      </w:pPr>
    </w:p>
    <w:p>
      <w:pPr>
        <w:spacing w:line="240" w:lineRule="auto" w:before="0"/>
        <w:rPr>
          <w:rFonts w:ascii="宋体" w:hAnsi="宋体" w:cs="宋体" w:eastAsia="宋体" w:hint="default"/>
          <w:sz w:val="20"/>
          <w:szCs w:val="20"/>
        </w:rPr>
      </w:pPr>
      <w:r>
        <w:rPr/>
        <w:pict>
          <v:shape style="position:absolute;margin-left:42.269997pt;margin-top:71.999962pt;width:493.3pt;height:692.6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566"/>
                    <w:gridCol w:w="2127"/>
                    <w:gridCol w:w="1135"/>
                    <w:gridCol w:w="991"/>
                    <w:gridCol w:w="1115"/>
                    <w:gridCol w:w="798"/>
                  </w:tblGrid>
                  <w:tr>
                    <w:trPr>
                      <w:trHeight w:val="1026"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8" w:right="96"/>
                          <w:jc w:val="left"/>
                          <w:rPr>
                            <w:rFonts w:ascii="宋体" w:hAnsi="宋体" w:cs="宋体" w:eastAsia="宋体" w:hint="default"/>
                            <w:sz w:val="18"/>
                            <w:szCs w:val="18"/>
                          </w:rPr>
                        </w:pPr>
                        <w:r>
                          <w:rPr>
                            <w:rFonts w:ascii="宋体" w:hAnsi="宋体" w:cs="宋体" w:eastAsia="宋体" w:hint="default"/>
                            <w:sz w:val="18"/>
                            <w:szCs w:val="18"/>
                          </w:rPr>
                          <w:t>交易 内容</w:t>
                        </w: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程序</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占同类交易 金额的比例</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96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安全 产品 及集 成等</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公司关联交易的定价原则 </w:t>
                        </w:r>
                        <w:r>
                          <w:rPr>
                            <w:rFonts w:ascii="宋体" w:hAnsi="宋体" w:cs="宋体" w:eastAsia="宋体" w:hint="default"/>
                            <w:spacing w:val="-8"/>
                            <w:sz w:val="18"/>
                            <w:szCs w:val="18"/>
                          </w:rPr>
                          <w:t>上不偏离市场价，对于难于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比较市场价格或定价受到 </w:t>
                        </w:r>
                        <w:r>
                          <w:rPr>
                            <w:rFonts w:ascii="宋体" w:hAnsi="宋体" w:cs="宋体" w:eastAsia="宋体" w:hint="default"/>
                            <w:spacing w:val="-8"/>
                            <w:sz w:val="18"/>
                            <w:szCs w:val="18"/>
                          </w:rPr>
                          <w:t>限制的关联交易，执行双方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依据有关成本和利润确定 的协议价。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27,158,717.89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50,408,994.50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6,666,188.02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17,395,299.17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2,489,273.50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2,937,542.73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1,690,881.05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2,987,864.82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1,577,305.98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658,974.39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907,230.77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中国电子科技集团公司第二十六研究所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695,572.66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299,145.30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275,641.03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226,495.73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203,931.63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119,658.12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94,256.41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82,905.98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中国电子科技集团公司第二十一研究所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64,273.50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54,957.28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42,735.04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255,982.91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24,578.63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2,001,485.49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1,027,099.14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461,538.47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337,606.84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316,239.32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258,948.71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中国电子科技集团公司第二十二研究所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175,213.68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162,393.16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128,205.14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58"/>
        <w:jc w:val="right"/>
      </w:pPr>
      <w:r>
        <w:rPr/>
        <w:t>）</w:t>
      </w:r>
    </w:p>
    <w:p>
      <w:pPr>
        <w:spacing w:after="0" w:line="240" w:lineRule="auto"/>
        <w:jc w:val="right"/>
        <w:sectPr>
          <w:pgSz w:w="11910" w:h="16840"/>
          <w:pgMar w:header="747" w:footer="982" w:top="1060" w:bottom="1180" w:left="740" w:right="98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119"/>
        <w:gridCol w:w="566"/>
        <w:gridCol w:w="2127"/>
        <w:gridCol w:w="1135"/>
        <w:gridCol w:w="991"/>
        <w:gridCol w:w="1115"/>
        <w:gridCol w:w="798"/>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92,307.69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15,042.73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5,544.00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中电科技集团信息化工程总体研究中心</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2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394" w:right="0"/>
        <w:jc w:val="left"/>
      </w:pPr>
      <w:r>
        <w:rPr/>
        <w:t>出售商品、提供劳务情况表</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42.269997pt;margin-top:-52.177933pt;width:493.3pt;height:551.950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1"/>
                    <w:gridCol w:w="566"/>
                    <w:gridCol w:w="1985"/>
                    <w:gridCol w:w="1275"/>
                    <w:gridCol w:w="851"/>
                    <w:gridCol w:w="1115"/>
                    <w:gridCol w:w="798"/>
                  </w:tblGrid>
                  <w:tr>
                    <w:trPr>
                      <w:trHeight w:val="402" w:hRule="exact"/>
                    </w:trPr>
                    <w:tc>
                      <w:tcPr>
                        <w:tcW w:w="3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717" w:right="86" w:hanging="630"/>
                          <w:jc w:val="left"/>
                          <w:rPr>
                            <w:rFonts w:ascii="宋体" w:hAnsi="宋体" w:cs="宋体" w:eastAsia="宋体" w:hint="default"/>
                            <w:sz w:val="18"/>
                            <w:szCs w:val="18"/>
                          </w:rPr>
                        </w:pPr>
                        <w:r>
                          <w:rPr>
                            <w:rFonts w:ascii="宋体" w:hAnsi="宋体" w:cs="宋体" w:eastAsia="宋体" w:hint="default"/>
                            <w:sz w:val="18"/>
                            <w:szCs w:val="18"/>
                          </w:rPr>
                          <w:t>关联交易定价方式及决 策程序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3261"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shd w:val="clear" w:color="auto" w:fill="D3D3D3"/>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9" w:firstLine="37"/>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961"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安全 产品 及集 成等</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公司关联交易的定价原 </w:t>
                        </w:r>
                        <w:r>
                          <w:rPr>
                            <w:rFonts w:ascii="宋体" w:hAnsi="宋体" w:cs="宋体" w:eastAsia="宋体" w:hint="default"/>
                            <w:spacing w:val="-5"/>
                            <w:sz w:val="18"/>
                            <w:szCs w:val="18"/>
                          </w:rPr>
                          <w:t>则上不偏离市场价，对于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难于比较市场价格或定 价受到限制的关联交易， 执行双方依据有关成本 和利润确定的协议价。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26,133,076.87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50,408,994.50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6,666,188.02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17,395,299.17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943,974.36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2,937,542.73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41,880.34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1,690,881.05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2,987,864.82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1,577,305.98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658,974.39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907,230.77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中国电子科技集团公司第二十六研究所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695,572.66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299,145.30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275,641.03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226,495.73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203,931.63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119,658.12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34,188.03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94,256.41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82,905.98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中国电子科技集团公司第二十一研究所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64,273.50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54,957.28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42,735.04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255,982.91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24,578.63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341.88</w:t>
                        </w: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2,001,485.49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r>
                </w:tbl>
                <w:p>
                  <w:pPr/>
                </w:p>
              </w:txbxContent>
            </v:textbox>
            <w10:wrap type="none"/>
          </v:shape>
        </w:pict>
      </w:r>
      <w:r>
        <w:rPr/>
        <w:t>）</w:t>
      </w:r>
    </w:p>
    <w:p>
      <w:pPr>
        <w:spacing w:line="240" w:lineRule="auto" w:before="10"/>
        <w:rPr>
          <w:rFonts w:ascii="宋体" w:hAnsi="宋体" w:cs="宋体" w:eastAsia="宋体" w:hint="default"/>
          <w:sz w:val="8"/>
          <w:szCs w:val="8"/>
        </w:rPr>
      </w:pPr>
    </w:p>
    <w:p>
      <w:pPr>
        <w:spacing w:line="1951" w:lineRule="exact"/>
        <w:ind w:left="5928"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63.25pt;height:97.6pt;mso-position-horizontal-relative:char;mso-position-vertical-relative:line" coordorigin="0,0" coordsize="1265,1952">
            <v:group style="position:absolute;left:0;top:0;width:1265;height:1952" coordorigin="0,0" coordsize="1265,1952">
              <v:shape style="position:absolute;left:0;top:0;width:1265;height:1952" coordorigin="0,0" coordsize="1265,1952" path="m0,1951l1265,1951,1265,0,0,0,0,1951xe" filled="true" fillcolor="#ffffff" stroked="false">
                <v:path arrowok="t"/>
                <v:fill type="solid"/>
              </v:shape>
            </v:group>
            <v:group style="position:absolute;left:23;top:780;width:1220;height:392" coordorigin="23,780" coordsize="1220,392">
              <v:shape style="position:absolute;left:23;top:780;width:1220;height:392" coordorigin="23,780" coordsize="1220,392" path="m23,780l1242,780,1242,1171,23,1171,23,780xe" filled="true" fillcolor="#ffffff" stroked="false">
                <v:path arrowok="t"/>
                <v:fill type="solid"/>
              </v:shape>
            </v:group>
          </v:group>
        </w:pict>
      </w:r>
      <w:r>
        <w:rPr>
          <w:rFonts w:ascii="宋体" w:hAnsi="宋体" w:cs="宋体" w:eastAsia="宋体" w:hint="default"/>
          <w:position w:val="-38"/>
          <w:sz w:val="20"/>
          <w:szCs w:val="20"/>
        </w:rPr>
      </w:r>
    </w:p>
    <w:p>
      <w:pPr>
        <w:spacing w:after="0" w:line="1951" w:lineRule="exact"/>
        <w:rPr>
          <w:rFonts w:ascii="宋体" w:hAnsi="宋体" w:cs="宋体" w:eastAsia="宋体" w:hint="default"/>
          <w:sz w:val="20"/>
          <w:szCs w:val="20"/>
        </w:rPr>
        <w:sectPr>
          <w:pgSz w:w="11910" w:h="16840"/>
          <w:pgMar w:header="747" w:footer="982" w:top="1060" w:bottom="1180" w:left="740" w:right="980"/>
        </w:sectPr>
      </w:pPr>
    </w:p>
    <w:p>
      <w:pPr>
        <w:spacing w:line="240" w:lineRule="auto" w:before="6"/>
        <w:rPr>
          <w:rFonts w:ascii="宋体" w:hAnsi="宋体" w:cs="宋体" w:eastAsia="宋体" w:hint="default"/>
          <w:sz w:val="28"/>
          <w:szCs w:val="28"/>
        </w:rPr>
      </w:pPr>
      <w:r>
        <w:rPr/>
        <w:pict>
          <v:group style="position:absolute;margin-left:333.420013pt;margin-top:333.779999pt;width:63.25pt;height:97.65pt;mso-position-horizontal-relative:page;mso-position-vertical-relative:page;z-index:-859144" coordorigin="6668,6676" coordsize="1265,1953">
            <v:group style="position:absolute;left:6668;top:6676;width:1265;height:1953" coordorigin="6668,6676" coordsize="1265,1953">
              <v:shape style="position:absolute;left:6668;top:6676;width:1265;height:1953" coordorigin="6668,6676" coordsize="1265,1953" path="m6668,8628l7933,8628,7933,6676,6668,6676,6668,8628xe" filled="true" fillcolor="#ffffff" stroked="false">
                <v:path arrowok="t"/>
                <v:fill type="solid"/>
              </v:shape>
            </v:group>
            <v:group style="position:absolute;left:6691;top:7456;width:1220;height:393" coordorigin="6691,7456" coordsize="1220,393">
              <v:shape style="position:absolute;left:6691;top:7456;width:1220;height:393" coordorigin="6691,7456" coordsize="1220,393" path="m6691,7456l7910,7456,7910,7848,6691,7848,6691,7456xe" filled="true" fillcolor="#ffffff" stroked="false">
                <v:path arrowok="t"/>
                <v:fill type="solid"/>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3261"/>
        <w:gridCol w:w="566"/>
        <w:gridCol w:w="1985"/>
        <w:gridCol w:w="1275"/>
        <w:gridCol w:w="851"/>
        <w:gridCol w:w="1115"/>
        <w:gridCol w:w="798"/>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1,027,099.14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461,538.47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337,606.84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316,239.32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258,948.71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中国电子科技集团公司第二十二研究所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175,213.68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162,393.16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128,205.14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92,307.69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15,042.73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5,544.00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中电科技集团信息化工程总体研究中心</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技术 开发</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公司关联交易的定价原 </w:t>
            </w:r>
            <w:r>
              <w:rPr>
                <w:rFonts w:ascii="宋体" w:hAnsi="宋体" w:cs="宋体" w:eastAsia="宋体" w:hint="default"/>
                <w:spacing w:val="-5"/>
                <w:sz w:val="18"/>
                <w:szCs w:val="18"/>
              </w:rPr>
              <w:t>则上不偏离市场价，对于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难于比较市场价格或定 价受到限制的关联交易， 执行双方依据有关成本 和利润确定的协议价。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185,534.19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59,829.06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中国电子科技集团公司第二十六研究所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46,307.69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14,957.26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1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6,892.31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7,799,620.41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550,787.50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219,608.27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35,464.95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17,094.03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394" w:right="0"/>
        <w:jc w:val="left"/>
      </w:pPr>
      <w:r>
        <w:rPr/>
        <w:t>公司承租情况表</w:t>
      </w:r>
    </w:p>
    <w:p>
      <w:pPr>
        <w:pStyle w:val="BodyText"/>
        <w:spacing w:line="240" w:lineRule="auto" w:before="117"/>
        <w:ind w:left="0" w:right="151"/>
        <w:jc w:val="right"/>
      </w:pPr>
      <w:r>
        <w:rPr/>
        <w:t>单位： 元</w:t>
      </w:r>
    </w:p>
    <w:p>
      <w:pPr>
        <w:spacing w:after="0" w:line="240" w:lineRule="auto"/>
        <w:jc w:val="right"/>
        <w:sectPr>
          <w:pgSz w:w="11910" w:h="16840"/>
          <w:pgMar w:header="747" w:footer="982" w:top="1060" w:bottom="1180" w:left="74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成都卫士通信息 产业股份有限公 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1,170,540.00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成都卫士通信息 产业股份有限公 司北京分公司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699,302.00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成都卫士通信息 安全技术有限公 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317,100.00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成都卫士通信息 安全技术有限公 司北京分公司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1,048,941.00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成都三零豪赛网 络安全技术有限 公司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296,636.00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四川卫士通信息 安全平台技术有 限公司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308,550.00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中国电子科技集 团公司第三十研 究所</w:t>
            </w:r>
          </w:p>
        </w:tc>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77"/>
              <w:jc w:val="left"/>
              <w:rPr>
                <w:rFonts w:ascii="宋体" w:hAnsi="宋体" w:cs="宋体" w:eastAsia="宋体" w:hint="default"/>
                <w:sz w:val="18"/>
                <w:szCs w:val="18"/>
              </w:rPr>
            </w:pPr>
            <w:r>
              <w:rPr>
                <w:rFonts w:ascii="宋体" w:hAnsi="宋体" w:cs="宋体" w:eastAsia="宋体" w:hint="default"/>
                <w:sz w:val="18"/>
                <w:szCs w:val="18"/>
              </w:rPr>
              <w:t>成都摩宝网络科 技有限公司</w:t>
            </w:r>
          </w:p>
        </w:tc>
        <w:tc>
          <w:tcPr>
            <w:tcW w:w="13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123,900.00</w:t>
            </w:r>
          </w:p>
        </w:tc>
      </w:tr>
    </w:tbl>
    <w:p>
      <w:pPr>
        <w:pStyle w:val="BodyText"/>
        <w:spacing w:line="240" w:lineRule="auto" w:before="51"/>
        <w:ind w:right="0"/>
        <w:jc w:val="left"/>
      </w:pPr>
      <w:r>
        <w:rPr/>
        <w:t>关联租赁情况说明</w:t>
      </w:r>
    </w:p>
    <w:p>
      <w:pPr>
        <w:spacing w:line="240" w:lineRule="auto" w:before="0"/>
        <w:rPr>
          <w:rFonts w:ascii="宋体" w:hAnsi="宋体" w:cs="宋体" w:eastAsia="宋体" w:hint="default"/>
          <w:sz w:val="15"/>
          <w:szCs w:val="15"/>
        </w:rPr>
      </w:pPr>
    </w:p>
    <w:p>
      <w:pPr>
        <w:pStyle w:val="BodyText"/>
        <w:spacing w:line="307" w:lineRule="auto"/>
        <w:ind w:left="153" w:right="147" w:firstLine="360"/>
        <w:jc w:val="both"/>
      </w:pPr>
      <w:r>
        <w:rPr>
          <w:spacing w:val="-2"/>
        </w:rPr>
        <w:t>关联租赁情况说明：本公司及全资子公司成都卫士通信息安全技术有限公司、成都三零豪赛网络安全技术有限公司和控</w:t>
      </w:r>
      <w:r>
        <w:rPr/>
        <w:t> </w:t>
      </w:r>
      <w:r>
        <w:rPr>
          <w:spacing w:val="-2"/>
        </w:rPr>
        <w:t>股子公司成都摩宝网络科技有限公司、四川卫士通信息安全平台技术有限公司租赁中国电子科技集团公司第三十研究所办公</w:t>
      </w:r>
      <w:r>
        <w:rPr>
          <w:spacing w:val="-64"/>
        </w:rPr>
        <w:t> </w:t>
      </w:r>
      <w:r>
        <w:rPr>
          <w:spacing w:val="-64"/>
        </w:rPr>
      </w:r>
      <w:r>
        <w:rPr>
          <w:spacing w:val="-1"/>
        </w:rPr>
        <w:t>用房，租赁房屋面积共计</w:t>
      </w:r>
      <w:r>
        <w:rPr>
          <w:rFonts w:ascii="Times New Roman" w:hAnsi="Times New Roman" w:cs="Times New Roman" w:eastAsia="Times New Roman" w:hint="default"/>
          <w:spacing w:val="-1"/>
        </w:rPr>
        <w:t>10,436.55</w:t>
      </w:r>
      <w:r>
        <w:rPr>
          <w:spacing w:val="-1"/>
        </w:rPr>
        <w:t>平方米，租金单价为</w:t>
      </w:r>
      <w:r>
        <w:rPr>
          <w:rFonts w:ascii="Times New Roman" w:hAnsi="Times New Roman" w:cs="Times New Roman" w:eastAsia="Times New Roman" w:hint="default"/>
          <w:spacing w:val="-1"/>
        </w:rPr>
        <w:t>19</w:t>
      </w:r>
      <w:r>
        <w:rPr>
          <w:spacing w:val="-1"/>
        </w:rPr>
        <w:t>元</w:t>
      </w:r>
      <w:r>
        <w:rPr>
          <w:rFonts w:ascii="Times New Roman" w:hAnsi="Times New Roman" w:cs="Times New Roman" w:eastAsia="Times New Roman" w:hint="default"/>
          <w:spacing w:val="-1"/>
        </w:rPr>
        <w:t>/</w:t>
      </w:r>
      <w:r>
        <w:rPr>
          <w:spacing w:val="-1"/>
        </w:rPr>
        <w:t>月</w:t>
      </w:r>
      <w:r>
        <w:rPr>
          <w:rFonts w:ascii="Times New Roman" w:hAnsi="Times New Roman" w:cs="Times New Roman" w:eastAsia="Times New Roman" w:hint="default"/>
          <w:spacing w:val="-1"/>
        </w:rPr>
        <w:t>/</w:t>
      </w:r>
      <w:r>
        <w:rPr>
          <w:spacing w:val="-1"/>
        </w:rPr>
        <w:t>平方米</w:t>
      </w:r>
      <w:r>
        <w:rPr>
          <w:rFonts w:ascii="Times New Roman" w:hAnsi="Times New Roman" w:cs="Times New Roman" w:eastAsia="Times New Roman" w:hint="default"/>
          <w:spacing w:val="-1"/>
        </w:rPr>
        <w:t>-21</w:t>
      </w:r>
      <w:r>
        <w:rPr>
          <w:spacing w:val="-1"/>
        </w:rPr>
        <w:t>元</w:t>
      </w:r>
      <w:r>
        <w:rPr>
          <w:rFonts w:ascii="Times New Roman" w:hAnsi="Times New Roman" w:cs="Times New Roman" w:eastAsia="Times New Roman" w:hint="default"/>
          <w:spacing w:val="-1"/>
        </w:rPr>
        <w:t>/</w:t>
      </w:r>
      <w:r>
        <w:rPr>
          <w:spacing w:val="-1"/>
        </w:rPr>
        <w:t>月</w:t>
      </w:r>
      <w:r>
        <w:rPr>
          <w:rFonts w:ascii="Times New Roman" w:hAnsi="Times New Roman" w:cs="Times New Roman" w:eastAsia="Times New Roman" w:hint="default"/>
          <w:spacing w:val="-1"/>
        </w:rPr>
        <w:t>/</w:t>
      </w:r>
      <w:r>
        <w:rPr>
          <w:spacing w:val="-1"/>
        </w:rPr>
        <w:t>平方米，本年租金共计</w:t>
      </w:r>
      <w:r>
        <w:rPr>
          <w:rFonts w:ascii="Times New Roman" w:hAnsi="Times New Roman" w:cs="Times New Roman" w:eastAsia="Times New Roman" w:hint="default"/>
          <w:spacing w:val="-1"/>
        </w:rPr>
        <w:t>2,216,726.00</w:t>
      </w:r>
      <w:r>
        <w:rPr>
          <w:spacing w:val="-1"/>
        </w:rPr>
        <w:t>元，除四</w:t>
      </w:r>
      <w:r>
        <w:rPr>
          <w:spacing w:val="-57"/>
        </w:rPr>
        <w:t> </w:t>
      </w:r>
      <w:r>
        <w:rPr>
          <w:spacing w:val="-57"/>
        </w:rPr>
      </w:r>
      <w:r>
        <w:rPr/>
        <w:t>川卫士通信息安全平台技术有限公司的房屋租赁期为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日以及成都三零豪赛网络安全技术有限</w:t>
      </w:r>
      <w:r>
        <w:rPr>
          <w:spacing w:val="-9"/>
        </w:rPr>
        <w:t> </w:t>
      </w:r>
      <w:r>
        <w:rPr>
          <w:spacing w:val="-9"/>
        </w:rPr>
      </w:r>
      <w:r>
        <w:rPr>
          <w:spacing w:val="-2"/>
        </w:rPr>
        <w:t>公司的房屋租赁期为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日外，其他公司的房屋租赁期间为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日。本公</w:t>
      </w:r>
      <w:r>
        <w:rPr>
          <w:spacing w:val="-36"/>
        </w:rPr>
        <w:t> </w:t>
      </w:r>
      <w:r>
        <w:rPr>
          <w:spacing w:val="-36"/>
        </w:rPr>
      </w:r>
      <w:r>
        <w:rPr/>
        <w:t>司之北京分公司及全资子公司成都卫士通信息安全技术有限公司之北京分公司租赁中国电子科技集团公司第三十研究所办</w:t>
      </w:r>
      <w:r>
        <w:rPr>
          <w:spacing w:val="-9"/>
        </w:rPr>
        <w:t> </w:t>
      </w:r>
      <w:r>
        <w:rPr>
          <w:spacing w:val="-9"/>
        </w:rPr>
      </w:r>
      <w:r>
        <w:rPr/>
        <w:t>公用房，租赁房屋面积共计</w:t>
      </w:r>
      <w:r>
        <w:rPr>
          <w:rFonts w:ascii="Times New Roman" w:hAnsi="Times New Roman" w:cs="Times New Roman" w:eastAsia="Times New Roman" w:hint="default"/>
        </w:rPr>
        <w:t>2388.31</w:t>
      </w:r>
      <w:r>
        <w:rPr/>
        <w:t>平方米，租金单价为</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天</w:t>
      </w:r>
      <w:r>
        <w:rPr>
          <w:rFonts w:ascii="Times New Roman" w:hAnsi="Times New Roman" w:cs="Times New Roman" w:eastAsia="Times New Roman" w:hint="default"/>
        </w:rPr>
        <w:t>/</w:t>
      </w:r>
      <w:r>
        <w:rPr/>
        <w:t>平方米，租金共计</w:t>
      </w:r>
      <w:r>
        <w:rPr>
          <w:spacing w:val="-10"/>
        </w:rPr>
        <w:t> </w:t>
      </w:r>
      <w:r>
        <w:rPr>
          <w:rFonts w:ascii="Times New Roman" w:hAnsi="Times New Roman" w:cs="Times New Roman" w:eastAsia="Times New Roman" w:hint="default"/>
        </w:rPr>
        <w:t>1,748,243.00</w:t>
      </w:r>
      <w:r>
        <w:rPr/>
        <w:t>元，房屋租赁期间为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上市公司应收关联方款项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3402"/>
        <w:gridCol w:w="1274"/>
        <w:gridCol w:w="1134"/>
        <w:gridCol w:w="1418"/>
        <w:gridCol w:w="1345"/>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94" w:type="dxa"/>
            <w:vMerge/>
            <w:tcBorders>
              <w:left w:val="single" w:sz="4" w:space="0" w:color="000000"/>
              <w:bottom w:val="single" w:sz="4" w:space="0" w:color="000000"/>
              <w:right w:val="single" w:sz="4" w:space="0" w:color="000000"/>
            </w:tcBorders>
            <w:shd w:val="clear" w:color="auto" w:fill="D3D3D3"/>
          </w:tcPr>
          <w:p>
            <w:pPr/>
          </w:p>
        </w:tc>
        <w:tc>
          <w:tcPr>
            <w:tcW w:w="3402"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中国电子科技集团公司第三十研究所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12,133,513.31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606,675.67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0" w:right="0"/>
              <w:jc w:val="left"/>
              <w:rPr>
                <w:rFonts w:ascii="Times New Roman" w:hAnsi="Times New Roman" w:cs="Times New Roman" w:eastAsia="Times New Roman" w:hint="default"/>
                <w:sz w:val="18"/>
                <w:szCs w:val="18"/>
              </w:rPr>
            </w:pPr>
            <w:r>
              <w:rPr>
                <w:rFonts w:ascii="Times New Roman"/>
                <w:sz w:val="18"/>
              </w:rPr>
              <w:t>9,833,564.54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1" w:right="0"/>
              <w:jc w:val="left"/>
              <w:rPr>
                <w:rFonts w:ascii="Times New Roman" w:hAnsi="Times New Roman" w:cs="Times New Roman" w:eastAsia="Times New Roman" w:hint="default"/>
                <w:sz w:val="18"/>
                <w:szCs w:val="18"/>
              </w:rPr>
            </w:pPr>
            <w:r>
              <w:rPr>
                <w:rFonts w:ascii="Times New Roman"/>
                <w:sz w:val="18"/>
              </w:rPr>
              <w:t>515,851.84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3401"/>
        <w:gridCol w:w="1275"/>
        <w:gridCol w:w="1134"/>
        <w:gridCol w:w="1418"/>
        <w:gridCol w:w="134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成都三零普瑞科技有限公司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941,950.00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58,602.50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70,090.00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成都三零盛安信息系统有限公司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3,259,199.10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162,322.75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13,996,695.10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710,241.03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中国电子科技集团公司第三研究所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中国电子科技集团公司第三十二研究所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822,748.00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41,137.40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120,904.00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6,045.20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成都三零瑞通移动通信有限公司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815,331.20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40,766.56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成都三零嘉微电子有限公司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495,480.00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24,774.00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中国电子科技集团公司第二十八研究所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中国电子科技集团公司第三十八研究所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18,375.00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太极计算机股份有限公司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成都三零凯天通信实业有限公司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中国电子科技集团公司第十六研究所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16,148.50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161,485.00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8,074.25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上海三零卫士信息安全有限公司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中国电子科技集团公司第九研究所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97,029.06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4,851.45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中国电子科技集团公司第十三研究所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39,839.97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102,425.00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中国电子科技集团公司第二十一研究所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中国电子科技集团公司第二十三研究所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中国电子科技集团公司第二十六研究所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安徽四创电子股份有限公司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20,157.00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中国电子科技集团公司第二十研究所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中国电子科技集团公司第二十九研究所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中国电子科技集团公司第四十八研究所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中电科技集团信息化工程总体研究中心</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中国电子科技集团公司第四十三研究所</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中国电子科技集团公司第四十九研究所</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653,720.00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22,298,382.64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1,190,893.18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28,905,568.64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1,512,218.32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1,018,930.89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1,018,930.89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261,354.00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6,354.00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1,906.20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261,354.00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6,354.00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1,906.20</w:t>
            </w:r>
          </w:p>
        </w:tc>
      </w:tr>
    </w:tbl>
    <w:p>
      <w:pPr>
        <w:pStyle w:val="BodyText"/>
        <w:spacing w:line="240" w:lineRule="auto" w:before="51"/>
        <w:ind w:right="0"/>
        <w:jc w:val="left"/>
      </w:pPr>
      <w:r>
        <w:rPr/>
        <w:t>上市公司应付关联方款项</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776"/>
        <w:gridCol w:w="2258"/>
        <w:gridCol w:w="2257"/>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中国电子科技集团公司第三十研究所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15,762,389.49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18,129,413.53</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成都三零瑞通移动通信有限公司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668,143.76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557,863.25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3776"/>
        <w:gridCol w:w="2258"/>
        <w:gridCol w:w="2257"/>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成都三零盛安信息系统有限公司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160,155.57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160,155.57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成都三零嘉微电子有限公司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153,390.74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625,276.38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成都三零凯天通信实业有限公司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49,220.00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上海三零卫士信息安全有限公司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42,035.90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45,635.90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太极计算机股份有限公司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15,572.65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15,572.65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广州杰赛科技股份有限公司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91.26</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16,850,999.37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19,533,917.28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中国电子科技集团公司第二十二研究所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145,299.14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145,299.14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中国电子科技集团公司第四十一研究所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中国电子科技集团公司第三研究所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80,341.88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80,341.88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中电科技集团信息化工程总体研究中心</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17,377.78</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普华基础软件股份有限公司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中国电子科技集团公司第三十四研究所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中国电子科技集团公司第四十六研究所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中国电子科技集团公司第四十四研究所</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安徽四创电子股份有限公司</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上海三零卫士信息安全有限公司</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351,978.80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349,241.02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中国电子科技集团公司第三十研究所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5,647,062.39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2,376,355.02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成都三零嘉微电子有限公司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成都三零盛安信息系统有限公司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366,250.00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366,250.00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上海三零卫士信息安全有限公司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6,516,912.39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2,742,605.02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截止报告日，本公司无需要披露的或有事项。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953" w:firstLine="217"/>
        <w:jc w:val="left"/>
      </w:pPr>
      <w:r>
        <w:rPr/>
        <w:t>截止报告日，本公司无需要披露的或有事项。 其他或有负债及其财务影响</w:t>
      </w:r>
    </w:p>
    <w:p>
      <w:pPr>
        <w:spacing w:after="0" w:line="36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十、承诺事项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截止报告日，本公司无需要披露的重要承诺事项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截止报告日，本公司无需要披露的重要承诺事项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1,727,120.65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1,727,120.65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截止报告日，本公司无其他资产负债表日后事项说明。</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十二、母公司财务报表主要项目注释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其中：账龄分析组合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54,557,239.88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8,642,610.91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15.84%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43,794,600.39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7,268,939.92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内部关联组合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187,101,052.65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168,575,008.36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79.38%</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241,658,292.53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99.8%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8,642,610.91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3.58%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212,369,608.75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7,268,939.92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1026"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483,729.00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0.2%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483,729.00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242,142,021.53</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9,126,339.91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212,369,608.75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7,268,939.92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641"/>
        <w:gridCol w:w="911"/>
        <w:gridCol w:w="1216"/>
        <w:gridCol w:w="1760"/>
        <w:gridCol w:w="1030"/>
        <w:gridCol w:w="1594"/>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18" w:type="dxa"/>
            <w:vMerge/>
            <w:tcBorders>
              <w:left w:val="single" w:sz="4" w:space="0" w:color="000000"/>
              <w:right w:val="single" w:sz="4" w:space="0" w:color="000000"/>
            </w:tcBorders>
            <w:shd w:val="clear" w:color="auto" w:fill="D3D3D3"/>
          </w:tcPr>
          <w:p>
            <w:pP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1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6" w:type="dxa"/>
            <w:vMerge/>
            <w:tcBorders>
              <w:left w:val="single" w:sz="4" w:space="0" w:color="000000"/>
              <w:bottom w:val="single" w:sz="4" w:space="0" w:color="000000"/>
              <w:right w:val="single" w:sz="4" w:space="0" w:color="000000"/>
            </w:tcBorders>
            <w:shd w:val="clear" w:color="auto" w:fill="D3D3D3"/>
          </w:tcPr>
          <w:p>
            <w:pPr/>
          </w:p>
        </w:tc>
        <w:tc>
          <w:tcPr>
            <w:tcW w:w="1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40,170,209.45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2,008,510.47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30,297,257.87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1,514,862.89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5,984,505.63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598,450.56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5,598,944.32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559,894.43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1,944,855.60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583,456.68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1,122,834.00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336,850.20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1,015,324.00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507,662.00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3,302,730.00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1,651,365.00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2,489,070.00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1,991,256.00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1,334,334.00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1,067,467.20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2,953,275.20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2,953,275.20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2,138,500.20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2,138,500.20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54,557,239.88</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8,642,610.91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43,794,600.39</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7,268,939.92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组合中，采用余额百分比法计提坏账准备的应收账款</w:t>
      </w:r>
    </w:p>
    <w:p>
      <w:pPr>
        <w:pStyle w:val="BodyText"/>
        <w:spacing w:line="340" w:lineRule="auto" w:before="116"/>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559"/>
        <w:gridCol w:w="1843"/>
        <w:gridCol w:w="2340"/>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483,729.00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483,729.00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预计未来现金流量现值低于 账面价值</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483,729.00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483,729.00</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沈阳卫士通网络安 全有限责任公司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2,390,523.89</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该公司已清算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2,390,523.89</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pStyle w:val="BodyText"/>
        <w:spacing w:line="300" w:lineRule="auto" w:before="116"/>
        <w:ind w:left="153" w:right="0"/>
        <w:jc w:val="left"/>
      </w:pPr>
      <w:r>
        <w:rPr>
          <w:spacing w:val="-2"/>
        </w:rPr>
        <w:t>公司控股子公司沈阳卫士通网络安全有限责任公司在报告期实施清算，无力偿还该货款，本公司于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月核销应收沈阳</w:t>
      </w:r>
      <w:r>
        <w:rPr>
          <w:spacing w:val="-58"/>
        </w:rPr>
        <w:t> </w:t>
      </w:r>
      <w:r>
        <w:rPr/>
        <w:t>卫士通网络安全有限责任公司货款</w:t>
      </w:r>
      <w:r>
        <w:rPr>
          <w:rFonts w:ascii="Times New Roman" w:hAnsi="Times New Roman" w:cs="Times New Roman" w:eastAsia="Times New Roman" w:hint="default"/>
        </w:rPr>
        <w:t>2,390,523.89</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1700"/>
        <w:gridCol w:w="1702"/>
        <w:gridCol w:w="1328"/>
        <w:gridCol w:w="1860"/>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77" w:type="dxa"/>
            <w:vMerge/>
            <w:tcBorders>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40"/>
              <w:jc w:val="center"/>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346,461.53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17,323.08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346,461.53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17,323.08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489"/>
        <w:gridCol w:w="1914"/>
        <w:gridCol w:w="1914"/>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168,000,736.93</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19,100,315.72</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15,216,563.99</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山东电力集团公司</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4,639,245.50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四川省电力公司</w:t>
            </w:r>
          </w:p>
        </w:tc>
        <w:tc>
          <w:tcPr>
            <w:tcW w:w="11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3,407,277.69</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210,364,139.83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）应收关联方账款情况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86"/>
        <w:gridCol w:w="1843"/>
        <w:gridCol w:w="1609"/>
        <w:gridCol w:w="2430"/>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168,000,736.93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19,100,315.72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15,216,563.99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826,950.00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346,461.53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6"/>
        <w:gridCol w:w="1843"/>
        <w:gridCol w:w="1609"/>
        <w:gridCol w:w="2430"/>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203,537,028.17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232"/>
        <w:gridCol w:w="750"/>
        <w:gridCol w:w="1093"/>
        <w:gridCol w:w="756"/>
        <w:gridCol w:w="1229"/>
        <w:gridCol w:w="622"/>
        <w:gridCol w:w="1080"/>
        <w:gridCol w:w="63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0" w:right="0"/>
              <w:jc w:val="lef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7"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其中：账龄分析组合</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5,992,572.14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2,019,144.54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12,856,047.84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72.69%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1,777,628.98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13.83%</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内部关联组合</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9,018,861.69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56.59%</w:t>
            </w:r>
          </w:p>
        </w:tc>
        <w:tc>
          <w:tcPr>
            <w:tcW w:w="109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4,830,469.35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27.31%</w:t>
            </w:r>
          </w:p>
        </w:tc>
        <w:tc>
          <w:tcPr>
            <w:tcW w:w="108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15,011,433.83</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2,019,144.54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17,686,517.19</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1,777,628.98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10.05%</w:t>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925,762.70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925,762.70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15,937,196.53</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2,944,907.24</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17,686,517.19</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1,777,628.98</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441" w:right="0" w:hanging="288"/>
        <w:jc w:val="left"/>
      </w:pPr>
      <w:r>
        <w:rPr/>
        <w:t>其他应收款种类的说明 </w:t>
      </w:r>
      <w:r>
        <w:rPr>
          <w:spacing w:val="-1"/>
        </w:rPr>
        <w:t>其他应收款金额大于</w:t>
      </w:r>
      <w:r>
        <w:rPr>
          <w:rFonts w:ascii="Times New Roman" w:hAnsi="Times New Roman" w:cs="Times New Roman" w:eastAsia="Times New Roman" w:hint="default"/>
          <w:spacing w:val="-1"/>
        </w:rPr>
        <w:t>200</w:t>
      </w:r>
      <w:r>
        <w:rPr>
          <w:spacing w:val="-1"/>
        </w:rPr>
        <w:t>万元（含</w:t>
      </w:r>
      <w:r>
        <w:rPr>
          <w:rFonts w:ascii="Times New Roman" w:hAnsi="Times New Roman" w:cs="Times New Roman" w:eastAsia="Times New Roman" w:hint="default"/>
          <w:spacing w:val="-1"/>
        </w:rPr>
        <w:t>200</w:t>
      </w:r>
      <w:r>
        <w:rPr>
          <w:spacing w:val="-1"/>
        </w:rPr>
        <w:t>万元）为单项金额重大。按组合计提减值准备的其他应收款含单项金额重大、单独</w:t>
      </w:r>
    </w:p>
    <w:p>
      <w:pPr>
        <w:pStyle w:val="BodyText"/>
        <w:spacing w:line="201" w:lineRule="exact"/>
        <w:ind w:left="153" w:right="0"/>
        <w:jc w:val="left"/>
      </w:pPr>
      <w:r>
        <w:rPr/>
        <w:t>进行减值测试未发生减值的其他应收款，以及包含在具有类似信用风险特征的其他应收款组合中进行减值测试的其他应收</w:t>
      </w:r>
    </w:p>
    <w:p>
      <w:pPr>
        <w:pStyle w:val="BodyText"/>
        <w:spacing w:line="360" w:lineRule="auto" w:before="76"/>
        <w:ind w:left="153" w:right="5631"/>
        <w:jc w:val="left"/>
      </w:pPr>
      <w:r>
        <w:rPr/>
        <w:t>款。 期末单项金额重大并单项计提坏账准备的其他应收款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2,082,822.96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104,141.15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9,372,086.45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468,604.32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1,058,010.40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105,801.04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1,541,419.79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154,141.98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1,139,027.18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341,708.15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454,885.00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136,465.50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630,987.00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315,493.50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621,087.00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496,869.60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768,729.60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614,983.68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849,624.60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849,624.60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87,940.00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5,992,572.14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2,019,144.54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12,856,047.84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1,777,628.98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组合中，采用余额百分比法计提坏账准备的其他应收款</w:t>
      </w:r>
    </w:p>
    <w:p>
      <w:pPr>
        <w:pStyle w:val="BodyText"/>
        <w:spacing w:line="338" w:lineRule="auto" w:before="117"/>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679,302.00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679,302.00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预计未来现金流量现值 低于账面价值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925,762.70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925,762.70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843"/>
        <w:gridCol w:w="1559"/>
        <w:gridCol w:w="852"/>
        <w:gridCol w:w="1914"/>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8,424,727.72</w:t>
            </w:r>
          </w:p>
        </w:tc>
        <w:tc>
          <w:tcPr>
            <w:tcW w:w="8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甘肃省政府采购中心</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8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中国航空工业集团公司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c>
          <w:tcPr>
            <w:tcW w:w="8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594,133.97</w:t>
            </w:r>
          </w:p>
        </w:tc>
        <w:tc>
          <w:tcPr>
            <w:tcW w:w="8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8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10,828,861.69</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700"/>
        <w:gridCol w:w="2176"/>
        <w:gridCol w:w="2430"/>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8,424,727.72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594,133.97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1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62,381.01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9,081,242.70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8"/>
        <w:gridCol w:w="798"/>
        <w:gridCol w:w="798"/>
        <w:gridCol w:w="798"/>
        <w:gridCol w:w="798"/>
        <w:gridCol w:w="797"/>
        <w:gridCol w:w="799"/>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4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3"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上海卫士</w:t>
            </w: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9"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通网络安 全有限公</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2,186,129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2,186,129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2,186,129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7" w:type="dxa"/>
            <w:vMerge/>
            <w:tcBorders>
              <w:left w:val="single" w:sz="4" w:space="0" w:color="000000"/>
              <w:right w:val="single" w:sz="4" w:space="0" w:color="000000"/>
            </w:tcBorders>
            <w:shd w:val="clear" w:color="auto" w:fill="C7EDCC"/>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w:t>
            </w: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9"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通信息安 全技术有</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7" w:type="dxa"/>
            <w:vMerge/>
            <w:tcBorders>
              <w:left w:val="single" w:sz="4" w:space="0" w:color="000000"/>
              <w:right w:val="single" w:sz="4" w:space="0" w:color="000000"/>
            </w:tcBorders>
            <w:shd w:val="clear" w:color="auto" w:fill="C7EDCC"/>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w:t>
            </w: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9"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7"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通信息安 全平台技 术有限公</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15,895,14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1,627,991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14,267,15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15,895,14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72.74%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72.74%</w:t>
            </w:r>
          </w:p>
        </w:tc>
        <w:tc>
          <w:tcPr>
            <w:tcW w:w="797" w:type="dxa"/>
            <w:vMerge/>
            <w:tcBorders>
              <w:left w:val="single" w:sz="4" w:space="0" w:color="000000"/>
              <w:right w:val="single" w:sz="4" w:space="0" w:color="000000"/>
            </w:tcBorders>
            <w:shd w:val="clear" w:color="auto" w:fill="C7EDCC"/>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沈阳卫士</w:t>
            </w: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9"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通网络安 全有限责</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7" w:type="dxa"/>
            <w:vMerge/>
            <w:tcBorders>
              <w:left w:val="single" w:sz="4" w:space="0" w:color="000000"/>
              <w:right w:val="single" w:sz="4" w:space="0" w:color="000000"/>
            </w:tcBorders>
            <w:shd w:val="clear" w:color="auto" w:fill="C7EDCC"/>
          </w:tcPr>
          <w:p>
            <w:pPr/>
          </w:p>
        </w:tc>
        <w:tc>
          <w:tcPr>
            <w:tcW w:w="799"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9"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w:t>
            </w: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9"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豪赛网络 安全有限</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7" w:type="dxa"/>
            <w:vMerge/>
            <w:tcBorders>
              <w:left w:val="single" w:sz="4" w:space="0" w:color="000000"/>
              <w:right w:val="single" w:sz="4" w:space="0" w:color="000000"/>
            </w:tcBorders>
            <w:shd w:val="clear" w:color="auto" w:fill="C7EDCC"/>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成都摩宝 网络科技</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17,175,21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14,782,60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2,392,606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17,175,21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实质性控 制</w:t>
            </w: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8"/>
        <w:gridCol w:w="798"/>
        <w:gridCol w:w="798"/>
        <w:gridCol w:w="798"/>
        <w:gridCol w:w="798"/>
        <w:gridCol w:w="797"/>
        <w:gridCol w:w="799"/>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深圳市虹 安信息技 术有限公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成都兴政 电子政务 运营服务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98,331,48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81,671,73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16,384,75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98,056,48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7.72</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长期股权投资的说明</w:t>
      </w:r>
    </w:p>
    <w:p>
      <w:pPr>
        <w:spacing w:line="240" w:lineRule="auto" w:before="0"/>
        <w:rPr>
          <w:rFonts w:ascii="宋体" w:hAnsi="宋体" w:cs="宋体" w:eastAsia="宋体" w:hint="default"/>
          <w:sz w:val="15"/>
          <w:szCs w:val="15"/>
        </w:rPr>
      </w:pPr>
    </w:p>
    <w:p>
      <w:pPr>
        <w:pStyle w:val="BodyText"/>
        <w:spacing w:line="415" w:lineRule="auto"/>
        <w:ind w:left="513" w:right="4915"/>
        <w:jc w:val="left"/>
      </w:pPr>
      <w:r>
        <w:rPr/>
        <w:t>长期股权投资</w:t>
      </w:r>
      <w:r>
        <w:rPr>
          <w:rFonts w:ascii="Times New Roman" w:hAnsi="Times New Roman" w:cs="Times New Roman" w:eastAsia="Times New Roman" w:hint="default"/>
        </w:rPr>
        <w:t>-</w:t>
      </w:r>
      <w:r>
        <w:rPr/>
        <w:t>投资成本变动的说明 本期增加长期股权投资</w:t>
      </w:r>
      <w:r>
        <w:rPr>
          <w:rFonts w:ascii="Times New Roman" w:hAnsi="Times New Roman" w:cs="Times New Roman" w:eastAsia="Times New Roman" w:hint="default"/>
        </w:rPr>
        <w:t>-</w:t>
      </w:r>
      <w:r>
        <w:rPr/>
        <w:t>投资成本</w:t>
      </w:r>
      <w:r>
        <w:rPr>
          <w:rFonts w:ascii="Times New Roman" w:hAnsi="Times New Roman" w:cs="Times New Roman" w:eastAsia="Times New Roman" w:hint="default"/>
        </w:rPr>
        <w:t>16,659,757.20</w:t>
      </w:r>
      <w:r>
        <w:rPr/>
        <w:t>元，包括：</w:t>
      </w:r>
    </w:p>
    <w:p>
      <w:pPr>
        <w:pStyle w:val="BodyText"/>
        <w:spacing w:line="300" w:lineRule="auto" w:before="37"/>
        <w:ind w:left="153" w:right="0" w:firstLine="360"/>
        <w:jc w:val="left"/>
      </w:pPr>
      <w:r>
        <w:rPr>
          <w:rFonts w:ascii="Times New Roman" w:hAnsi="Times New Roman" w:cs="Times New Roman" w:eastAsia="Times New Roman" w:hint="default"/>
        </w:rPr>
        <w:t>1</w:t>
      </w:r>
      <w:r>
        <w:rPr/>
        <w:t>）本公司出资</w:t>
      </w:r>
      <w:r>
        <w:rPr>
          <w:rFonts w:ascii="Times New Roman" w:hAnsi="Times New Roman" w:cs="Times New Roman" w:eastAsia="Times New Roman" w:hint="default"/>
        </w:rPr>
        <w:t>14,267,151.15</w:t>
      </w:r>
      <w:r>
        <w:rPr/>
        <w:t>元受让成都三实立科技有限公司及自然人周崇智、喻斌、任利民持有的四川卫士通信息安</w:t>
      </w:r>
      <w:r>
        <w:rPr>
          <w:spacing w:val="1"/>
        </w:rPr>
        <w:t> </w:t>
      </w:r>
      <w:r>
        <w:rPr/>
        <w:t>全平台技术有限公司</w:t>
      </w:r>
      <w:r>
        <w:rPr>
          <w:rFonts w:ascii="Times New Roman" w:hAnsi="Times New Roman" w:cs="Times New Roman" w:eastAsia="Times New Roman" w:hint="default"/>
        </w:rPr>
        <w:t>19.4074%</w:t>
      </w:r>
      <w:r>
        <w:rPr/>
        <w:t>股权。</w:t>
      </w:r>
    </w:p>
    <w:p>
      <w:pPr>
        <w:pStyle w:val="BodyText"/>
        <w:spacing w:line="240" w:lineRule="auto" w:before="133"/>
        <w:ind w:left="513" w:right="0"/>
        <w:jc w:val="left"/>
      </w:pPr>
      <w:r>
        <w:rPr>
          <w:rFonts w:ascii="Times New Roman" w:hAnsi="Times New Roman" w:cs="Times New Roman" w:eastAsia="Times New Roman" w:hint="default"/>
        </w:rPr>
        <w:t>2</w:t>
      </w:r>
      <w:r>
        <w:rPr/>
        <w:t>）本公司出资</w:t>
      </w:r>
      <w:r>
        <w:rPr>
          <w:rFonts w:ascii="Times New Roman" w:hAnsi="Times New Roman" w:cs="Times New Roman" w:eastAsia="Times New Roman" w:hint="default"/>
        </w:rPr>
        <w:t>2,392,606.05</w:t>
      </w:r>
      <w:r>
        <w:rPr/>
        <w:t>元受让自然人赵华、沈伟、吴静、刘海持有的成都摩宝网络科技有限公司</w:t>
      </w:r>
      <w:r>
        <w:rPr>
          <w:rFonts w:ascii="Times New Roman" w:hAnsi="Times New Roman" w:cs="Times New Roman" w:eastAsia="Times New Roman" w:hint="default"/>
        </w:rPr>
        <w:t>2.9003%</w:t>
      </w:r>
      <w:r>
        <w:rPr/>
        <w:t>股权。</w:t>
      </w:r>
    </w:p>
    <w:p>
      <w:pPr>
        <w:spacing w:line="240" w:lineRule="auto" w:before="13"/>
        <w:rPr>
          <w:rFonts w:ascii="宋体" w:hAnsi="宋体" w:cs="宋体" w:eastAsia="宋体" w:hint="default"/>
          <w:sz w:val="13"/>
          <w:szCs w:val="13"/>
        </w:rPr>
      </w:pPr>
    </w:p>
    <w:p>
      <w:pPr>
        <w:pStyle w:val="BodyText"/>
        <w:spacing w:line="300" w:lineRule="auto"/>
        <w:ind w:left="153" w:right="139" w:firstLine="360"/>
        <w:jc w:val="left"/>
      </w:pPr>
      <w:r>
        <w:rPr>
          <w:spacing w:val="-1"/>
        </w:rPr>
        <w:t>本期减少长期股权投资</w:t>
      </w:r>
      <w:r>
        <w:rPr>
          <w:rFonts w:ascii="Times New Roman" w:hAnsi="Times New Roman" w:cs="Times New Roman" w:eastAsia="Times New Roman" w:hint="default"/>
          <w:spacing w:val="-1"/>
        </w:rPr>
        <w:t>-</w:t>
      </w:r>
      <w:r>
        <w:rPr>
          <w:spacing w:val="-1"/>
        </w:rPr>
        <w:t>投资成本</w:t>
      </w:r>
      <w:r>
        <w:rPr>
          <w:rFonts w:ascii="Times New Roman" w:hAnsi="Times New Roman" w:cs="Times New Roman" w:eastAsia="Times New Roman" w:hint="default"/>
          <w:spacing w:val="-1"/>
        </w:rPr>
        <w:t>275,000.00</w:t>
      </w:r>
      <w:r>
        <w:rPr>
          <w:spacing w:val="-1"/>
        </w:rPr>
        <w:t>元，为根据公司战略目标布局的调整，公司对控股子公司沈阳卫士通网络安</w:t>
      </w:r>
      <w:r>
        <w:rPr/>
        <w:t> 全有限责任公司本期实施清算减少的投资成本。</w:t>
      </w:r>
    </w:p>
    <w:p>
      <w:pPr>
        <w:pStyle w:val="BodyText"/>
        <w:spacing w:line="439" w:lineRule="auto" w:before="151"/>
        <w:ind w:left="513" w:right="5181"/>
        <w:jc w:val="left"/>
      </w:pPr>
      <w:r>
        <w:rPr/>
        <w:t>长期股权投资减值准备变动的说明 本期增加长期股权投资减值准备</w:t>
      </w:r>
      <w:r>
        <w:rPr>
          <w:rFonts w:ascii="Times New Roman" w:hAnsi="Times New Roman" w:cs="Times New Roman" w:eastAsia="Times New Roman" w:hint="default"/>
        </w:rPr>
        <w:t>525,000.00</w:t>
      </w:r>
      <w:r>
        <w:rPr/>
        <w:t>元，包括：</w:t>
      </w:r>
    </w:p>
    <w:p>
      <w:pPr>
        <w:pStyle w:val="BodyText"/>
        <w:spacing w:line="240" w:lineRule="auto" w:before="17"/>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88"/>
        </w:rPr>
        <w:t>）</w:t>
      </w:r>
      <w:r>
        <w:rPr/>
        <w:t>因公司对控股子公司沈阳卫士通网络安全有限责任公司本期实施清算</w:t>
      </w:r>
      <w:r>
        <w:rPr>
          <w:spacing w:val="-88"/>
        </w:rPr>
        <w:t>，</w:t>
      </w:r>
      <w:r>
        <w:rPr/>
        <w:t>原计提减值准备转销</w:t>
      </w:r>
      <w:r>
        <w:rPr>
          <w:spacing w:val="-88"/>
        </w:rPr>
        <w:t>，</w:t>
      </w:r>
      <w:r>
        <w:rPr/>
        <w:t>减少减值准备</w:t>
      </w:r>
      <w:r>
        <w:rPr>
          <w:rFonts w:ascii="Times New Roman" w:hAnsi="Times New Roman" w:cs="Times New Roman" w:eastAsia="Times New Roman" w:hint="default"/>
        </w:rPr>
        <w:t>275,0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left="153" w:right="0"/>
        <w:jc w:val="left"/>
      </w:pPr>
      <w:r>
        <w:rPr/>
        <w:t>元。</w:t>
      </w:r>
    </w:p>
    <w:p>
      <w:pPr>
        <w:spacing w:line="240" w:lineRule="auto" w:before="8"/>
        <w:rPr>
          <w:rFonts w:ascii="宋体" w:hAnsi="宋体" w:cs="宋体" w:eastAsia="宋体" w:hint="default"/>
          <w:sz w:val="11"/>
          <w:szCs w:val="11"/>
        </w:rPr>
      </w:pPr>
    </w:p>
    <w:p>
      <w:pPr>
        <w:pStyle w:val="BodyText"/>
        <w:spacing w:line="300" w:lineRule="auto" w:before="44"/>
        <w:ind w:left="153" w:right="141" w:firstLine="360"/>
        <w:jc w:val="left"/>
      </w:pPr>
      <w:r>
        <w:rPr>
          <w:rFonts w:ascii="Times New Roman" w:hAnsi="Times New Roman" w:cs="Times New Roman" w:eastAsia="Times New Roman" w:hint="default"/>
        </w:rPr>
        <w:t>2</w:t>
      </w:r>
      <w:r>
        <w:rPr/>
        <w:t>）本公司关联公司深圳市虹安信息技术有限公司，截止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日净资产小于零，公司对其投资成本全额计提了 减值准备，增加减值准备</w:t>
      </w:r>
      <w:r>
        <w:rPr>
          <w:rFonts w:ascii="Times New Roman" w:hAnsi="Times New Roman" w:cs="Times New Roman" w:eastAsia="Times New Roman" w:hint="default"/>
        </w:rPr>
        <w:t>800,000.00</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164,075,635.60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286,011,527.89</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2,071,463.33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153,301.25</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166,147,098.93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286,164,829.14</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60,145,308.76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86,240,908.11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164,075,635.60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60,001,850.22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286,011,527.89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86,146,891.02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164,075,635.60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60,001,850.22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286,011,527.89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86,146,891.02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单机产品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126,724,795.06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44,202,389.31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220,750,935.22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58,195,384.28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18,790,551.89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2,742,802.87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39,273,128.32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8,047,067.69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15,205,035.66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9,911,822.11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5,151,926.63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408,682.34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3,355,252.99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3,144,835.93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20,835,537.72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19,495,756.71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164,075,635.60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60,001,850.22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286,011,527.89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86,146,891.02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6,797,426.98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3,538,753.31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13,928,287.84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7,152,254.17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57,039,785.67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20,842,869.24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99,953,405.18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26,861,483.63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20,266,079.56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9,754,671.16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38,917,742.03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6,218,190.40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13,407,603.83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3,038,622.36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21,895,766.43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7,420,939.59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2,584,148.72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409,403.42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11,990,270.30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2,803,728.80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11,368,990.56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1,983,603.00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27,166,428.38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6,102,675.97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51,610,726.41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20,260,215.79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71,770,627.73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29,569,645.98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1,000,873.87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173,711.94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17,972.48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164,075,635.60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60,001,850.22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286,011,527.89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86,146,891.02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61,219,126.86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18,464,836.88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10,565,610.31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四川省电力公司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10,155,821.47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海澜之家服饰股份有限公司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8,194,871.77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108,600,267.29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228,436.04</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228,436.04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3,026,264.75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73,355,368.49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3,026,264.75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73,355,368.49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12,535,302.75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2,941,193.06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5,414,142.46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4,166,307.70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263,838.00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3,470.02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-2,802.04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-4,865.00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67,896.54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-228,436.04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-1,763,845.01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-962,802.61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-1,026,476.62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-3,989,969.00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-27,740,776.67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-87,644,666.07</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44,321,221.23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31,877,022.33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35,629,583.73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19,890,041.15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146,674,461.09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145,657,962.77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145,657,962.77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172,037,563.86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1,016,498.32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-26,379,601.09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十三、补充资料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6"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0.1035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0.1035</w:t>
            </w:r>
          </w:p>
        </w:tc>
      </w:tr>
      <w:tr>
        <w:trPr>
          <w:trHeight w:val="714"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0.0511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0.0511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336"/>
        <w:gridCol w:w="1466"/>
        <w:gridCol w:w="1560"/>
        <w:gridCol w:w="1558"/>
        <w:gridCol w:w="991"/>
        <w:gridCol w:w="3085"/>
      </w:tblGrid>
      <w:tr>
        <w:trPr>
          <w:trHeight w:val="355" w:hRule="exact"/>
        </w:trPr>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变动率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0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993"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353"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570,000.00</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10,188,950.00</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-9,618,950.00</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-94.41</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主要系年初票据本期兑现所致</w:t>
            </w:r>
          </w:p>
        </w:tc>
      </w:tr>
      <w:tr>
        <w:trPr>
          <w:trHeight w:val="352"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113,671,147.07</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25,583,923.84</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88,087,223.23</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344.31</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主要系公司南区办公楼完工转固所致</w:t>
            </w:r>
          </w:p>
        </w:tc>
      </w:tr>
      <w:tr>
        <w:trPr>
          <w:trHeight w:val="352"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6"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70,508,336.33</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-70,508,336.33</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-100.00</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系公司南区办公楼完工转固所致</w:t>
            </w:r>
          </w:p>
        </w:tc>
      </w:tr>
      <w:tr>
        <w:trPr>
          <w:trHeight w:val="665"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5,531,679.47</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155,000.00</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3"/>
              <w:jc w:val="right"/>
              <w:rPr>
                <w:rFonts w:ascii="Times New Roman" w:hAnsi="Times New Roman" w:cs="Times New Roman" w:eastAsia="Times New Roman" w:hint="default"/>
                <w:sz w:val="20"/>
                <w:szCs w:val="20"/>
              </w:rPr>
            </w:pPr>
            <w:r>
              <w:rPr>
                <w:rFonts w:ascii="Times New Roman"/>
                <w:spacing w:val="-1"/>
                <w:sz w:val="20"/>
              </w:rPr>
              <w:t>5,376,679.47</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3468.83</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主要系本期购入业务所需非专利技术使 用权致</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10,619,556.98</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7,439,750.64</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3,179,806.34</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42.74</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主要系期末坏账准备计提和存货跌价准 备增加所致</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122,895,555.97</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92,945,923.32</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29,949,632.65</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32.22</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主要系年末集成项目采购设备，货款尚 未支付所致</w:t>
            </w:r>
          </w:p>
        </w:tc>
      </w:tr>
      <w:tr>
        <w:trPr>
          <w:trHeight w:val="353"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3,007,746.85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1,385,465.14</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1,622,281.71</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117.09</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主要系本期应付未付的股利增加</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14,792,788.47</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6,373,654.54</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8,419,133.93</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132.09</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主要原因系应付未付的房租费及代收款 增加所致</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49,915,095.47</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9,528,802.78</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40,386,292.69</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423.83</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主要系本期收到的政府补助增加且大部 分未转入营业外收入所致</w:t>
            </w:r>
          </w:p>
        </w:tc>
      </w:tr>
      <w:tr>
        <w:trPr>
          <w:trHeight w:val="353"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24"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69"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69" w:right="0"/>
              <w:jc w:val="left"/>
              <w:rPr>
                <w:rFonts w:ascii="宋体" w:hAnsi="宋体" w:cs="宋体" w:eastAsia="宋体" w:hint="default"/>
                <w:sz w:val="20"/>
                <w:szCs w:val="20"/>
              </w:rPr>
            </w:pPr>
            <w:r>
              <w:rPr>
                <w:rFonts w:ascii="宋体" w:hAnsi="宋体" w:cs="宋体" w:eastAsia="宋体" w:hint="default"/>
                <w:b/>
                <w:bCs/>
                <w:sz w:val="20"/>
                <w:szCs w:val="20"/>
              </w:rPr>
              <w:t>变动额</w:t>
            </w:r>
            <w:r>
              <w:rPr>
                <w:rFonts w:ascii="宋体" w:hAnsi="宋体" w:cs="宋体" w:eastAsia="宋体" w:hint="default"/>
                <w:sz w:val="20"/>
                <w:szCs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变动率</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9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317,429,705.97</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508,358,984.73</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-190,929,278.76</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-37.56</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主要是受国家宏观经济上行压力较大及 涉密集成业务变动的影响，收入降低</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131,935,638.36</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210,730,491.50</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-78,794,853.14</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-37.39</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主要系公司本期营业收入减少，相应的 营业成本减少</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6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336"/>
        <w:gridCol w:w="1466"/>
        <w:gridCol w:w="1560"/>
        <w:gridCol w:w="1558"/>
        <w:gridCol w:w="991"/>
        <w:gridCol w:w="3085"/>
      </w:tblGrid>
      <w:tr>
        <w:trPr>
          <w:trHeight w:val="667" w:hRule="exact"/>
        </w:trPr>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19,901,861.52</w:t>
            </w:r>
            <w:r>
              <w:rPr>
                <w:rFonts w:ascii="Times New Roman"/>
                <w:sz w:val="20"/>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8,124,562.47</w:t>
            </w:r>
            <w:r>
              <w:rPr>
                <w:rFonts w:ascii="Times New Roman"/>
                <w:sz w:val="20"/>
              </w:rPr>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11,777,299.05</w:t>
            </w:r>
            <w:r>
              <w:rPr>
                <w:rFonts w:ascii="Times New Roman"/>
                <w:sz w:val="20"/>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2" w:right="0"/>
              <w:jc w:val="left"/>
              <w:rPr>
                <w:rFonts w:ascii="Times New Roman" w:hAnsi="Times New Roman" w:cs="Times New Roman" w:eastAsia="Times New Roman" w:hint="default"/>
                <w:sz w:val="20"/>
                <w:szCs w:val="20"/>
              </w:rPr>
            </w:pPr>
            <w:r>
              <w:rPr>
                <w:rFonts w:ascii="Times New Roman"/>
                <w:sz w:val="20"/>
              </w:rPr>
              <w:t>144.96</w:t>
            </w:r>
          </w:p>
        </w:tc>
        <w:tc>
          <w:tcPr>
            <w:tcW w:w="308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3" w:right="12"/>
              <w:jc w:val="left"/>
              <w:rPr>
                <w:rFonts w:ascii="宋体" w:hAnsi="宋体" w:cs="宋体" w:eastAsia="宋体" w:hint="default"/>
                <w:sz w:val="18"/>
                <w:szCs w:val="18"/>
              </w:rPr>
            </w:pPr>
            <w:r>
              <w:rPr>
                <w:rFonts w:ascii="宋体" w:hAnsi="宋体" w:cs="宋体" w:eastAsia="宋体" w:hint="default"/>
                <w:sz w:val="18"/>
                <w:szCs w:val="18"/>
              </w:rPr>
              <w:t>主要系本期计提的存货跌价准备、坏账 准备增加所致</w:t>
            </w:r>
          </w:p>
        </w:tc>
      </w:tr>
      <w:tr>
        <w:trPr>
          <w:trHeight w:val="664"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31,788,941.01</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19,961,248.83</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11,827,692.18</w:t>
            </w:r>
            <w:r>
              <w:rPr>
                <w:rFonts w:ascii="Times New Roman"/>
                <w:sz w:val="20"/>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62" w:right="0"/>
              <w:jc w:val="left"/>
              <w:rPr>
                <w:rFonts w:ascii="Times New Roman" w:hAnsi="Times New Roman" w:cs="Times New Roman" w:eastAsia="Times New Roman" w:hint="default"/>
                <w:sz w:val="20"/>
                <w:szCs w:val="20"/>
              </w:rPr>
            </w:pPr>
            <w:r>
              <w:rPr>
                <w:rFonts w:ascii="Times New Roman"/>
                <w:sz w:val="20"/>
              </w:rPr>
              <w:t>59.25</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主要系本期收到软件产品增值税即征即 退税款增加所致</w:t>
            </w:r>
          </w:p>
        </w:tc>
      </w:tr>
      <w:tr>
        <w:trPr>
          <w:trHeight w:val="665"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2,988,329.31</w:t>
            </w:r>
            <w:r>
              <w:rPr>
                <w:rFonts w:ascii="Times New Roman"/>
                <w:sz w:val="20"/>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18,153,274.70</w:t>
            </w:r>
            <w:r>
              <w:rPr>
                <w:rFonts w:ascii="Times New Roman"/>
                <w:sz w:val="20"/>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-15,164,945.39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29" w:right="0"/>
              <w:jc w:val="left"/>
              <w:rPr>
                <w:rFonts w:ascii="Times New Roman" w:hAnsi="Times New Roman" w:cs="Times New Roman" w:eastAsia="Times New Roman" w:hint="default"/>
                <w:sz w:val="20"/>
                <w:szCs w:val="20"/>
              </w:rPr>
            </w:pPr>
            <w:r>
              <w:rPr>
                <w:rFonts w:ascii="Times New Roman"/>
                <w:sz w:val="20"/>
              </w:rPr>
              <w:t>-83.54</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 w:right="12"/>
              <w:jc w:val="left"/>
              <w:rPr>
                <w:rFonts w:ascii="宋体" w:hAnsi="宋体" w:cs="宋体" w:eastAsia="宋体" w:hint="default"/>
                <w:sz w:val="18"/>
                <w:szCs w:val="18"/>
              </w:rPr>
            </w:pPr>
            <w:r>
              <w:rPr>
                <w:rFonts w:ascii="宋体" w:hAnsi="宋体" w:cs="宋体" w:eastAsia="宋体" w:hint="default"/>
                <w:sz w:val="18"/>
                <w:szCs w:val="18"/>
              </w:rPr>
              <w:t>主要系本期利润下降及递延所得税资产 增加所致</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4" w:lineRule="auto"/>
        <w:ind w:left="513" w:right="2391"/>
        <w:jc w:val="left"/>
      </w:pPr>
      <w:r>
        <w:rPr/>
        <w:t>一、载有公司法定代表人签名的公司</w:t>
      </w:r>
      <w:r>
        <w:rPr>
          <w:rFonts w:ascii="Times New Roman" w:hAnsi="Times New Roman" w:cs="Times New Roman" w:eastAsia="Times New Roman" w:hint="default"/>
        </w:rPr>
        <w:t>2012</w:t>
      </w:r>
      <w:r>
        <w:rPr/>
        <w:t>年年度报告文本原件。 二、载有法定代表人、主管会计工作负责人及会计机构负责人签名并盖章的财务报表。 三、载有会计师事务所盖章、注册会计师签名并盖章的审计报告原件。 四、报告期内在中国证监会指定报纸上公开披露过的所有公司文件的正本和公告的原稿。 以上备查文件的备置地点：公司证券部。</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859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9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9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9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9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59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59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859960" type="#_x0000_t202" filled="false" stroked="false">
          <v:textbox inset="0,0,0,0">
            <w:txbxContent>
              <w:p>
                <w:pPr>
                  <w:pStyle w:val="BodyText"/>
                  <w:spacing w:line="214" w:lineRule="exact"/>
                  <w:ind w:left="20" w:right="0"/>
                  <w:jc w:val="left"/>
                </w:pPr>
                <w:r>
                  <w:rPr/>
                  <w:t>成都卫士通信息产业股份有限公司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24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63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estone.com.cn/" TargetMode="External"/><Relationship Id="rId10" Type="http://schemas.openxmlformats.org/officeDocument/2006/relationships/hyperlink" Target="mailto:westone_dm@163.com" TargetMode="External"/><Relationship Id="rId11" Type="http://schemas.openxmlformats.org/officeDocument/2006/relationships/hyperlink" Target="mailto:westone_zd@163.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AR2012002268b定期报告全文_Word中文版_.doc</dc:title>
  <dcterms:created xsi:type="dcterms:W3CDTF">2020-05-04T00:36:41Z</dcterms:created>
  <dcterms:modified xsi:type="dcterms:W3CDTF">2020-05-04T00:36:41Z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PScript5.dll Version 5.2.2</vt:lpwstr>
  </property>
  <property fmtid="{D5CDD505-2E9C-101B-9397-08002B2CF9AE}" pid="4" name="LastSaved">
    <vt:filetime>2020-05-03T00:00:00Z</vt:filetime>
  </property>
</Properties>
</file>