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855"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10335" cy="54292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542925"/>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243" w:right="3221" w:firstLine="0"/>
        <w:jc w:val="center"/>
        <w:rPr>
          <w:rFonts w:ascii="宋体" w:hAnsi="宋体" w:cs="宋体" w:eastAsia="宋体" w:hint="default"/>
          <w:sz w:val="36"/>
          <w:szCs w:val="36"/>
        </w:rPr>
      </w:pPr>
      <w:r>
        <w:rPr>
          <w:rFonts w:ascii="宋体" w:hAnsi="宋体" w:cs="宋体" w:eastAsia="宋体" w:hint="default"/>
          <w:b/>
          <w:bCs/>
          <w:sz w:val="36"/>
          <w:szCs w:val="36"/>
        </w:rPr>
        <w:t>成都卫士通信息产业股份有限公司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242" w:right="32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243"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216,261,673 </w:t>
      </w:r>
      <w:r>
        <w:rPr>
          <w:rFonts w:ascii="宋体" w:hAnsi="宋体" w:cs="宋体" w:eastAsia="宋体" w:hint="default"/>
          <w:b/>
          <w:bCs/>
          <w:sz w:val="28"/>
          <w:szCs w:val="28"/>
        </w:rPr>
        <w:t>股为基数，向全体股东每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0.30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5"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2"/>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0"/>
          <w:w w:val="99"/>
          <w:sz w:val="28"/>
          <w:szCs w:val="28"/>
        </w:rPr>
        <w:t> </w:t>
      </w:r>
      <w:r>
        <w:rPr>
          <w:rFonts w:ascii="宋体" w:hAnsi="宋体" w:cs="宋体" w:eastAsia="宋体" w:hint="default"/>
          <w:b/>
          <w:bCs/>
          <w:w w:val="95"/>
          <w:sz w:val="28"/>
          <w:szCs w:val="28"/>
        </w:rPr>
        <w:t>公司负责人李成刚、主管会计工作负责人雷利民及会计机构负责人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周天文声明：保证年度报告中财务报告的真实、准确、完整。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243" w:right="32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第二节</w:t>
            </w:r>
            <w:r>
              <w:rPr>
                <w:spacing w:val="-19"/>
              </w:rPr>
              <w:t> </w:t>
            </w:r>
            <w:r>
              <w:rPr/>
              <w:t>公司简介</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第三节</w:t>
            </w:r>
            <w:r>
              <w:rPr>
                <w:spacing w:val="-19"/>
              </w:rPr>
              <w:t> </w:t>
            </w:r>
            <w:r>
              <w:rPr/>
              <w:t>会计数据和财务指标摘要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第四节</w:t>
            </w:r>
            <w:r>
              <w:rPr>
                <w:spacing w:val="-19"/>
              </w:rPr>
              <w:t> </w:t>
            </w:r>
            <w:r>
              <w:rPr/>
              <w:t>董事会报告</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第五节</w:t>
            </w:r>
            <w:r>
              <w:rPr>
                <w:spacing w:val="-19"/>
              </w:rPr>
              <w:t> </w:t>
            </w:r>
            <w:r>
              <w:rPr/>
              <w:t>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第六节</w:t>
            </w:r>
            <w:r>
              <w:rPr>
                <w:spacing w:val="-19"/>
              </w:rPr>
              <w:t> </w:t>
            </w:r>
            <w:r>
              <w:rPr/>
              <w:t>股份变动及股东情况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第七节</w:t>
            </w:r>
            <w:r>
              <w:rPr>
                <w:spacing w:val="-19"/>
              </w:rPr>
              <w:t> </w:t>
            </w:r>
            <w:r>
              <w:rPr/>
              <w:t>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9"/>
              </w:rPr>
              <w:t> </w:t>
            </w:r>
            <w:r>
              <w:rPr/>
              <w:t>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9"/>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9"/>
              </w:rPr>
              <w:t> </w:t>
            </w:r>
            <w:r>
              <w:rPr/>
              <w:t>内部控制</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9"/>
              </w:rPr>
              <w:t> </w:t>
            </w:r>
            <w:r>
              <w:rPr/>
              <w:t>财务报告</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0"/>
              </w:rPr>
              <w:t> </w:t>
            </w:r>
            <w:r>
              <w:rPr/>
              <w:t>备查文件目录</w:t>
            </w:r>
            <w:r>
              <w:rPr>
                <w:rFonts w:ascii="Times New Roman" w:hAnsi="Times New Roman" w:cs="Times New Roman" w:eastAsia="Times New Roman" w:hint="default"/>
              </w:rPr>
              <w:tab/>
              <w:t>151</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2243" w:right="32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控股股东、三十所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西南通信研究所（中国电子科技集团公司第三十研究所）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实际控制人、中国电科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审计机构、中天运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153" w:right="0" w:firstLine="3856"/>
        <w:jc w:val="left"/>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5"/>
        <w:rPr>
          <w:rFonts w:ascii="宋体" w:hAnsi="宋体" w:cs="宋体" w:eastAsia="宋体" w:hint="default"/>
          <w:b/>
          <w:bCs/>
          <w:sz w:val="41"/>
          <w:szCs w:val="41"/>
        </w:rPr>
      </w:pPr>
    </w:p>
    <w:p>
      <w:pPr>
        <w:spacing w:line="408" w:lineRule="auto" w:before="0"/>
        <w:ind w:left="15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重大风险提示年度报告中所设定的经营计划和经营目标，为公司的内部管理控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制指标，不代表公司盈利预测，能否实现取决于宏观经济环境、市场情况、行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业发展状况与公司管理团队的努力等多种因素，存在很大的不确定性，请投资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者注意投资风险。</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69.779968pt;width:361.5pt;height:19.6pt;mso-position-horizontal-relative:page;mso-position-vertical-relative:page;z-index:-975424"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221"/>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卫士通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002268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卫士通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pacing w:val="-3"/>
                <w:sz w:val="18"/>
              </w:rPr>
              <w:t>Westone </w:t>
            </w:r>
            <w:r>
              <w:rPr>
                <w:rFonts w:ascii="Times New Roman"/>
                <w:sz w:val="18"/>
              </w:rPr>
              <w:t>Information Industry</w:t>
            </w:r>
            <w:r>
              <w:rPr>
                <w:rFonts w:ascii="Times New Roman"/>
                <w:spacing w:val="4"/>
                <w:sz w:val="18"/>
              </w:rPr>
              <w:t> </w:t>
            </w:r>
            <w:r>
              <w:rPr>
                <w:rFonts w:ascii="Times New Roman"/>
                <w:sz w:val="18"/>
              </w:rPr>
              <w:t>Inc.</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pacing w:val="-3"/>
                <w:sz w:val="18"/>
              </w:rPr>
              <w:t>Westone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李成刚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610095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610095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www.westone.com.cn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westone_dm@163.com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刘志惠</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成都高新区云华路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028-62386165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028-62386030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westone_dm@163.com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westone_zd@163.com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成都市工商行政管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（高新字</w:t>
            </w:r>
            <w:r>
              <w:rPr>
                <w:rFonts w:ascii="宋体" w:hAnsi="宋体" w:cs="宋体" w:eastAsia="宋体" w:hint="default"/>
                <w:spacing w:val="-82"/>
                <w:sz w:val="18"/>
                <w:szCs w:val="18"/>
              </w:rPr>
              <w:t>）</w:t>
            </w:r>
            <w:r>
              <w:rPr>
                <w:rFonts w:ascii="Times New Roman" w:hAnsi="Times New Roman" w:cs="Times New Roman" w:eastAsia="Times New Roman" w:hint="default"/>
                <w:sz w:val="18"/>
                <w:szCs w:val="18"/>
              </w:rPr>
              <w:t>28934581</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51019870927392X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70927392-X</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成都市工商行政管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510109000045289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51019870927392X</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70927392-X</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北京市西城区车公庄大街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号五栋大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杨敏、苏红梅</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东海证券股份有限公司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上海市浦东新区东方路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楼投行部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丰驰、朱永贵</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60"/>
        <w:gridCol w:w="1376"/>
        <w:gridCol w:w="1736"/>
        <w:gridCol w:w="1738"/>
        <w:gridCol w:w="1735"/>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1,236,497,478.15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770,661,542.61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614,345,052.23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119,435,881.99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73,648,080.09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41,418,330.75</w:t>
            </w:r>
          </w:p>
        </w:tc>
      </w:tr>
      <w:tr>
        <w:trPr>
          <w:trHeight w:val="71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5" w:right="0"/>
              <w:jc w:val="left"/>
              <w:rPr>
                <w:rFonts w:ascii="Times New Roman" w:hAnsi="Times New Roman" w:cs="Times New Roman" w:eastAsia="Times New Roman" w:hint="default"/>
                <w:sz w:val="18"/>
                <w:szCs w:val="18"/>
              </w:rPr>
            </w:pPr>
            <w:r>
              <w:rPr>
                <w:rFonts w:ascii="Times New Roman"/>
                <w:sz w:val="18"/>
              </w:rPr>
              <w:t>95,402,839.57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40,425,453.76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26,379,124.88</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41,820,219.13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37,842,890.85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117,023,255.50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0.5523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0.1915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0.5523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0.1915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13.23%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3.43 </w:t>
            </w:r>
            <w:r>
              <w:rPr>
                <w:rFonts w:ascii="宋体" w:hAnsi="宋体" w:cs="宋体" w:eastAsia="宋体" w:hint="default"/>
                <w:sz w:val="18"/>
                <w:szCs w:val="18"/>
              </w:rPr>
              <w:t>个百分点</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3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0" w:right="0"/>
              <w:jc w:val="left"/>
              <w:rPr>
                <w:rFonts w:ascii="Times New Roman" w:hAnsi="Times New Roman" w:cs="Times New Roman" w:eastAsia="Times New Roman" w:hint="default"/>
                <w:sz w:val="18"/>
                <w:szCs w:val="18"/>
              </w:rPr>
            </w:pPr>
            <w:r>
              <w:rPr>
                <w:rFonts w:ascii="Times New Roman"/>
                <w:sz w:val="18"/>
              </w:rPr>
              <w:t>1,929,899,428.58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1,411,379,910.01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1,275,075,128.15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1,232,104,746.33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819,927,892.74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715,910,768.10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3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7" w:right="0"/>
              <w:jc w:val="left"/>
              <w:rPr>
                <w:rFonts w:ascii="Times New Roman" w:hAnsi="Times New Roman" w:cs="Times New Roman" w:eastAsia="Times New Roman" w:hint="default"/>
                <w:sz w:val="18"/>
                <w:szCs w:val="18"/>
              </w:rPr>
            </w:pPr>
            <w:r>
              <w:rPr>
                <w:rFonts w:ascii="Times New Roman"/>
                <w:sz w:val="18"/>
              </w:rPr>
              <w:t>-42,359.77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8" w:right="0"/>
              <w:jc w:val="left"/>
              <w:rPr>
                <w:rFonts w:ascii="Times New Roman" w:hAnsi="Times New Roman" w:cs="Times New Roman" w:eastAsia="Times New Roman" w:hint="default"/>
                <w:sz w:val="18"/>
                <w:szCs w:val="18"/>
              </w:rPr>
            </w:pPr>
            <w:r>
              <w:rPr>
                <w:rFonts w:ascii="Times New Roman"/>
                <w:sz w:val="18"/>
              </w:rPr>
              <w:t>-78,837.62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-149,469.80</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29,471,297.77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44,164,529.15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22,133,807.31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1,570,896.59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120,051.37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71,774.28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103,151.05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5,269,494.06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7,869,153.25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3,751,101.05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1,817,349.48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5,765,686.23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3,297,181.64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24,033,042.42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33,222,626.33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15,039,205.87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7"/>
      <w:bookmarkEnd w:id="17"/>
      <w:r>
        <w:rPr>
          <w:b w:val="0"/>
          <w:bCs w:val="0"/>
        </w:rPr>
      </w:r>
      <w:bookmarkStart w:name="_bookmark3" w:id="18"/>
      <w:bookmarkEnd w:id="18"/>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033" w:firstLine="360"/>
        <w:jc w:val="left"/>
      </w:pPr>
      <w:r>
        <w:rPr/>
        <w:t>党的十八大以来，党和国家高度关注严峻的网络安全形势，尤其</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w:t>
      </w:r>
      <w:r>
        <w:rPr/>
        <w:t>棱镜</w:t>
      </w:r>
      <w:r>
        <w:rPr>
          <w:rFonts w:ascii="Times New Roman" w:hAnsi="Times New Roman" w:cs="Times New Roman" w:eastAsia="Times New Roman" w:hint="default"/>
        </w:rPr>
        <w:t>”</w:t>
      </w:r>
      <w:r>
        <w:rPr/>
        <w:t>事件曝光后，国家相继成立安全委员会和 中央网络安全与信息化领导小组，并在两会期间政府工作报告提出维护网络安全，标志着信息安全已提高到国家战略高度， </w:t>
      </w:r>
      <w:r>
        <w:rPr>
          <w:spacing w:val="-4"/>
        </w:rPr>
        <w:t>随着更多促进信息安全行业发展的政策推出，国内信息安全行业迎来了产业化发展的新机遇。公司董事会和管理层勇于开拓，</w:t>
      </w:r>
      <w:r>
        <w:rPr>
          <w:spacing w:val="-44"/>
        </w:rPr>
        <w:t> </w:t>
      </w:r>
      <w:r>
        <w:rPr>
          <w:spacing w:val="-44"/>
        </w:rPr>
      </w:r>
      <w:r>
        <w:rPr/>
        <w:t>积极谋划，抓住机遇，通过全体员工的共同努力，</w:t>
      </w:r>
      <w:r>
        <w:rPr>
          <w:rFonts w:ascii="Times New Roman" w:hAnsi="Times New Roman" w:cs="Times New Roman" w:eastAsia="Times New Roman" w:hint="default"/>
        </w:rPr>
        <w:t>2014</w:t>
      </w:r>
      <w:r>
        <w:rPr/>
        <w:t>年实现主营业务收入</w:t>
      </w:r>
      <w:r>
        <w:rPr>
          <w:rFonts w:ascii="Times New Roman" w:hAnsi="Times New Roman" w:cs="Times New Roman" w:eastAsia="Times New Roman" w:hint="default"/>
        </w:rPr>
        <w:t>123,649.75</w:t>
      </w:r>
      <w:r>
        <w:rPr/>
        <w:t>万元，较上年增加</w:t>
      </w:r>
      <w:r>
        <w:rPr>
          <w:rFonts w:ascii="Times New Roman" w:hAnsi="Times New Roman" w:cs="Times New Roman" w:eastAsia="Times New Roman" w:hint="default"/>
        </w:rPr>
        <w:t>46,683.59</w:t>
      </w:r>
      <w:r>
        <w:rPr/>
        <w:t>万元，增 幅</w:t>
      </w:r>
      <w:r>
        <w:rPr>
          <w:rFonts w:ascii="Times New Roman" w:hAnsi="Times New Roman" w:cs="Times New Roman" w:eastAsia="Times New Roman" w:hint="default"/>
        </w:rPr>
        <w:t>60.45%</w:t>
      </w:r>
      <w:r>
        <w:rPr/>
        <w:t>，归属于母公司所有者的净利润</w:t>
      </w:r>
      <w:r>
        <w:rPr>
          <w:rFonts w:ascii="Times New Roman" w:hAnsi="Times New Roman" w:cs="Times New Roman" w:eastAsia="Times New Roman" w:hint="default"/>
        </w:rPr>
        <w:t>11,943.59</w:t>
      </w:r>
      <w:r>
        <w:rPr/>
        <w:t>万元，较上年增长</w:t>
      </w:r>
      <w:r>
        <w:rPr>
          <w:rFonts w:ascii="Times New Roman" w:hAnsi="Times New Roman" w:cs="Times New Roman" w:eastAsia="Times New Roman" w:hint="default"/>
        </w:rPr>
        <w:t>4,578.78</w:t>
      </w:r>
      <w:r>
        <w:rPr/>
        <w:t>万元，增幅</w:t>
      </w:r>
      <w:r>
        <w:rPr>
          <w:rFonts w:ascii="Times New Roman" w:hAnsi="Times New Roman" w:cs="Times New Roman" w:eastAsia="Times New Roman" w:hint="default"/>
        </w:rPr>
        <w:t>62.17%</w:t>
      </w:r>
      <w:r>
        <w:rPr/>
        <w:t>。因报告期内成功实施重大 资产重组，重组标的企业纳入卫士通合并范围，公司产值规模由</w:t>
      </w:r>
      <w:r>
        <w:rPr>
          <w:rFonts w:ascii="宋体" w:hAnsi="宋体" w:cs="宋体" w:eastAsia="宋体" w:hint="default"/>
        </w:rPr>
        <w:t>2014</w:t>
      </w:r>
      <w:r>
        <w:rPr/>
        <w:t>年的</w:t>
      </w:r>
      <w:r>
        <w:rPr>
          <w:rFonts w:ascii="宋体" w:hAnsi="宋体" w:cs="宋体" w:eastAsia="宋体" w:hint="default"/>
        </w:rPr>
        <w:t>4.58</w:t>
      </w:r>
      <w:r>
        <w:rPr/>
        <w:t>亿跃升至</w:t>
      </w:r>
      <w:r>
        <w:rPr>
          <w:rFonts w:ascii="宋体" w:hAnsi="宋体" w:cs="宋体" w:eastAsia="宋体" w:hint="default"/>
        </w:rPr>
        <w:t>2015</w:t>
      </w:r>
      <w:r>
        <w:rPr/>
        <w:t>年的</w:t>
      </w:r>
      <w:r>
        <w:rPr>
          <w:rFonts w:ascii="宋体" w:hAnsi="宋体" w:cs="宋体" w:eastAsia="宋体" w:hint="default"/>
        </w:rPr>
        <w:t>12.36</w:t>
      </w:r>
      <w:r>
        <w:rPr/>
        <w:t>亿，增幅高达</w:t>
      </w:r>
      <w:r>
        <w:rPr>
          <w:rFonts w:ascii="宋体" w:hAnsi="宋体" w:cs="宋体" w:eastAsia="宋体" w:hint="default"/>
        </w:rPr>
        <w:t>170%</w:t>
      </w:r>
      <w:r>
        <w:rPr/>
        <w:t>。</w:t>
      </w:r>
    </w:p>
    <w:p>
      <w:pPr>
        <w:pStyle w:val="BodyText"/>
        <w:spacing w:line="240" w:lineRule="auto" w:before="67"/>
        <w:ind w:left="513" w:right="0"/>
        <w:jc w:val="left"/>
      </w:pPr>
      <w:r>
        <w:rPr/>
        <w:t>报告期内开展的主要工作如下：</w:t>
      </w:r>
    </w:p>
    <w:p>
      <w:pPr>
        <w:pStyle w:val="BodyText"/>
        <w:spacing w:line="338" w:lineRule="auto" w:before="116"/>
        <w:ind w:left="514" w:right="0"/>
        <w:jc w:val="left"/>
      </w:pPr>
      <w:r>
        <w:rPr>
          <w:rFonts w:ascii="Times New Roman" w:hAnsi="Times New Roman" w:cs="Times New Roman" w:eastAsia="Times New Roman" w:hint="default"/>
        </w:rPr>
        <w:t>1</w:t>
      </w:r>
      <w:r>
        <w:rPr/>
        <w:t>、加大市场工作力度 </w:t>
      </w:r>
      <w:r>
        <w:rPr>
          <w:spacing w:val="-4"/>
        </w:rPr>
        <w:t>报告期内，公司一方面通过锁定重点领域、深耕重点行业以巩固并扩大在相关行业中市场和产品的优势地位，另一方面，</w:t>
      </w:r>
    </w:p>
    <w:p>
      <w:pPr>
        <w:pStyle w:val="BodyText"/>
        <w:spacing w:line="240" w:lineRule="auto" w:before="4"/>
        <w:ind w:left="154" w:right="0"/>
        <w:jc w:val="left"/>
      </w:pPr>
      <w:r>
        <w:rPr/>
        <w:t>通过加强新业务合作、推进新业务落实，培育未来新市场。</w:t>
      </w:r>
    </w:p>
    <w:p>
      <w:pPr>
        <w:pStyle w:val="BodyText"/>
        <w:spacing w:line="338" w:lineRule="auto" w:before="117"/>
        <w:ind w:left="514" w:right="1132"/>
        <w:jc w:val="left"/>
      </w:pPr>
      <w:r>
        <w:rPr>
          <w:rFonts w:ascii="Times New Roman" w:hAnsi="Times New Roman" w:cs="Times New Roman" w:eastAsia="Times New Roman" w:hint="default"/>
        </w:rPr>
        <w:t>2</w:t>
      </w:r>
      <w:r>
        <w:rPr/>
        <w:t>、持续优化科研管理 报告期内，公司继续深化科研管理改革，健全创新体系，完善创新激励机制，探索开放式创新模式，积极构建</w:t>
      </w:r>
      <w:r>
        <w:rPr>
          <w:rFonts w:ascii="Times New Roman" w:hAnsi="Times New Roman" w:cs="Times New Roman" w:eastAsia="Times New Roman" w:hint="default"/>
        </w:rPr>
        <w:t>“</w:t>
      </w:r>
      <w:r>
        <w:rPr/>
        <w:t>规范、</w:t>
      </w:r>
    </w:p>
    <w:p>
      <w:pPr>
        <w:pStyle w:val="BodyText"/>
        <w:spacing w:line="231" w:lineRule="exact"/>
        <w:ind w:right="0"/>
        <w:jc w:val="left"/>
      </w:pPr>
      <w:r>
        <w:rPr/>
        <w:t>高效</w:t>
      </w:r>
      <w:r>
        <w:rPr>
          <w:rFonts w:ascii="Times New Roman" w:hAnsi="Times New Roman" w:cs="Times New Roman" w:eastAsia="Times New Roman" w:hint="default"/>
        </w:rPr>
        <w:t>”</w:t>
      </w:r>
      <w:r>
        <w:rPr/>
        <w:t>的研发管理体系。</w:t>
      </w:r>
    </w:p>
    <w:p>
      <w:pPr>
        <w:pStyle w:val="BodyText"/>
        <w:spacing w:line="338" w:lineRule="auto" w:before="102"/>
        <w:ind w:left="514" w:right="0"/>
        <w:jc w:val="left"/>
      </w:pPr>
      <w:r>
        <w:rPr>
          <w:rFonts w:ascii="Times New Roman" w:hAnsi="Times New Roman" w:cs="Times New Roman" w:eastAsia="Times New Roman" w:hint="default"/>
        </w:rPr>
        <w:t>3</w:t>
      </w:r>
      <w:r>
        <w:rPr/>
        <w:t>、完成重大资产重组 </w:t>
      </w:r>
      <w:r>
        <w:rPr>
          <w:spacing w:val="-2"/>
        </w:rPr>
        <w:t>报告期内，公司发行股份购买资产并募集配套资金事项获得中国证监会无条件审核通过，并已完成资产交割及新增股份</w:t>
      </w:r>
    </w:p>
    <w:p>
      <w:pPr>
        <w:pStyle w:val="BodyText"/>
        <w:spacing w:line="319" w:lineRule="auto" w:before="3"/>
        <w:ind w:left="154" w:right="0"/>
        <w:jc w:val="left"/>
      </w:pPr>
      <w:r>
        <w:rPr>
          <w:spacing w:val="-2"/>
        </w:rPr>
        <w:t>发行上市工作。本次重大资产重组之后，卫士通基本形成了从芯片、设备到系统和集成、服务的全信息安全产业链，以充分</w:t>
      </w:r>
      <w:r>
        <w:rPr>
          <w:spacing w:val="-66"/>
        </w:rPr>
        <w:t> </w:t>
      </w:r>
      <w:r>
        <w:rPr>
          <w:spacing w:val="-66"/>
        </w:rPr>
      </w:r>
      <w:r>
        <w:rPr/>
        <w:t>发挥各业务模块的协同效应，降低运营成本，增强公司的市场竞争能力和盈利能力，进一步提升公司的核心竞争力。</w:t>
      </w:r>
    </w:p>
    <w:p>
      <w:pPr>
        <w:pStyle w:val="BodyText"/>
        <w:spacing w:line="338" w:lineRule="auto" w:before="56"/>
        <w:ind w:left="514" w:right="0"/>
        <w:jc w:val="left"/>
      </w:pPr>
      <w:r>
        <w:rPr>
          <w:rFonts w:ascii="Times New Roman" w:hAnsi="Times New Roman" w:cs="Times New Roman" w:eastAsia="Times New Roman" w:hint="default"/>
        </w:rPr>
        <w:t>4</w:t>
      </w:r>
      <w:r>
        <w:rPr/>
        <w:t>、提升品牌影响力 </w:t>
      </w:r>
      <w:r>
        <w:rPr>
          <w:spacing w:val="-2"/>
        </w:rPr>
        <w:t>报告期内，公司通过与业界有影响力的传媒平台合作，并积极参与业界盛会和行业活动，宣传企业品牌，树立信息安全</w:t>
      </w:r>
    </w:p>
    <w:p>
      <w:pPr>
        <w:pStyle w:val="BodyText"/>
        <w:spacing w:line="240" w:lineRule="auto" w:before="4"/>
        <w:ind w:left="154" w:right="0"/>
        <w:jc w:val="left"/>
      </w:pPr>
      <w:r>
        <w:rPr/>
        <w:t>企业</w:t>
      </w:r>
      <w:r>
        <w:rPr>
          <w:rFonts w:ascii="Times New Roman" w:hAnsi="Times New Roman" w:cs="Times New Roman" w:eastAsia="Times New Roman" w:hint="default"/>
        </w:rPr>
        <w:t>“</w:t>
      </w:r>
      <w:r>
        <w:rPr/>
        <w:t>国家队</w:t>
      </w:r>
      <w:r>
        <w:rPr>
          <w:rFonts w:ascii="Times New Roman" w:hAnsi="Times New Roman" w:cs="Times New Roman" w:eastAsia="Times New Roman" w:hint="default"/>
        </w:rPr>
        <w:t>”</w:t>
      </w:r>
      <w:r>
        <w:rPr/>
        <w:t>的市场形象，提升企业影响力。</w:t>
      </w:r>
    </w:p>
    <w:p>
      <w:pPr>
        <w:pStyle w:val="BodyText"/>
        <w:spacing w:line="338" w:lineRule="auto" w:before="103"/>
        <w:ind w:left="514" w:right="0"/>
        <w:jc w:val="left"/>
      </w:pPr>
      <w:r>
        <w:rPr>
          <w:rFonts w:ascii="Times New Roman" w:hAnsi="Times New Roman" w:cs="Times New Roman" w:eastAsia="Times New Roman" w:hint="default"/>
        </w:rPr>
        <w:t>5</w:t>
      </w:r>
      <w:r>
        <w:rPr/>
        <w:t>、加强企业文化建设 </w:t>
      </w:r>
      <w:r>
        <w:rPr>
          <w:spacing w:val="-2"/>
        </w:rPr>
        <w:t>报告期内，公司加强企业文化建设，积极倡导忠诚、和谐、开放、阳光、敬业的企业文化，组织各类活动，履行企业社</w:t>
      </w:r>
    </w:p>
    <w:p>
      <w:pPr>
        <w:pStyle w:val="BodyText"/>
        <w:spacing w:line="240" w:lineRule="auto" w:before="4"/>
        <w:ind w:left="154" w:right="0"/>
        <w:jc w:val="left"/>
      </w:pPr>
      <w:r>
        <w:rPr/>
        <w:t>会责任，努力打造优质企业文化，提升企业软实力。</w:t>
      </w:r>
    </w:p>
    <w:p>
      <w:pPr>
        <w:spacing w:line="240" w:lineRule="auto" w:before="13"/>
        <w:rPr>
          <w:rFonts w:ascii="宋体" w:hAnsi="宋体" w:cs="宋体" w:eastAsia="宋体" w:hint="default"/>
          <w:sz w:val="24"/>
          <w:szCs w:val="24"/>
        </w:rPr>
      </w:pPr>
    </w:p>
    <w:p>
      <w:pPr>
        <w:pStyle w:val="Heading2"/>
        <w:spacing w:line="240" w:lineRule="auto"/>
        <w:ind w:left="154" w:right="0"/>
        <w:jc w:val="left"/>
        <w:rPr>
          <w:b w:val="0"/>
          <w:bCs w:val="0"/>
        </w:rPr>
      </w:pPr>
      <w:bookmarkStart w:name="二、主营业务分析" w:id="20"/>
      <w:bookmarkEnd w:id="20"/>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1107" w:firstLine="360"/>
        <w:jc w:val="left"/>
      </w:pPr>
      <w:r>
        <w:rPr/>
        <w:t>报告期内实现营业收入</w:t>
      </w:r>
      <w:r>
        <w:rPr>
          <w:rFonts w:ascii="Times New Roman" w:hAnsi="Times New Roman" w:cs="Times New Roman" w:eastAsia="Times New Roman" w:hint="default"/>
        </w:rPr>
        <w:t>123,649.75</w:t>
      </w:r>
      <w:r>
        <w:rPr/>
        <w:t>万元，同比上升</w:t>
      </w:r>
      <w:r>
        <w:rPr>
          <w:rFonts w:ascii="Times New Roman" w:hAnsi="Times New Roman" w:cs="Times New Roman" w:eastAsia="Times New Roman" w:hint="default"/>
        </w:rPr>
        <w:t>60.45%</w:t>
      </w:r>
      <w:r>
        <w:rPr/>
        <w:t>，主要系集成业务销售量大幅增加；营业成本</w:t>
      </w:r>
      <w:r>
        <w:rPr>
          <w:rFonts w:ascii="Times New Roman" w:hAnsi="Times New Roman" w:cs="Times New Roman" w:eastAsia="Times New Roman" w:hint="default"/>
        </w:rPr>
        <w:t>76,708.47</w:t>
      </w:r>
      <w:r>
        <w:rPr/>
        <w:t>万元， 同比上升</w:t>
      </w:r>
      <w:r>
        <w:rPr>
          <w:rFonts w:ascii="Times New Roman" w:hAnsi="Times New Roman" w:cs="Times New Roman" w:eastAsia="Times New Roman" w:hint="default"/>
        </w:rPr>
        <w:t>78.07%</w:t>
      </w:r>
      <w:r>
        <w:rPr/>
        <w:t>，主要系收入规模大幅增加的同时集成业务比重上升；期间费用</w:t>
      </w:r>
      <w:r>
        <w:rPr>
          <w:rFonts w:ascii="Times New Roman" w:hAnsi="Times New Roman" w:cs="Times New Roman" w:eastAsia="Times New Roman" w:hint="default"/>
        </w:rPr>
        <w:t>31,347.50</w:t>
      </w:r>
      <w:r>
        <w:rPr/>
        <w:t>万元，同比增加</w:t>
      </w:r>
      <w:r>
        <w:rPr>
          <w:rFonts w:ascii="Times New Roman" w:hAnsi="Times New Roman" w:cs="Times New Roman" w:eastAsia="Times New Roman" w:hint="default"/>
        </w:rPr>
        <w:t>13.28%</w:t>
      </w:r>
      <w:r>
        <w:rPr/>
        <w:t>，主要系 公司加大新产品开发力度，研发费用增加了</w:t>
      </w:r>
      <w:r>
        <w:rPr>
          <w:rFonts w:ascii="Times New Roman" w:hAnsi="Times New Roman" w:cs="Times New Roman" w:eastAsia="Times New Roman" w:hint="default"/>
        </w:rPr>
        <w:t>4,472.69</w:t>
      </w:r>
      <w:r>
        <w:rPr/>
        <w:t>万元；实现归属于上市公司股东的净利润</w:t>
      </w:r>
      <w:r>
        <w:rPr>
          <w:rFonts w:ascii="Times New Roman" w:hAnsi="Times New Roman" w:cs="Times New Roman" w:eastAsia="Times New Roman" w:hint="default"/>
        </w:rPr>
        <w:t>11,943.59</w:t>
      </w:r>
      <w:r>
        <w:rPr/>
        <w:t>万元，比上年上升 </w:t>
      </w:r>
      <w:r>
        <w:rPr>
          <w:rFonts w:ascii="Times New Roman" w:hAnsi="Times New Roman" w:cs="Times New Roman" w:eastAsia="Times New Roman" w:hint="default"/>
        </w:rPr>
        <w:t>62.17%</w:t>
      </w:r>
      <w:r>
        <w:rPr/>
        <w:t>；每股收益为</w:t>
      </w:r>
      <w:r>
        <w:rPr>
          <w:rFonts w:ascii="Times New Roman" w:hAnsi="Times New Roman" w:cs="Times New Roman" w:eastAsia="Times New Roman" w:hint="default"/>
        </w:rPr>
        <w:t>0.5523</w:t>
      </w:r>
      <w:r>
        <w:rPr/>
        <w:t>元，比上年增加</w:t>
      </w:r>
      <w:r>
        <w:rPr>
          <w:rFonts w:ascii="Times New Roman" w:hAnsi="Times New Roman" w:cs="Times New Roman" w:eastAsia="Times New Roman" w:hint="default"/>
        </w:rPr>
        <w:t>62.16%</w:t>
      </w:r>
      <w:r>
        <w:rPr/>
        <w:t>；总资产为</w:t>
      </w:r>
      <w:r>
        <w:rPr>
          <w:rFonts w:ascii="Times New Roman" w:hAnsi="Times New Roman" w:cs="Times New Roman" w:eastAsia="Times New Roman" w:hint="default"/>
        </w:rPr>
        <w:t>192,989.94</w:t>
      </w:r>
      <w:r>
        <w:rPr/>
        <w:t>万元，比上年增长</w:t>
      </w:r>
      <w:r>
        <w:rPr>
          <w:rFonts w:ascii="Times New Roman" w:hAnsi="Times New Roman" w:cs="Times New Roman" w:eastAsia="Times New Roman" w:hint="default"/>
        </w:rPr>
        <w:t>36.74%</w:t>
      </w:r>
      <w:r>
        <w:rPr/>
        <w:t>。</w:t>
      </w:r>
    </w:p>
    <w:p>
      <w:pPr>
        <w:pStyle w:val="BodyText"/>
        <w:spacing w:line="348" w:lineRule="auto" w:before="53"/>
        <w:ind w:left="514" w:right="1118"/>
        <w:jc w:val="left"/>
      </w:pPr>
      <w:r>
        <w:rPr/>
        <w:t>公司回顾总结前期披露的发展战略和经营计划在报告期内的进展情况 </w:t>
      </w:r>
      <w:r>
        <w:rPr>
          <w:rFonts w:ascii="Times New Roman" w:hAnsi="Times New Roman" w:cs="Times New Roman" w:eastAsia="Times New Roman" w:hint="default"/>
        </w:rPr>
        <w:t>1)</w:t>
      </w:r>
      <w:r>
        <w:rPr/>
        <w:t>继续巩固并扩大在传统重点行业领域的优势地位 </w:t>
      </w:r>
      <w:r>
        <w:rPr>
          <w:spacing w:val="-2"/>
        </w:rPr>
        <w:t>报告期内，公司结合资产重组进程中业务调整与转型的具体情况，明确了新形势下的信息安全市场目标，继续重点开拓</w:t>
      </w:r>
    </w:p>
    <w:p>
      <w:pPr>
        <w:pStyle w:val="BodyText"/>
        <w:spacing w:line="231" w:lineRule="exact"/>
        <w:ind w:left="154" w:right="0"/>
        <w:jc w:val="left"/>
      </w:pPr>
      <w:r>
        <w:rPr/>
        <w:t>政府、军工、金融、能源等与国计民生息息相关的领域，加强对金融信息安全、能源信息安全、工业控制安全、分级保护、</w:t>
      </w:r>
    </w:p>
    <w:p>
      <w:pPr>
        <w:spacing w:after="0" w:line="231"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电子政务内外网等传统优势行业的深耕力度，巩固并扩大了公司在上述行业领域的优势地位。</w:t>
      </w:r>
    </w:p>
    <w:p>
      <w:pPr>
        <w:pStyle w:val="BodyText"/>
        <w:spacing w:line="338" w:lineRule="auto" w:before="116"/>
        <w:ind w:left="513" w:right="103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拓展新市场和新业务领域</w:t>
      </w:r>
      <w:r>
        <w:rPr>
          <w:w w:val="99"/>
        </w:rPr>
        <w:t> </w:t>
      </w:r>
      <w:r>
        <w:rPr/>
        <w:t>报告期内，公司加强与相关行业知名厂商及科研院所的合作，拓展新市场。公司与中国移动通信有限公司研究院合作，</w:t>
      </w:r>
    </w:p>
    <w:p>
      <w:pPr>
        <w:pStyle w:val="BodyText"/>
        <w:spacing w:line="319" w:lineRule="auto" w:before="2"/>
        <w:ind w:right="1131"/>
        <w:jc w:val="both"/>
      </w:pPr>
      <w:r>
        <w:rPr>
          <w:spacing w:val="-2"/>
        </w:rPr>
        <w:t>联合研制智能安全手机及后台密钥管理系统，目前已通过商用密码产品技术鉴定评审，获得商用密码产品型号；公司进一步</w:t>
      </w:r>
      <w:r>
        <w:rPr>
          <w:spacing w:val="-66"/>
        </w:rPr>
        <w:t> </w:t>
      </w:r>
      <w:r>
        <w:rPr>
          <w:spacing w:val="-66"/>
        </w:rPr>
      </w:r>
      <w:r>
        <w:rPr>
          <w:spacing w:val="-2"/>
        </w:rPr>
        <w:t>加强与华为、中兴、中移动研究院、电力研究院等信息产业知名厂商和科研院所的战略合作，完善了自主高安全网络传输设</w:t>
      </w:r>
      <w:r>
        <w:rPr>
          <w:spacing w:val="-65"/>
        </w:rPr>
        <w:t> </w:t>
      </w:r>
      <w:r>
        <w:rPr>
          <w:spacing w:val="-65"/>
        </w:rPr>
      </w:r>
      <w:r>
        <w:rPr/>
        <w:t>备、电力配网综合安全防护设备、高安全移动智能终端等</w:t>
      </w:r>
      <w:r>
        <w:rPr>
          <w:rFonts w:ascii="Times New Roman" w:hAnsi="Times New Roman" w:cs="Times New Roman" w:eastAsia="Times New Roman" w:hint="default"/>
        </w:rPr>
        <w:t>“</w:t>
      </w:r>
      <w:r>
        <w:rPr/>
        <w:t>自主可控、以我为主</w:t>
      </w:r>
      <w:r>
        <w:rPr>
          <w:rFonts w:ascii="Times New Roman" w:hAnsi="Times New Roman" w:cs="Times New Roman" w:eastAsia="Times New Roman" w:hint="default"/>
        </w:rPr>
        <w:t>”</w:t>
      </w:r>
      <w:r>
        <w:rPr/>
        <w:t>的安全信息解决方案。</w:t>
      </w:r>
    </w:p>
    <w:p>
      <w:pPr>
        <w:pStyle w:val="BodyText"/>
        <w:spacing w:line="338" w:lineRule="auto" w:before="36"/>
        <w:ind w:left="513" w:right="0" w:firstLine="73"/>
        <w:jc w:val="left"/>
      </w:pPr>
      <w:r>
        <w:rPr>
          <w:rFonts w:ascii="Times New Roman" w:hAnsi="Times New Roman" w:cs="Times New Roman" w:eastAsia="Times New Roman" w:hint="default"/>
        </w:rPr>
        <w:t>3</w:t>
      </w:r>
      <w:r>
        <w:rPr/>
        <w:t>）通过资产重组初步构建信息安全产业链 </w:t>
      </w:r>
      <w:r>
        <w:rPr>
          <w:spacing w:val="-2"/>
        </w:rPr>
        <w:t>报告期内，公司在</w:t>
      </w:r>
      <w:r>
        <w:rPr>
          <w:rFonts w:ascii="Times New Roman" w:hAnsi="Times New Roman" w:cs="Times New Roman" w:eastAsia="Times New Roman" w:hint="default"/>
          <w:spacing w:val="-2"/>
        </w:rPr>
        <w:t>“</w:t>
      </w:r>
      <w:r>
        <w:rPr>
          <w:spacing w:val="-2"/>
        </w:rPr>
        <w:t>从产品提供商向行业解决方案提供商转型，从信息安全向安全信息转型</w:t>
      </w:r>
      <w:r>
        <w:rPr>
          <w:rFonts w:ascii="Times New Roman" w:hAnsi="Times New Roman" w:cs="Times New Roman" w:eastAsia="Times New Roman" w:hint="default"/>
          <w:spacing w:val="-2"/>
        </w:rPr>
        <w:t>”</w:t>
      </w:r>
      <w:r>
        <w:rPr>
          <w:spacing w:val="-2"/>
        </w:rPr>
        <w:t>的发展理念指引下，利用重</w:t>
      </w:r>
    </w:p>
    <w:p>
      <w:pPr>
        <w:pStyle w:val="BodyText"/>
        <w:spacing w:line="217" w:lineRule="exact"/>
        <w:ind w:right="0"/>
        <w:jc w:val="both"/>
      </w:pPr>
      <w:r>
        <w:rPr/>
        <w:t>大资产重组，初步打造了从密码算法、芯片、板卡、设备、平台、系统、到方案、集成、服务的完整产业链，紧密围绕商用</w:t>
      </w:r>
    </w:p>
    <w:p>
      <w:pPr>
        <w:pStyle w:val="BodyText"/>
        <w:spacing w:line="319" w:lineRule="auto" w:before="76"/>
        <w:ind w:right="1132"/>
        <w:jc w:val="both"/>
      </w:pPr>
      <w:r>
        <w:rPr>
          <w:spacing w:val="-2"/>
        </w:rPr>
        <w:t>密码技术、网络安全、终端安全、数据安全、应用安全、内容安全和管理安全，努力构建技术先进、功能完善、种类丰富的</w:t>
      </w:r>
      <w:r>
        <w:rPr>
          <w:spacing w:val="-67"/>
        </w:rPr>
        <w:t> </w:t>
      </w:r>
      <w:r>
        <w:rPr>
          <w:spacing w:val="-67"/>
        </w:rPr>
      </w:r>
      <w:r>
        <w:rPr/>
        <w:t>齐套产品线。</w:t>
      </w:r>
    </w:p>
    <w:p>
      <w:pPr>
        <w:pStyle w:val="BodyText"/>
        <w:spacing w:line="338" w:lineRule="auto" w:before="58"/>
        <w:ind w:left="513" w:right="0"/>
        <w:jc w:val="left"/>
      </w:pPr>
      <w:r>
        <w:rPr>
          <w:rFonts w:ascii="Times New Roman" w:hAnsi="Times New Roman" w:cs="Times New Roman" w:eastAsia="Times New Roman" w:hint="default"/>
        </w:rPr>
        <w:t>4)</w:t>
      </w:r>
      <w:r>
        <w:rPr/>
        <w:t>加强技术创新，不断丰富自主可控的信息安全技术、产品、方案及服务</w:t>
      </w:r>
      <w:r>
        <w:rPr>
          <w:w w:val="99"/>
        </w:rPr>
        <w:t> </w:t>
      </w:r>
      <w:r>
        <w:rPr>
          <w:spacing w:val="-2"/>
        </w:rPr>
        <w:t>报告期内，公司在保持核心技术领先优势的同时，通过以市场需求引导企业技术研发与创新的方式，依托卫士通在信息</w:t>
      </w:r>
    </w:p>
    <w:p>
      <w:pPr>
        <w:pStyle w:val="BodyText"/>
        <w:spacing w:line="319" w:lineRule="auto" w:before="2"/>
        <w:ind w:right="1131"/>
        <w:jc w:val="both"/>
      </w:pPr>
      <w:r>
        <w:rPr>
          <w:spacing w:val="-2"/>
        </w:rPr>
        <w:t>安全领域的传统优势与长期技术积累，继续加强自主可控的信息安全技术、产品、方案及服务方面的研发与创新能力。一方</w:t>
      </w:r>
      <w:r>
        <w:rPr>
          <w:spacing w:val="-66"/>
        </w:rPr>
        <w:t> </w:t>
      </w:r>
      <w:r>
        <w:rPr>
          <w:spacing w:val="-66"/>
        </w:rPr>
      </w:r>
      <w:r>
        <w:rPr>
          <w:spacing w:val="-2"/>
        </w:rPr>
        <w:t>面对现有的产品实施提升与改造，以更好的满足市场与行业需求；另一方面持续加强针对新一代信息技术热点领域的新产品</w:t>
      </w:r>
      <w:r>
        <w:rPr>
          <w:spacing w:val="-64"/>
        </w:rPr>
        <w:t> </w:t>
      </w:r>
      <w:r>
        <w:rPr>
          <w:spacing w:val="-64"/>
        </w:rPr>
      </w:r>
      <w:r>
        <w:rPr/>
        <w:t>及相关解决方案的研发与创新能力。在保持在传统密码领域及新一代信息技术领域核心技术领先优势。</w:t>
      </w:r>
    </w:p>
    <w:p>
      <w:pPr>
        <w:pStyle w:val="BodyText"/>
        <w:spacing w:line="338" w:lineRule="auto" w:before="56"/>
        <w:ind w:left="513" w:right="1183"/>
        <w:jc w:val="left"/>
      </w:pPr>
      <w:r>
        <w:rPr>
          <w:rFonts w:ascii="Times New Roman" w:hAnsi="Times New Roman" w:cs="Times New Roman" w:eastAsia="Times New Roman" w:hint="default"/>
        </w:rPr>
        <w:t>5)</w:t>
      </w:r>
      <w:r>
        <w:rPr/>
        <w:t>提升品牌影响力，为品牌发展注入新的内涵</w:t>
      </w:r>
      <w:r>
        <w:rPr>
          <w:w w:val="99"/>
        </w:rPr>
        <w:t> </w:t>
      </w:r>
      <w:r>
        <w:rPr/>
        <w:t>经过多年积淀，</w:t>
      </w:r>
      <w:r>
        <w:rPr>
          <w:rFonts w:ascii="Times New Roman" w:hAnsi="Times New Roman" w:cs="Times New Roman" w:eastAsia="Times New Roman" w:hint="default"/>
        </w:rPr>
        <w:t>“</w:t>
      </w:r>
      <w:r>
        <w:rPr/>
        <w:t>卫士通</w:t>
      </w:r>
      <w:r>
        <w:rPr>
          <w:rFonts w:ascii="Times New Roman" w:hAnsi="Times New Roman" w:cs="Times New Roman" w:eastAsia="Times New Roman" w:hint="default"/>
        </w:rPr>
        <w:t>”</w:t>
      </w:r>
      <w:r>
        <w:rPr/>
        <w:t>品牌在中国信息安全产业领域，特别是在密码、分</w:t>
      </w:r>
      <w:r>
        <w:rPr>
          <w:rFonts w:ascii="Times New Roman" w:hAnsi="Times New Roman" w:cs="Times New Roman" w:eastAsia="Times New Roman" w:hint="default"/>
        </w:rPr>
        <w:t>/</w:t>
      </w:r>
      <w:r>
        <w:rPr/>
        <w:t>等级保护等细分市场领域，已经具备了较</w:t>
      </w:r>
    </w:p>
    <w:p>
      <w:pPr>
        <w:pStyle w:val="BodyText"/>
        <w:spacing w:line="217" w:lineRule="exact"/>
        <w:ind w:right="0"/>
        <w:jc w:val="both"/>
      </w:pPr>
      <w:r>
        <w:rPr/>
        <w:t>强的市场影响力。报告期内，公司继续与赛迪集团、《中国信息安全》等在业界具有广泛受众和号召力的传媒单位建立战略</w:t>
      </w:r>
    </w:p>
    <w:p>
      <w:pPr>
        <w:pStyle w:val="BodyText"/>
        <w:spacing w:line="319" w:lineRule="auto" w:before="76"/>
        <w:ind w:right="1131"/>
        <w:jc w:val="both"/>
      </w:pPr>
      <w:r>
        <w:rPr>
          <w:spacing w:val="-2"/>
        </w:rPr>
        <w:t>合作伙伴关系，借助其渠道和平台加强品牌宣传。同时，公司积极参与业界盛会及行业活动，在首届国家网络安全宣传周参</w:t>
      </w:r>
      <w:r>
        <w:rPr>
          <w:spacing w:val="-66"/>
        </w:rPr>
        <w:t> </w:t>
      </w:r>
      <w:r>
        <w:rPr>
          <w:spacing w:val="-66"/>
        </w:rPr>
      </w:r>
      <w:r>
        <w:rPr/>
        <w:t>展，展品受到各主管部门及用户单位的高度认可，进一步提升了公司知名度和品牌影响力。</w:t>
      </w:r>
    </w:p>
    <w:p>
      <w:pPr>
        <w:pStyle w:val="BodyText"/>
        <w:spacing w:line="338" w:lineRule="auto" w:before="57"/>
        <w:ind w:left="578" w:right="1148"/>
        <w:jc w:val="left"/>
      </w:pPr>
      <w:r>
        <w:rPr>
          <w:rFonts w:ascii="Times New Roman" w:hAnsi="Times New Roman" w:cs="Times New Roman" w:eastAsia="Times New Roman" w:hint="default"/>
        </w:rPr>
        <w:t>6</w:t>
      </w:r>
      <w:r>
        <w:rPr/>
        <w:t>）以市场为导向不断调整营销策略，为保持业务增长提供有力支撑 报告期内，公司基于市场竞争格局和需求变化情况，结合业务布局，采取行业和区域相结合，并尝试直销与渠道互为</w:t>
      </w:r>
    </w:p>
    <w:p>
      <w:pPr>
        <w:pStyle w:val="BodyText"/>
        <w:spacing w:line="319" w:lineRule="auto" w:before="2"/>
        <w:ind w:left="154" w:right="1133"/>
        <w:jc w:val="both"/>
      </w:pPr>
      <w:r>
        <w:rPr>
          <w:spacing w:val="-2"/>
        </w:rPr>
        <w:t>补充的营销模式，以实现优势业务对重点行业和全国区域的整体覆盖。同时对营销工作相关流程制度进行优化和完善，逐步</w:t>
      </w:r>
      <w:r>
        <w:rPr>
          <w:spacing w:val="-66"/>
        </w:rPr>
        <w:t> </w:t>
      </w:r>
      <w:r>
        <w:rPr>
          <w:spacing w:val="-66"/>
        </w:rPr>
      </w:r>
      <w:r>
        <w:rPr/>
        <w:t>向项目一体化管理过渡，为年度经营目标实现提供保障。</w:t>
      </w:r>
    </w:p>
    <w:p>
      <w:pPr>
        <w:pStyle w:val="BodyText"/>
        <w:spacing w:line="338" w:lineRule="auto" w:before="58"/>
        <w:ind w:left="513" w:right="0"/>
        <w:jc w:val="left"/>
      </w:pPr>
      <w:r>
        <w:rPr>
          <w:rFonts w:ascii="Times New Roman" w:hAnsi="Times New Roman" w:cs="Times New Roman" w:eastAsia="Times New Roman" w:hint="default"/>
        </w:rPr>
        <w:t>7</w:t>
      </w:r>
      <w:r>
        <w:rPr/>
        <w:t>）优化薪酬体系和考核激励机制 </w:t>
      </w:r>
      <w:r>
        <w:rPr>
          <w:spacing w:val="-2"/>
        </w:rPr>
        <w:t>报告期内，公司进行了薪酬绩效体系调整，重点针对核心骨干员工进行了薪酬梳理，保持核心队伍的稳定，提升重要岗</w:t>
      </w:r>
    </w:p>
    <w:p>
      <w:pPr>
        <w:pStyle w:val="BodyText"/>
        <w:spacing w:line="240" w:lineRule="auto" w:before="4"/>
        <w:ind w:right="0"/>
        <w:jc w:val="both"/>
      </w:pPr>
      <w:r>
        <w:rPr/>
        <w:t>位在行业的薪酬竞争能力。同时对薪酬结构进行了优化，加强了直属领导对员工激励的责权利，促进了团队绩效的提升。</w:t>
      </w:r>
    </w:p>
    <w:p>
      <w:pPr>
        <w:spacing w:line="240" w:lineRule="auto" w:before="10"/>
        <w:rPr>
          <w:rFonts w:ascii="宋体" w:hAnsi="宋体" w:cs="宋体" w:eastAsia="宋体" w:hint="default"/>
          <w:sz w:val="26"/>
          <w:szCs w:val="26"/>
        </w:rPr>
      </w:pPr>
    </w:p>
    <w:p>
      <w:pPr>
        <w:pStyle w:val="Heading3"/>
        <w:spacing w:line="240" w:lineRule="auto"/>
        <w:ind w:left="153" w:right="0"/>
        <w:jc w:val="both"/>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说明</w:t>
      </w:r>
    </w:p>
    <w:p>
      <w:pPr>
        <w:pStyle w:val="BodyText"/>
        <w:spacing w:line="307" w:lineRule="auto" w:before="115"/>
        <w:ind w:right="0" w:firstLine="360"/>
        <w:jc w:val="left"/>
      </w:pPr>
      <w:r>
        <w:rPr>
          <w:spacing w:val="-1"/>
        </w:rPr>
        <w:t>报告期营业收入</w:t>
      </w:r>
      <w:r>
        <w:rPr>
          <w:rFonts w:ascii="Times New Roman" w:hAnsi="Times New Roman" w:cs="Times New Roman" w:eastAsia="Times New Roman" w:hint="default"/>
          <w:spacing w:val="-1"/>
        </w:rPr>
        <w:t>123,649.75</w:t>
      </w:r>
      <w:r>
        <w:rPr>
          <w:spacing w:val="-1"/>
        </w:rPr>
        <w:t>万元，较上年增加</w:t>
      </w:r>
      <w:r>
        <w:rPr>
          <w:rFonts w:ascii="Times New Roman" w:hAnsi="Times New Roman" w:cs="Times New Roman" w:eastAsia="Times New Roman" w:hint="default"/>
          <w:spacing w:val="-1"/>
        </w:rPr>
        <w:t>46,583.59</w:t>
      </w:r>
      <w:r>
        <w:rPr>
          <w:spacing w:val="-1"/>
        </w:rPr>
        <w:t>万元，增长</w:t>
      </w:r>
      <w:r>
        <w:rPr>
          <w:rFonts w:ascii="Times New Roman" w:hAnsi="Times New Roman" w:cs="Times New Roman" w:eastAsia="Times New Roman" w:hint="default"/>
          <w:spacing w:val="-1"/>
        </w:rPr>
        <w:t>60.45%</w:t>
      </w:r>
      <w:r>
        <w:rPr>
          <w:spacing w:val="-1"/>
        </w:rPr>
        <w:t>，主要系报告期公司大力发展以系统带动自主</w:t>
      </w:r>
      <w:r>
        <w:rPr/>
        <w:t> </w:t>
      </w:r>
      <w:r>
        <w:rPr>
          <w:spacing w:val="-2"/>
        </w:rPr>
        <w:t>产品销售的模式，促进了收入的大幅增长。从产品销售结构来看，单机产品的比重小幅下降，安全服务与集成业务的比重略</w:t>
      </w:r>
      <w:r>
        <w:rPr>
          <w:spacing w:val="-66"/>
        </w:rPr>
        <w:t> </w:t>
      </w:r>
      <w:r>
        <w:rPr>
          <w:spacing w:val="-66"/>
        </w:rPr>
      </w:r>
      <w:r>
        <w:rPr/>
        <w:t>有上升，达到主营业务收入的</w:t>
      </w:r>
      <w:r>
        <w:rPr>
          <w:rFonts w:ascii="Times New Roman" w:hAnsi="Times New Roman" w:cs="Times New Roman" w:eastAsia="Times New Roman" w:hint="default"/>
        </w:rPr>
        <w:t>56.31%</w:t>
      </w:r>
      <w:r>
        <w:rPr/>
        <w:t>，主要系公司着力打造安全集成与服务业务；从区域销售情况看，收入在各区域的分 布格局没有发生显著变化，西南、华北和华东地区仍然是公司销售收入的主要来源地。</w:t>
      </w:r>
    </w:p>
    <w:p>
      <w:pPr>
        <w:pStyle w:val="BodyText"/>
        <w:spacing w:line="240" w:lineRule="auto" w:before="67"/>
        <w:ind w:left="513"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304,671,199.56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24.64%</w:t>
            </w:r>
          </w:p>
        </w:tc>
      </w:tr>
    </w:tbl>
    <w:p>
      <w:pPr>
        <w:pStyle w:val="BodyText"/>
        <w:spacing w:line="240" w:lineRule="auto" w:before="51"/>
        <w:ind w:left="51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126,682,996.60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成都纵横六合科技有限公司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53,233,736.34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四川川大智胜软件股份有限公司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48,778,303.53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38,699,128.02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单位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37,277,035.07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304,671,199.56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767,084,659.55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430,775,108.58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78.07%</w:t>
            </w:r>
          </w:p>
        </w:tc>
      </w:tr>
    </w:tbl>
    <w:p>
      <w:pPr>
        <w:pStyle w:val="BodyText"/>
        <w:spacing w:line="240" w:lineRule="auto" w:before="51"/>
        <w:ind w:left="154" w:right="0"/>
        <w:jc w:val="left"/>
      </w:pPr>
      <w:r>
        <w:rPr/>
        <w:t>产品分类</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单机产品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136,939,942.96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77,090,928.06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77.63%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系统产品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29,042,778.98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15,126,379.92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584,185,513.08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301,186,049.56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16,916,424.53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37,371,751.04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-54.73%</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767,084,659.55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430,775,108.58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78.07%</w:t>
            </w:r>
          </w:p>
        </w:tc>
      </w:tr>
    </w:tbl>
    <w:p>
      <w:pPr>
        <w:pStyle w:val="BodyText"/>
        <w:spacing w:line="348" w:lineRule="auto" w:before="51"/>
        <w:ind w:right="1378"/>
        <w:jc w:val="left"/>
      </w:pPr>
      <w:r>
        <w:rPr/>
        <w:t>说明 报告期发生主营业务成本</w:t>
      </w:r>
      <w:r>
        <w:rPr>
          <w:rFonts w:ascii="Times New Roman" w:hAnsi="Times New Roman" w:cs="Times New Roman" w:eastAsia="Times New Roman" w:hint="default"/>
        </w:rPr>
        <w:t>76,708.47</w:t>
      </w:r>
      <w:r>
        <w:rPr/>
        <w:t>万元，较上年上升了</w:t>
      </w:r>
      <w:r>
        <w:rPr>
          <w:rFonts w:ascii="Times New Roman" w:hAnsi="Times New Roman" w:cs="Times New Roman" w:eastAsia="Times New Roman" w:hint="default"/>
        </w:rPr>
        <w:t>78.07%</w:t>
      </w:r>
      <w:r>
        <w:rPr/>
        <w:t>，主要系公司本期营业收入增加，相应的营业成本增加。 公司主要供应商情况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184,859,471.54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22.73%</w:t>
            </w:r>
          </w:p>
        </w:tc>
      </w:tr>
    </w:tbl>
    <w:p>
      <w:pPr>
        <w:pStyle w:val="BodyText"/>
        <w:spacing w:line="240" w:lineRule="auto" w:before="49"/>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成都联想信息技术有限公司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47,561,009.08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重庆南方迪马专用车股份有限公司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41,134,615.38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39,279,837.35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成都市海思达科技开发有限公司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33,328,454.15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电信科学技术第十研究所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23,555,555.58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184,859,471.54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本报告期所得税费用</w:t>
      </w:r>
      <w:r>
        <w:rPr>
          <w:rFonts w:ascii="Times New Roman" w:hAnsi="Times New Roman" w:cs="Times New Roman" w:eastAsia="Times New Roman" w:hint="default"/>
        </w:rPr>
        <w:t>1,739.76</w:t>
      </w:r>
      <w:r>
        <w:rPr/>
        <w:t>万元，较上年增加</w:t>
      </w:r>
      <w:r>
        <w:rPr>
          <w:rFonts w:ascii="Times New Roman" w:hAnsi="Times New Roman" w:cs="Times New Roman" w:eastAsia="Times New Roman" w:hint="default"/>
        </w:rPr>
        <w:t>478.85</w:t>
      </w:r>
      <w:r>
        <w:rPr/>
        <w:t>万元，主要系本年公司利润总额大幅增长。</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rFonts w:ascii="宋体" w:hAnsi="宋体" w:cs="宋体" w:eastAsia="宋体" w:hint="default"/>
        </w:rPr>
        <w:t>1</w:t>
      </w:r>
      <w:r>
        <w:rPr/>
        <w:t>、</w:t>
      </w:r>
      <w:r>
        <w:rPr>
          <w:rFonts w:ascii="宋体" w:hAnsi="宋体" w:cs="宋体" w:eastAsia="宋体" w:hint="default"/>
        </w:rPr>
        <w:t>VPN</w:t>
      </w:r>
      <w:r>
        <w:rPr/>
        <w:t>系列产品</w:t>
      </w:r>
    </w:p>
    <w:p>
      <w:pPr>
        <w:pStyle w:val="BodyText"/>
        <w:spacing w:line="319" w:lineRule="auto" w:before="116"/>
        <w:ind w:right="1024" w:firstLine="360"/>
        <w:jc w:val="left"/>
      </w:pPr>
      <w:r>
        <w:rPr/>
        <w:t>卫士通公司</w:t>
      </w:r>
      <w:r>
        <w:rPr>
          <w:rFonts w:ascii="宋体" w:hAnsi="宋体" w:cs="宋体" w:eastAsia="宋体" w:hint="default"/>
        </w:rPr>
        <w:t>IPSec</w:t>
      </w:r>
      <w:r>
        <w:rPr>
          <w:rFonts w:ascii="宋体" w:hAnsi="宋体" w:cs="宋体" w:eastAsia="宋体" w:hint="default"/>
          <w:spacing w:val="-41"/>
        </w:rPr>
        <w:t> </w:t>
      </w:r>
      <w:r>
        <w:rPr>
          <w:rFonts w:ascii="宋体" w:hAnsi="宋体" w:cs="宋体" w:eastAsia="宋体" w:hint="default"/>
        </w:rPr>
        <w:t>VPN</w:t>
      </w:r>
      <w:r>
        <w:rPr/>
        <w:t>安全网关属于网络安全数据传输领域，是卫士通自主研发的新一代</w:t>
      </w:r>
      <w:r>
        <w:rPr>
          <w:rFonts w:ascii="宋体" w:hAnsi="宋体" w:cs="宋体" w:eastAsia="宋体" w:hint="default"/>
        </w:rPr>
        <w:t>IPSec</w:t>
      </w:r>
      <w:r>
        <w:rPr>
          <w:rFonts w:ascii="宋体" w:hAnsi="宋体" w:cs="宋体" w:eastAsia="宋体" w:hint="default"/>
          <w:spacing w:val="-41"/>
        </w:rPr>
        <w:t> </w:t>
      </w:r>
      <w:r>
        <w:rPr>
          <w:rFonts w:ascii="宋体" w:hAnsi="宋体" w:cs="宋体" w:eastAsia="宋体" w:hint="default"/>
        </w:rPr>
        <w:t>VPN</w:t>
      </w:r>
      <w:r>
        <w:rPr/>
        <w:t>系列产品，卫士通公 司顺应国家关于国密算法落地的政策指向，目前已将产品部署于金融、政府、大型企业分支机构、中小型企业总部及分支。 作为首款通过主管部门严格测评和审核的符合</w:t>
      </w:r>
      <w:r>
        <w:rPr>
          <w:rFonts w:ascii="宋体" w:hAnsi="宋体" w:cs="宋体" w:eastAsia="宋体" w:hint="default"/>
        </w:rPr>
        <w:t>2014</w:t>
      </w:r>
      <w:r>
        <w:rPr/>
        <w:t>年最新版《</w:t>
      </w:r>
      <w:r>
        <w:rPr>
          <w:rFonts w:ascii="宋体" w:hAnsi="宋体" w:cs="宋体" w:eastAsia="宋体" w:hint="default"/>
        </w:rPr>
        <w:t>IPSEC</w:t>
      </w:r>
      <w:r>
        <w:rPr>
          <w:rFonts w:ascii="宋体" w:hAnsi="宋体" w:cs="宋体" w:eastAsia="宋体" w:hint="default"/>
          <w:spacing w:val="-63"/>
        </w:rPr>
        <w:t> </w:t>
      </w:r>
      <w:r>
        <w:rPr>
          <w:rFonts w:ascii="宋体" w:hAnsi="宋体" w:cs="宋体" w:eastAsia="宋体" w:hint="default"/>
          <w:spacing w:val="-4"/>
        </w:rPr>
        <w:t>VPN</w:t>
      </w:r>
      <w:r>
        <w:rPr>
          <w:spacing w:val="-4"/>
        </w:rPr>
        <w:t>技术规范》的产品，集专用操作系统、信息加</w:t>
      </w:r>
      <w:r>
        <w:rPr>
          <w:rFonts w:ascii="宋体" w:hAnsi="宋体" w:cs="宋体" w:eastAsia="宋体" w:hint="default"/>
          <w:spacing w:val="-4"/>
        </w:rPr>
        <w:t>/</w:t>
      </w:r>
      <w:r>
        <w:rPr>
          <w:spacing w:val="-4"/>
        </w:rPr>
        <w:t>解密、</w:t>
      </w:r>
      <w:r>
        <w:rPr/>
        <w:t> </w:t>
      </w:r>
      <w:r>
        <w:rPr>
          <w:spacing w:val="-2"/>
        </w:rPr>
        <w:t>防火墙、流量保护和控制、安全规则管理、丰富完整的日志审计等多种现代网络技术为一体，为用户提供了可靠、高速、安</w:t>
      </w:r>
      <w:r>
        <w:rPr>
          <w:spacing w:val="-66"/>
        </w:rPr>
        <w:t> </w:t>
      </w:r>
      <w:r>
        <w:rPr>
          <w:spacing w:val="-66"/>
        </w:rPr>
      </w:r>
      <w:r>
        <w:rPr/>
        <w:t>全的网络安全防护以及高效的业务体验，性能指标上处于国内领先水平。</w:t>
      </w:r>
    </w:p>
    <w:p>
      <w:pPr>
        <w:pStyle w:val="BodyText"/>
        <w:spacing w:line="240" w:lineRule="auto" w:before="56"/>
        <w:ind w:left="513" w:right="0"/>
        <w:jc w:val="left"/>
      </w:pPr>
      <w:r>
        <w:rPr>
          <w:rFonts w:ascii="宋体" w:hAnsi="宋体" w:cs="宋体" w:eastAsia="宋体" w:hint="default"/>
        </w:rPr>
        <w:t>2</w:t>
      </w:r>
      <w:r>
        <w:rPr/>
        <w:t>、新型电力纵向加密认证装置系统</w:t>
      </w:r>
    </w:p>
    <w:p>
      <w:pPr>
        <w:pStyle w:val="BodyText"/>
        <w:spacing w:line="319" w:lineRule="auto" w:before="115"/>
        <w:ind w:right="1129" w:firstLine="360"/>
        <w:jc w:val="both"/>
      </w:pPr>
      <w:r>
        <w:rPr/>
        <w:t>新型电力纵向加密认证装置系统采用新型硬件架构</w:t>
      </w:r>
      <w:r>
        <w:rPr>
          <w:rFonts w:ascii="宋体" w:hAnsi="宋体" w:cs="宋体" w:eastAsia="宋体" w:hint="default"/>
        </w:rPr>
        <w:t>-</w:t>
      </w:r>
      <w:r>
        <w:rPr/>
        <w:t>多核网络处理器并支持双通道，硬件平台完全自主化，有效地降低 了产品成本，提高了产品质量，已形成了高端、中端、低端、微型全系列产品。全系列产品，其中微型产品采用龙芯</w:t>
      </w:r>
      <w:r>
        <w:rPr>
          <w:rFonts w:ascii="宋体" w:hAnsi="宋体" w:cs="宋体" w:eastAsia="宋体" w:hint="default"/>
        </w:rPr>
        <w:t>CPU</w:t>
      </w:r>
      <w:r>
        <w:rPr/>
        <w:t>，</w:t>
      </w:r>
      <w:r>
        <w:rPr>
          <w:spacing w:val="-81"/>
        </w:rPr>
        <w:t> </w:t>
      </w:r>
      <w:r>
        <w:rPr>
          <w:spacing w:val="-2"/>
        </w:rPr>
        <w:t>是国内第一款全国产的电力加密机，进一步提升了公司竞争力，完善了公司产品系列。电力纵向加密认证装置</w:t>
      </w:r>
      <w:r>
        <w:rPr>
          <w:rFonts w:ascii="宋体" w:hAnsi="宋体" w:cs="宋体" w:eastAsia="宋体" w:hint="default"/>
          <w:spacing w:val="-2"/>
        </w:rPr>
        <w:t>2014</w:t>
      </w:r>
      <w:r>
        <w:rPr>
          <w:spacing w:val="-2"/>
        </w:rPr>
        <w:t>年创造了</w:t>
      </w:r>
      <w:r>
        <w:rPr>
          <w:spacing w:val="-61"/>
        </w:rPr>
        <w:t> </w:t>
      </w:r>
      <w:r>
        <w:rPr/>
        <w:t>超过</w:t>
      </w:r>
      <w:r>
        <w:rPr>
          <w:rFonts w:ascii="宋体" w:hAnsi="宋体" w:cs="宋体" w:eastAsia="宋体" w:hint="default"/>
        </w:rPr>
        <w:t>1</w:t>
      </w:r>
      <w:r>
        <w:rPr/>
        <w:t>亿元的销售收入，为</w:t>
      </w:r>
      <w:r>
        <w:rPr>
          <w:rFonts w:ascii="宋体" w:hAnsi="宋体" w:cs="宋体" w:eastAsia="宋体" w:hint="default"/>
        </w:rPr>
        <w:t>2015</w:t>
      </w:r>
      <w:r>
        <w:rPr/>
        <w:t>年的销售打下了良好的基础。</w:t>
      </w:r>
    </w:p>
    <w:p>
      <w:pPr>
        <w:pStyle w:val="BodyText"/>
        <w:spacing w:line="357" w:lineRule="auto" w:before="58"/>
        <w:ind w:left="514" w:right="0"/>
        <w:jc w:val="left"/>
      </w:pPr>
      <w:r>
        <w:rPr>
          <w:rFonts w:ascii="宋体" w:hAnsi="宋体" w:cs="宋体" w:eastAsia="宋体" w:hint="default"/>
        </w:rPr>
        <w:t>3</w:t>
      </w:r>
      <w:r>
        <w:rPr/>
        <w:t>、电力安全防护系统 </w:t>
      </w:r>
      <w:r>
        <w:rPr>
          <w:spacing w:val="-2"/>
        </w:rPr>
        <w:t>电力安全防护系统主要应用于配电网，目前已完成电力安全防护系统升级开发及用户测试、试点，系统功性能指标均已</w:t>
      </w:r>
    </w:p>
    <w:p>
      <w:pPr>
        <w:pStyle w:val="BodyText"/>
        <w:spacing w:line="224" w:lineRule="exact"/>
        <w:ind w:right="0"/>
        <w:jc w:val="left"/>
      </w:pPr>
      <w:r>
        <w:rPr>
          <w:spacing w:val="-1"/>
        </w:rPr>
        <w:t>达到技术合同要求。国内首创“网闸式</w:t>
      </w:r>
      <w:r>
        <w:rPr>
          <w:rFonts w:ascii="宋体" w:hAnsi="宋体" w:cs="宋体" w:eastAsia="宋体" w:hint="default"/>
          <w:spacing w:val="-1"/>
        </w:rPr>
        <w:t>IPSec</w:t>
      </w:r>
      <w:r>
        <w:rPr>
          <w:rFonts w:ascii="宋体" w:hAnsi="宋体" w:cs="宋体" w:eastAsia="宋体" w:hint="default"/>
          <w:spacing w:val="-27"/>
        </w:rPr>
        <w:t> </w:t>
      </w:r>
      <w:r>
        <w:rPr>
          <w:rFonts w:ascii="宋体" w:hAnsi="宋体" w:cs="宋体" w:eastAsia="宋体" w:hint="default"/>
          <w:spacing w:val="-1"/>
        </w:rPr>
        <w:t>VPN</w:t>
      </w:r>
      <w:r>
        <w:rPr>
          <w:spacing w:val="-1"/>
        </w:rPr>
        <w:t>”，采用高速硬件隔离模块以及私有协议封装、高并发</w:t>
      </w:r>
      <w:r>
        <w:rPr>
          <w:rFonts w:ascii="宋体" w:hAnsi="宋体" w:cs="宋体" w:eastAsia="宋体" w:hint="default"/>
          <w:spacing w:val="-1"/>
        </w:rPr>
        <w:t>TCP</w:t>
      </w:r>
      <w:r>
        <w:rPr>
          <w:spacing w:val="-1"/>
        </w:rPr>
        <w:t>透明代理等技术</w:t>
      </w:r>
    </w:p>
    <w:p>
      <w:pPr>
        <w:pStyle w:val="BodyText"/>
        <w:spacing w:line="319" w:lineRule="auto" w:before="76"/>
        <w:ind w:right="1033"/>
        <w:jc w:val="left"/>
      </w:pPr>
      <w:r>
        <w:rPr>
          <w:spacing w:val="-3"/>
        </w:rPr>
        <w:t>实现网络数据包三层及四层隔离，突破传统网闸产品性能瓶颈。电力安全防护系统的研制基于</w:t>
      </w:r>
      <w:r>
        <w:rPr>
          <w:rFonts w:ascii="宋体" w:hAnsi="宋体" w:cs="宋体" w:eastAsia="宋体" w:hint="default"/>
          <w:spacing w:val="-3"/>
        </w:rPr>
        <w:t>SM1/2/3</w:t>
      </w:r>
      <w:r>
        <w:rPr>
          <w:spacing w:val="-3"/>
        </w:rPr>
        <w:t>算法和</w:t>
      </w:r>
      <w:r>
        <w:rPr>
          <w:rFonts w:ascii="宋体" w:hAnsi="宋体" w:cs="宋体" w:eastAsia="宋体" w:hint="default"/>
          <w:spacing w:val="-3"/>
        </w:rPr>
        <w:t>IPSec</w:t>
      </w:r>
      <w:r>
        <w:rPr>
          <w:spacing w:val="-3"/>
        </w:rPr>
        <w:t>协议实现，</w:t>
      </w:r>
      <w:r>
        <w:rPr>
          <w:spacing w:val="-80"/>
        </w:rPr>
        <w:t> </w:t>
      </w:r>
      <w:r>
        <w:rPr/>
        <w:t>满足未来市场发展的需要和符合国家的政策方向，该系统的研制填补了配电网及工业控制安全领域的空白，极具发展空间。</w:t>
      </w:r>
    </w:p>
    <w:p>
      <w:pPr>
        <w:pStyle w:val="BodyText"/>
        <w:spacing w:line="357" w:lineRule="auto" w:before="56"/>
        <w:ind w:left="514" w:right="0"/>
        <w:jc w:val="left"/>
      </w:pPr>
      <w:r>
        <w:rPr>
          <w:rFonts w:ascii="宋体" w:hAnsi="宋体" w:cs="宋体" w:eastAsia="宋体" w:hint="default"/>
        </w:rPr>
        <w:t>4</w:t>
      </w:r>
      <w:r>
        <w:rPr/>
        <w:t>、基于国产操作系统防护系列产品 </w:t>
      </w:r>
      <w:r>
        <w:rPr>
          <w:spacing w:val="-2"/>
        </w:rPr>
        <w:t>项目以国家大力推展自主可控的国产软硬件为依托，公司在报告期内启动了基于国产操作系统的安全防护系列产品的研</w:t>
      </w:r>
    </w:p>
    <w:p>
      <w:pPr>
        <w:pStyle w:val="BodyText"/>
        <w:spacing w:line="224" w:lineRule="exact"/>
        <w:ind w:left="154" w:right="0"/>
        <w:jc w:val="left"/>
      </w:pPr>
      <w:r>
        <w:rPr/>
        <w:t>制项目，该项目包含终端安全登录与文件保护系统、主机监控与审计系统、三合一系统、防病毒软件，是国内唯一一家全自</w:t>
      </w:r>
    </w:p>
    <w:p>
      <w:pPr>
        <w:pStyle w:val="BodyText"/>
        <w:spacing w:line="319" w:lineRule="auto" w:before="76"/>
        <w:ind w:left="154" w:right="0"/>
        <w:jc w:val="left"/>
      </w:pPr>
      <w:r>
        <w:rPr>
          <w:spacing w:val="-2"/>
        </w:rPr>
        <w:t>主研发，基于国产操作系统的整体性安全产品解决方案，保证终端信息的整体安全性；是国内第一家正式提交保密局测评中</w:t>
      </w:r>
      <w:r>
        <w:rPr>
          <w:spacing w:val="-66"/>
        </w:rPr>
        <w:t> </w:t>
      </w:r>
      <w:r>
        <w:rPr>
          <w:spacing w:val="-66"/>
        </w:rPr>
      </w:r>
      <w:r>
        <w:rPr>
          <w:spacing w:val="-2"/>
        </w:rPr>
        <w:t>心测试，并且也是国内第一家经过保密局测评中心内部测试的基于国产操作系统的终端安全防护系统。该产品弥补了公司在</w:t>
      </w:r>
      <w:r>
        <w:rPr>
          <w:spacing w:val="-64"/>
        </w:rPr>
        <w:t> </w:t>
      </w:r>
      <w:r>
        <w:rPr>
          <w:spacing w:val="-64"/>
        </w:rPr>
      </w:r>
      <w:r>
        <w:rPr/>
        <w:t>终端安全防护系统的产品线，基于</w:t>
      </w:r>
      <w:r>
        <w:rPr>
          <w:rFonts w:ascii="宋体" w:hAnsi="宋体" w:cs="宋体" w:eastAsia="宋体" w:hint="default"/>
        </w:rPr>
        <w:t>Windows</w:t>
      </w:r>
      <w:r>
        <w:rPr/>
        <w:t>、国产操作系统进行了全线支持，在未来国家信息安全领域对国产操作系统的防</w:t>
      </w:r>
      <w:r>
        <w:rPr>
          <w:spacing w:val="-84"/>
        </w:rPr>
        <w:t> </w:t>
      </w:r>
      <w:r>
        <w:rPr>
          <w:spacing w:val="-84"/>
        </w:rPr>
      </w:r>
      <w:r>
        <w:rPr>
          <w:spacing w:val="-2"/>
        </w:rPr>
        <w:t>护工具需求将触发该产品有广泛的市场前景。随着我国核心领域和重要行业的信息产品国产化及安全保障的进一步推进，预</w:t>
      </w:r>
      <w:r>
        <w:rPr>
          <w:spacing w:val="-64"/>
        </w:rPr>
        <w:t> </w:t>
      </w:r>
      <w:r>
        <w:rPr>
          <w:spacing w:val="-64"/>
        </w:rPr>
      </w:r>
      <w:r>
        <w:rPr>
          <w:spacing w:val="-4"/>
        </w:rPr>
        <w:t>计未来几年，基于国产操作系统防护产品的需求将逐步增大，成为政府、军队、科研机构等重点单位、行业的市场主流产品，</w:t>
      </w:r>
      <w:r>
        <w:rPr>
          <w:spacing w:val="-44"/>
        </w:rPr>
        <w:t> </w:t>
      </w:r>
      <w:r>
        <w:rPr>
          <w:spacing w:val="-44"/>
        </w:rPr>
      </w:r>
      <w:r>
        <w:rPr/>
        <w:t>预计总规模可达百亿以上。</w:t>
      </w:r>
    </w:p>
    <w:p>
      <w:pPr>
        <w:pStyle w:val="BodyText"/>
        <w:spacing w:line="357" w:lineRule="auto" w:before="56"/>
        <w:ind w:left="514" w:right="0"/>
        <w:jc w:val="left"/>
      </w:pPr>
      <w:r>
        <w:rPr>
          <w:rFonts w:ascii="宋体" w:hAnsi="宋体" w:cs="宋体" w:eastAsia="宋体" w:hint="default"/>
        </w:rPr>
        <w:t>5</w:t>
      </w:r>
      <w:r>
        <w:rPr/>
        <w:t>、电子政务应用安全支撑平台 </w:t>
      </w:r>
      <w:r>
        <w:rPr>
          <w:spacing w:val="-2"/>
        </w:rPr>
        <w:t>电子政务应用安全支撑平台包含的产品为：安全服务系统、安全认证网关、安全审计系统、电子签章系统、接入控制网</w:t>
      </w:r>
    </w:p>
    <w:p>
      <w:pPr>
        <w:pStyle w:val="BodyText"/>
        <w:spacing w:line="224" w:lineRule="exact"/>
        <w:ind w:left="154" w:right="0"/>
        <w:jc w:val="left"/>
      </w:pPr>
      <w:r>
        <w:rPr/>
        <w:t>关、可信时间服务系统、目录服务系统、身份认证系统、授权管理系统、用章管理系统、资源管理系统、资源管理信息库、</w:t>
      </w:r>
    </w:p>
    <w:p>
      <w:pPr>
        <w:pStyle w:val="BodyText"/>
        <w:spacing w:line="319" w:lineRule="auto" w:before="76"/>
        <w:ind w:left="154" w:right="0"/>
        <w:jc w:val="left"/>
      </w:pPr>
      <w:r>
        <w:rPr>
          <w:spacing w:val="-4"/>
        </w:rPr>
        <w:t>资源注册发布服务系统，为应用搭建了一个安全、高效、全方位的应用支撑平台，平台已经在国内某省电子政务内网中应用，</w:t>
      </w:r>
      <w:r>
        <w:rPr>
          <w:spacing w:val="-46"/>
        </w:rPr>
        <w:t> </w:t>
      </w:r>
      <w:r>
        <w:rPr>
          <w:spacing w:val="-46"/>
        </w:rPr>
      </w:r>
      <w:r>
        <w:rPr>
          <w:spacing w:val="-2"/>
        </w:rPr>
        <w:t>为用户应用搭建了一个安全的支撑平台。电子政务应用安全支撑平台为公司带来了千万产值。目前在内蒙、河南等用户也相</w:t>
      </w:r>
      <w:r>
        <w:rPr>
          <w:spacing w:val="-66"/>
        </w:rPr>
        <w:t> </w:t>
      </w:r>
      <w:r>
        <w:rPr>
          <w:spacing w:val="-66"/>
        </w:rPr>
      </w:r>
      <w:r>
        <w:rPr/>
        <w:t>继针对产品进行了演示与交流，未来在电子政务内网有较大的市场份额。</w:t>
      </w:r>
    </w:p>
    <w:p>
      <w:pPr>
        <w:pStyle w:val="BodyText"/>
        <w:spacing w:line="357" w:lineRule="auto" w:before="58"/>
        <w:ind w:left="514" w:right="0"/>
        <w:jc w:val="left"/>
      </w:pPr>
      <w:r>
        <w:rPr>
          <w:rFonts w:ascii="宋体" w:hAnsi="宋体" w:cs="宋体" w:eastAsia="宋体" w:hint="default"/>
        </w:rPr>
        <w:t>6</w:t>
      </w:r>
      <w:r>
        <w:rPr/>
        <w:t>、金融系列密码机国产算法落地项目 </w:t>
      </w:r>
      <w:r>
        <w:rPr>
          <w:spacing w:val="-2"/>
        </w:rPr>
        <w:t>金融领域是公司的传统优势客户领域，根据国家要求，金融领域的关键核心密码产品要全面采用国家自主密码算法，为</w:t>
      </w:r>
    </w:p>
    <w:p>
      <w:pPr>
        <w:spacing w:after="0" w:line="357"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卫士通公司创造了良好的发展机遇。金融系列密码产品为卫士通公司的拳头产品，</w:t>
      </w:r>
      <w:r>
        <w:rPr>
          <w:rFonts w:ascii="宋体" w:hAnsi="宋体" w:cs="宋体" w:eastAsia="宋体" w:hint="default"/>
          <w:spacing w:val="-2"/>
        </w:rPr>
        <w:t>2014</w:t>
      </w:r>
      <w:r>
        <w:rPr>
          <w:spacing w:val="-2"/>
        </w:rPr>
        <w:t>年已完成高端、中端和低端金融数据</w:t>
      </w:r>
      <w:r>
        <w:rPr>
          <w:spacing w:val="-61"/>
        </w:rPr>
        <w:t> </w:t>
      </w:r>
      <w:r>
        <w:rPr>
          <w:spacing w:val="-61"/>
        </w:rPr>
      </w:r>
      <w:r>
        <w:rPr>
          <w:spacing w:val="-4"/>
        </w:rPr>
        <w:t>密码机、服务器密码机、高性能签名验证服务器等满足不同金融业务系统要求的系列产品，并获取国家主管部门的产品资质。</w:t>
      </w:r>
      <w:r>
        <w:rPr>
          <w:spacing w:val="-44"/>
        </w:rPr>
        <w:t> </w:t>
      </w:r>
      <w:r>
        <w:rPr>
          <w:spacing w:val="-44"/>
        </w:rPr>
      </w:r>
      <w:r>
        <w:rPr>
          <w:spacing w:val="-2"/>
        </w:rPr>
        <w:t>金融系列密码产品实现了对人民银行</w:t>
      </w:r>
      <w:r>
        <w:rPr>
          <w:rFonts w:ascii="宋体" w:hAnsi="宋体" w:cs="宋体" w:eastAsia="宋体" w:hint="default"/>
          <w:spacing w:val="-2"/>
        </w:rPr>
        <w:t>PBOC3.0</w:t>
      </w:r>
      <w:r>
        <w:rPr>
          <w:spacing w:val="-2"/>
        </w:rPr>
        <w:t>标准的支持，全面支持</w:t>
      </w:r>
      <w:r>
        <w:rPr>
          <w:rFonts w:ascii="宋体" w:hAnsi="宋体" w:cs="宋体" w:eastAsia="宋体" w:hint="default"/>
          <w:spacing w:val="-2"/>
        </w:rPr>
        <w:t>SM2/3/4</w:t>
      </w:r>
      <w:r>
        <w:rPr>
          <w:spacing w:val="-2"/>
        </w:rPr>
        <w:t>国家自主密码算法；目前已通过各国有银行、股</w:t>
      </w:r>
      <w:r>
        <w:rPr>
          <w:spacing w:val="-52"/>
        </w:rPr>
        <w:t> </w:t>
      </w:r>
      <w:r>
        <w:rPr>
          <w:spacing w:val="-52"/>
        </w:rPr>
      </w:r>
      <w:r>
        <w:rPr>
          <w:spacing w:val="-2"/>
        </w:rPr>
        <w:t>份制银行、城商银行、农商银行等用户的测试与试用，且已被相关银行采购并投入使用，获得市场认可。</w:t>
      </w:r>
      <w:r>
        <w:rPr>
          <w:rFonts w:ascii="宋体" w:hAnsi="宋体" w:cs="宋体" w:eastAsia="宋体" w:hint="default"/>
          <w:spacing w:val="-2"/>
        </w:rPr>
        <w:t>2015</w:t>
      </w:r>
      <w:r>
        <w:rPr>
          <w:spacing w:val="-2"/>
        </w:rPr>
        <w:t>年上述金融系</w:t>
      </w:r>
      <w:r>
        <w:rPr>
          <w:spacing w:val="-61"/>
        </w:rPr>
        <w:t> </w:t>
      </w:r>
      <w:r>
        <w:rPr>
          <w:spacing w:val="-61"/>
        </w:rPr>
      </w:r>
      <w:r>
        <w:rPr/>
        <w:t>列密码产品，将在金融领域进行全面推广，为卫士通公司创造更大经济价值和社会效益。</w:t>
      </w:r>
    </w:p>
    <w:p>
      <w:pPr>
        <w:pStyle w:val="BodyText"/>
        <w:spacing w:line="357" w:lineRule="auto" w:before="56"/>
        <w:ind w:left="514" w:right="0"/>
        <w:jc w:val="left"/>
      </w:pPr>
      <w:r>
        <w:rPr>
          <w:rFonts w:ascii="宋体" w:hAnsi="宋体" w:cs="宋体" w:eastAsia="宋体" w:hint="default"/>
        </w:rPr>
        <w:t>7</w:t>
      </w:r>
      <w:r>
        <w:rPr/>
        <w:t>、安全电子邮件系统 </w:t>
      </w:r>
      <w:r>
        <w:rPr>
          <w:spacing w:val="-2"/>
        </w:rPr>
        <w:t>安全电子邮件系统主要用于政府、军工、银行等行业的涉密或敏感信息通信，在报告期内主要进展有：服务器端已支持</w:t>
      </w:r>
    </w:p>
    <w:p>
      <w:pPr>
        <w:pStyle w:val="BodyText"/>
        <w:spacing w:line="224" w:lineRule="exact"/>
        <w:ind w:left="154" w:right="0"/>
        <w:jc w:val="both"/>
      </w:pPr>
      <w:r>
        <w:rPr/>
        <w:t>麒麟国产操作系统，并在用户处得到应用；初步开发出平板</w:t>
      </w:r>
      <w:r>
        <w:rPr>
          <w:rFonts w:ascii="宋体" w:hAnsi="宋体" w:cs="宋体" w:eastAsia="宋体" w:hint="default"/>
        </w:rPr>
        <w:t>Web</w:t>
      </w:r>
      <w:r>
        <w:rPr/>
        <w:t>客户端，并启动了手机版开发；在用户处成功实施了多节点</w:t>
      </w:r>
    </w:p>
    <w:p>
      <w:pPr>
        <w:pStyle w:val="BodyText"/>
        <w:spacing w:line="319" w:lineRule="auto" w:before="76"/>
        <w:ind w:left="154" w:right="1133"/>
        <w:jc w:val="both"/>
      </w:pPr>
      <w:r>
        <w:rPr>
          <w:spacing w:val="-2"/>
        </w:rPr>
        <w:t>互联互通功能；较大地提高了可靠性、兼容性、安全性和性能；初步搭建了安全邮件运营平台；通过了四川省科技厅组织的</w:t>
      </w:r>
      <w:r>
        <w:rPr>
          <w:spacing w:val="-66"/>
        </w:rPr>
        <w:t> </w:t>
      </w:r>
      <w:r>
        <w:rPr>
          <w:spacing w:val="-66"/>
        </w:rPr>
      </w:r>
      <w:r>
        <w:rPr>
          <w:spacing w:val="-2"/>
        </w:rPr>
        <w:t>科技成果鉴定，获得了省和国家项目支持。下一步该项目将进一步完善移动客户端，继续提升可靠性、兼容性、安全性和性</w:t>
      </w:r>
      <w:r>
        <w:rPr>
          <w:spacing w:val="-66"/>
        </w:rPr>
        <w:t> </w:t>
      </w:r>
      <w:r>
        <w:rPr>
          <w:spacing w:val="-66"/>
        </w:rPr>
      </w:r>
      <w:r>
        <w:rPr/>
        <w:t>能，完善对国产化软硬件平台的支持，增加运营管理功能。该项目对公司构建安全产品线将起到积极作用。</w:t>
      </w:r>
    </w:p>
    <w:p>
      <w:pPr>
        <w:pStyle w:val="BodyText"/>
        <w:spacing w:line="357" w:lineRule="auto" w:before="56"/>
        <w:ind w:left="514" w:right="0"/>
        <w:jc w:val="left"/>
      </w:pPr>
      <w:r>
        <w:rPr>
          <w:rFonts w:ascii="宋体" w:hAnsi="宋体" w:cs="宋体" w:eastAsia="宋体" w:hint="default"/>
        </w:rPr>
        <w:t>8</w:t>
      </w:r>
      <w:r>
        <w:rPr/>
        <w:t>、中国移动安全手机项目 </w:t>
      </w:r>
      <w:r>
        <w:rPr>
          <w:spacing w:val="-2"/>
        </w:rPr>
        <w:t>为解决移动通信中的安全问题，公司在报告期内联合中国移动、中兴通信推出了以保密通信、数据安全、手机防盗等为</w:t>
      </w:r>
    </w:p>
    <w:p>
      <w:pPr>
        <w:pStyle w:val="BodyText"/>
        <w:spacing w:line="224" w:lineRule="exact"/>
        <w:ind w:left="154" w:right="0"/>
        <w:jc w:val="both"/>
      </w:pPr>
      <w:r>
        <w:rPr/>
        <w:t>特色的</w:t>
      </w:r>
      <w:r>
        <w:rPr>
          <w:rFonts w:ascii="宋体" w:hAnsi="宋体" w:cs="宋体" w:eastAsia="宋体" w:hint="default"/>
        </w:rPr>
        <w:t>TD-SCDMA</w:t>
      </w:r>
      <w:r>
        <w:rPr/>
        <w:t>安全手机及配套运维管理平台。目前，公司已完成了</w:t>
      </w:r>
      <w:r>
        <w:rPr>
          <w:rFonts w:ascii="宋体" w:hAnsi="宋体" w:cs="宋体" w:eastAsia="宋体" w:hint="default"/>
        </w:rPr>
        <w:t>TD-SCDMA</w:t>
      </w:r>
      <w:r>
        <w:rPr/>
        <w:t>安全手机及配套运维管理平台开发，并在中国</w:t>
      </w:r>
    </w:p>
    <w:p>
      <w:pPr>
        <w:pStyle w:val="BodyText"/>
        <w:spacing w:line="319" w:lineRule="auto" w:before="76"/>
        <w:ind w:left="154" w:right="1131"/>
        <w:jc w:val="both"/>
      </w:pPr>
      <w:r>
        <w:rPr>
          <w:spacing w:val="-2"/>
        </w:rPr>
        <w:t>移动实验网中验证了各项安全功能，该项目成功通过国家密码管理局商用密码产品技术鉴定专家评审大会的评审。该款安全</w:t>
      </w:r>
      <w:r>
        <w:rPr>
          <w:spacing w:val="-64"/>
        </w:rPr>
        <w:t> </w:t>
      </w:r>
      <w:r>
        <w:rPr>
          <w:spacing w:val="-64"/>
        </w:rPr>
      </w:r>
      <w:r>
        <w:rPr>
          <w:spacing w:val="-2"/>
        </w:rPr>
        <w:t>手机不仅能够为广大安全敏感人士提供通信保障，还可作为智能安全可信平台支撑移动办公、移动金融、智慧城市、智能家</w:t>
      </w:r>
      <w:r>
        <w:rPr>
          <w:spacing w:val="-66"/>
        </w:rPr>
        <w:t> </w:t>
      </w:r>
      <w:r>
        <w:rPr>
          <w:spacing w:val="-66"/>
        </w:rPr>
      </w:r>
      <w:r>
        <w:rPr/>
        <w:t>居等安全服务，具有巨大的市场前景。</w:t>
      </w:r>
    </w:p>
    <w:p>
      <w:pPr>
        <w:pStyle w:val="BodyText"/>
        <w:spacing w:line="357" w:lineRule="auto" w:before="58"/>
        <w:ind w:left="514" w:right="0"/>
        <w:jc w:val="left"/>
      </w:pPr>
      <w:r>
        <w:rPr>
          <w:rFonts w:ascii="宋体" w:hAnsi="宋体" w:cs="宋体" w:eastAsia="宋体" w:hint="default"/>
        </w:rPr>
        <w:t>9</w:t>
      </w:r>
      <w:r>
        <w:rPr/>
        <w:t>、安全平板项目 </w:t>
      </w:r>
      <w:r>
        <w:rPr>
          <w:spacing w:val="-2"/>
        </w:rPr>
        <w:t>为解决移动办公中安全问题，公司在报告期内联合北京壹人壹本开发安全平板项目。目前，该项目已完成了安全移动平</w:t>
      </w:r>
    </w:p>
    <w:p>
      <w:pPr>
        <w:pStyle w:val="BodyText"/>
        <w:spacing w:line="357" w:lineRule="auto"/>
        <w:ind w:left="513" w:right="1123" w:hanging="360"/>
        <w:jc w:val="left"/>
      </w:pPr>
      <w:r>
        <w:rPr/>
        <w:t>板和配套管理平台开发，并在特定用户中开展了小规模试用，正在国家保密局测评中心进行产品测评工作。 </w:t>
      </w:r>
      <w:r>
        <w:rPr>
          <w:rFonts w:ascii="宋体" w:hAnsi="宋体" w:cs="宋体" w:eastAsia="宋体" w:hint="default"/>
        </w:rPr>
        <w:t>10</w:t>
      </w:r>
      <w:r>
        <w:rPr/>
        <w:t>、</w:t>
      </w:r>
      <w:r>
        <w:rPr>
          <w:rFonts w:ascii="宋体" w:hAnsi="宋体" w:cs="宋体" w:eastAsia="宋体" w:hint="default"/>
        </w:rPr>
        <w:t>2.4GHz</w:t>
      </w:r>
      <w:r>
        <w:rPr/>
        <w:t>射频安全</w:t>
      </w:r>
      <w:r>
        <w:rPr>
          <w:rFonts w:ascii="宋体" w:hAnsi="宋体" w:cs="宋体" w:eastAsia="宋体" w:hint="default"/>
        </w:rPr>
        <w:t>SoC</w:t>
      </w:r>
      <w:r>
        <w:rPr/>
        <w:t>芯片研发及产业化 随着物联网技术在社会公共安全领域的综合应用时机已逐渐成熟，</w:t>
      </w:r>
      <w:r>
        <w:rPr>
          <w:rFonts w:ascii="宋体" w:hAnsi="宋体" w:cs="宋体" w:eastAsia="宋体" w:hint="default"/>
        </w:rPr>
        <w:t>2.4GHz</w:t>
      </w:r>
      <w:r>
        <w:rPr/>
        <w:t>射频安全</w:t>
      </w:r>
      <w:r>
        <w:rPr>
          <w:rFonts w:ascii="宋体" w:hAnsi="宋体" w:cs="宋体" w:eastAsia="宋体" w:hint="default"/>
        </w:rPr>
        <w:t>SoC</w:t>
      </w:r>
      <w:r>
        <w:rPr/>
        <w:t>已成为物联网技术的核心部分，</w:t>
      </w:r>
    </w:p>
    <w:p>
      <w:pPr>
        <w:pStyle w:val="BodyText"/>
        <w:spacing w:line="224" w:lineRule="exact"/>
        <w:ind w:right="0"/>
        <w:jc w:val="both"/>
      </w:pPr>
      <w:r>
        <w:rPr/>
        <w:t>是感知安防的主要手段。同时也是技术密集度较大的核心领域。为顺应物联网技术发展，公司在报告期内启动了</w:t>
      </w:r>
      <w:r>
        <w:rPr>
          <w:rFonts w:ascii="宋体" w:hAnsi="宋体" w:cs="宋体" w:eastAsia="宋体" w:hint="default"/>
        </w:rPr>
        <w:t>2.4GHz</w:t>
      </w:r>
      <w:r>
        <w:rPr/>
        <w:t>射频</w:t>
      </w:r>
    </w:p>
    <w:p>
      <w:pPr>
        <w:pStyle w:val="BodyText"/>
        <w:spacing w:line="319" w:lineRule="auto" w:before="76"/>
        <w:ind w:right="1131"/>
        <w:jc w:val="both"/>
      </w:pPr>
      <w:r>
        <w:rPr>
          <w:spacing w:val="-1"/>
        </w:rPr>
        <w:t>安全</w:t>
      </w:r>
      <w:r>
        <w:rPr>
          <w:rFonts w:ascii="宋体" w:hAnsi="宋体" w:cs="宋体" w:eastAsia="宋体" w:hint="default"/>
          <w:spacing w:val="-1"/>
        </w:rPr>
        <w:t>SoC</w:t>
      </w:r>
      <w:r>
        <w:rPr>
          <w:spacing w:val="-1"/>
        </w:rPr>
        <w:t>芯片研发及产业化项目。该项目针对目前国内在</w:t>
      </w:r>
      <w:r>
        <w:rPr>
          <w:rFonts w:ascii="宋体" w:hAnsi="宋体" w:cs="宋体" w:eastAsia="宋体" w:hint="default"/>
          <w:spacing w:val="-1"/>
        </w:rPr>
        <w:t>2.4</w:t>
      </w:r>
      <w:r>
        <w:rPr>
          <w:rFonts w:ascii="宋体" w:hAnsi="宋体" w:cs="宋体" w:eastAsia="宋体" w:hint="default"/>
          <w:spacing w:val="-29"/>
        </w:rPr>
        <w:t> </w:t>
      </w:r>
      <w:r>
        <w:rPr>
          <w:rFonts w:ascii="宋体" w:hAnsi="宋体" w:cs="宋体" w:eastAsia="宋体" w:hint="default"/>
          <w:spacing w:val="-1"/>
        </w:rPr>
        <w:t>GHz</w:t>
      </w:r>
      <w:r>
        <w:rPr>
          <w:spacing w:val="-1"/>
        </w:rPr>
        <w:t>无线通信领域缺乏自主知识产权的核心芯片，严重依赖进口</w:t>
      </w:r>
      <w:r>
        <w:rPr>
          <w:spacing w:val="-87"/>
        </w:rPr>
        <w:t> </w:t>
      </w:r>
      <w:r>
        <w:rPr>
          <w:spacing w:val="-87"/>
        </w:rPr>
      </w:r>
      <w:r>
        <w:rPr/>
        <w:t>的市场现状，自主研发</w:t>
      </w:r>
      <w:r>
        <w:rPr>
          <w:rFonts w:ascii="宋体" w:hAnsi="宋体" w:cs="宋体" w:eastAsia="宋体" w:hint="default"/>
        </w:rPr>
        <w:t>2.4 GHz</w:t>
      </w:r>
      <w:r>
        <w:rPr/>
        <w:t>射频（</w:t>
      </w:r>
      <w:r>
        <w:rPr>
          <w:rFonts w:ascii="宋体" w:hAnsi="宋体" w:cs="宋体" w:eastAsia="宋体" w:hint="default"/>
        </w:rPr>
        <w:t>Radio</w:t>
      </w:r>
      <w:r>
        <w:rPr>
          <w:rFonts w:ascii="宋体" w:hAnsi="宋体" w:cs="宋体" w:eastAsia="宋体" w:hint="default"/>
          <w:spacing w:val="5"/>
        </w:rPr>
        <w:t> </w:t>
      </w:r>
      <w:r>
        <w:rPr>
          <w:rFonts w:ascii="宋体" w:hAnsi="宋体" w:cs="宋体" w:eastAsia="宋体" w:hint="default"/>
        </w:rPr>
        <w:t>Frequency</w:t>
      </w:r>
      <w:r>
        <w:rPr/>
        <w:t>，</w:t>
      </w:r>
      <w:r>
        <w:rPr>
          <w:rFonts w:ascii="宋体" w:hAnsi="宋体" w:cs="宋体" w:eastAsia="宋体" w:hint="default"/>
        </w:rPr>
        <w:t>RF</w:t>
      </w:r>
      <w:r>
        <w:rPr/>
        <w:t>）安全片上系统（</w:t>
      </w:r>
      <w:r>
        <w:rPr>
          <w:rFonts w:ascii="宋体" w:hAnsi="宋体" w:cs="宋体" w:eastAsia="宋体" w:hint="default"/>
        </w:rPr>
        <w:t>System-on-Chip</w:t>
      </w:r>
      <w:r>
        <w:rPr/>
        <w:t>，</w:t>
      </w:r>
      <w:r>
        <w:rPr>
          <w:rFonts w:ascii="宋体" w:hAnsi="宋体" w:cs="宋体" w:eastAsia="宋体" w:hint="default"/>
        </w:rPr>
        <w:t>SoC</w:t>
      </w:r>
      <w:r>
        <w:rPr/>
        <w:t>）芯片，并研发出单芯 片应用解决产品及方案，制定产品产业化推进策略，进行</w:t>
      </w:r>
      <w:r>
        <w:rPr>
          <w:rFonts w:ascii="宋体" w:hAnsi="宋体" w:cs="宋体" w:eastAsia="宋体" w:hint="default"/>
        </w:rPr>
        <w:t>2.4</w:t>
      </w:r>
      <w:r>
        <w:rPr>
          <w:rFonts w:ascii="宋体" w:hAnsi="宋体" w:cs="宋体" w:eastAsia="宋体" w:hint="default"/>
          <w:spacing w:val="-53"/>
        </w:rPr>
        <w:t> </w:t>
      </w:r>
      <w:r>
        <w:rPr>
          <w:rFonts w:ascii="宋体" w:hAnsi="宋体" w:cs="宋体" w:eastAsia="宋体" w:hint="default"/>
        </w:rPr>
        <w:t>GHz</w:t>
      </w:r>
      <w:r>
        <w:rPr>
          <w:rFonts w:ascii="宋体" w:hAnsi="宋体" w:cs="宋体" w:eastAsia="宋体" w:hint="default"/>
          <w:spacing w:val="-16"/>
        </w:rPr>
        <w:t> </w:t>
      </w:r>
      <w:r>
        <w:rPr/>
        <w:t>射频安全</w:t>
      </w:r>
      <w:r>
        <w:rPr>
          <w:spacing w:val="-16"/>
        </w:rPr>
        <w:t> </w:t>
      </w:r>
      <w:r>
        <w:rPr>
          <w:rFonts w:ascii="宋体" w:hAnsi="宋体" w:cs="宋体" w:eastAsia="宋体" w:hint="default"/>
        </w:rPr>
        <w:t>SoC</w:t>
      </w:r>
      <w:r>
        <w:rPr/>
        <w:t>芯片及产品的示范应用和产业化推广，实现 产业链上下游整合，填补国内产品空白，推动相关产业升级。</w:t>
      </w:r>
    </w:p>
    <w:p>
      <w:pPr>
        <w:pStyle w:val="BodyText"/>
        <w:spacing w:line="319" w:lineRule="auto" w:before="55"/>
        <w:ind w:right="1123" w:firstLine="360"/>
        <w:jc w:val="left"/>
      </w:pPr>
      <w:r>
        <w:rPr/>
        <w:t>公司本年研发支出</w:t>
      </w:r>
      <w:r>
        <w:rPr>
          <w:rFonts w:ascii="宋体" w:hAnsi="宋体" w:cs="宋体" w:eastAsia="宋体" w:hint="default"/>
        </w:rPr>
        <w:t>123,727,768.53</w:t>
      </w:r>
      <w:r>
        <w:rPr/>
        <w:t>元，占净资产的</w:t>
      </w:r>
      <w:r>
        <w:rPr>
          <w:rFonts w:ascii="宋体" w:hAnsi="宋体" w:cs="宋体" w:eastAsia="宋体" w:hint="default"/>
        </w:rPr>
        <w:t>9.64%</w:t>
      </w:r>
      <w:r>
        <w:rPr/>
        <w:t>，较上年下降</w:t>
      </w:r>
      <w:r>
        <w:rPr>
          <w:rFonts w:ascii="宋体" w:hAnsi="宋体" w:cs="宋体" w:eastAsia="宋体" w:hint="default"/>
        </w:rPr>
        <w:t>0.57</w:t>
      </w:r>
      <w:r>
        <w:rPr/>
        <w:t>个百分点；研发支出占营业收入的</w:t>
      </w:r>
      <w:r>
        <w:rPr>
          <w:rFonts w:ascii="宋体" w:hAnsi="宋体" w:cs="宋体" w:eastAsia="宋体" w:hint="default"/>
        </w:rPr>
        <w:t>10.01%</w:t>
      </w:r>
      <w:r>
        <w:rPr/>
        <w:t>， 较上年下降</w:t>
      </w:r>
      <w:r>
        <w:rPr>
          <w:rFonts w:ascii="宋体" w:hAnsi="宋体" w:cs="宋体" w:eastAsia="宋体" w:hint="default"/>
        </w:rPr>
        <w:t>1.99</w:t>
      </w:r>
      <w:r>
        <w:rPr/>
        <w:t>个百分点。</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2564"/>
        <w:gridCol w:w="2268"/>
        <w:gridCol w:w="1913"/>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1,331,026,227.27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802,518,035.65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65.86%</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1,289,206,008.14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764,675,144.80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41,820,219.13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37,842,890.85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10.51%</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20,665.00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3,744,514.00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-99.45%</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71,979,908.55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16,794,559.02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328.59%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-71,959,243.55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-13,050,045.02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-451.41%</w:t>
            </w:r>
            <w:r>
              <w:rPr>
                <w:rFonts w:ascii="Times New Roman"/>
                <w:sz w:val="18"/>
              </w:rPr>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246,928,674.33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2552"/>
        <w:gridCol w:w="2268"/>
        <w:gridCol w:w="1913"/>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75,201,359.81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137,432,526.72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-45.28%</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171,727,314.52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20,167,473.28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751.51%</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141,588,290.10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44,960,319.11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214.92%</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left="154" w:right="0" w:firstLine="360"/>
        <w:jc w:val="left"/>
      </w:pPr>
      <w:r>
        <w:rPr>
          <w:rFonts w:ascii="Times New Roman" w:hAnsi="Times New Roman" w:cs="Times New Roman" w:eastAsia="Times New Roman" w:hint="default"/>
        </w:rPr>
        <w:t>1</w:t>
      </w:r>
      <w:r>
        <w:rPr/>
        <w:t>、投资活动现金流量净额比上年减少</w:t>
      </w:r>
      <w:r>
        <w:rPr>
          <w:rFonts w:ascii="Times New Roman" w:hAnsi="Times New Roman" w:cs="Times New Roman" w:eastAsia="Times New Roman" w:hint="default"/>
        </w:rPr>
        <w:t>451.41%</w:t>
      </w:r>
      <w:r>
        <w:rPr/>
        <w:t>，主要系原子公司成都摩宝网络科技有限公司本报告期因控制权转移不 </w:t>
      </w:r>
      <w:r>
        <w:rPr>
          <w:spacing w:val="-2"/>
        </w:rPr>
        <w:t>再纳入本公司合并财务报表范围，其处置日现金及现金等价物余额不再包含在合并现金流量中，由此增加支付其他与投资活</w:t>
      </w:r>
      <w:r>
        <w:rPr>
          <w:spacing w:val="-64"/>
        </w:rPr>
        <w:t> </w:t>
      </w:r>
      <w:r>
        <w:rPr>
          <w:spacing w:val="-64"/>
        </w:rPr>
      </w:r>
      <w:r>
        <w:rPr/>
        <w:t>动有关的现金</w:t>
      </w:r>
      <w:r>
        <w:rPr>
          <w:rFonts w:ascii="Times New Roman" w:hAnsi="Times New Roman" w:cs="Times New Roman" w:eastAsia="Times New Roman" w:hint="default"/>
        </w:rPr>
        <w:t>64,340,516.39</w:t>
      </w:r>
      <w:r>
        <w:rPr/>
        <w:t>元，导致本报告期投资活动产生的现金流量净额大幅减少。</w:t>
      </w:r>
    </w:p>
    <w:p>
      <w:pPr>
        <w:pStyle w:val="BodyText"/>
        <w:spacing w:line="240" w:lineRule="auto" w:before="46"/>
        <w:ind w:left="514" w:right="0"/>
        <w:jc w:val="left"/>
      </w:pPr>
      <w:r>
        <w:rPr>
          <w:rFonts w:ascii="Times New Roman" w:hAnsi="Times New Roman" w:cs="Times New Roman" w:eastAsia="Times New Roman" w:hint="default"/>
        </w:rPr>
        <w:t>2</w:t>
      </w:r>
      <w:r>
        <w:rPr/>
        <w:t>、筹资活动现金流量净额比上年增加</w:t>
      </w:r>
      <w:r>
        <w:rPr>
          <w:rFonts w:ascii="Times New Roman" w:hAnsi="Times New Roman" w:cs="Times New Roman" w:eastAsia="Times New Roman" w:hint="default"/>
        </w:rPr>
        <w:t>751.51%</w:t>
      </w:r>
      <w:r>
        <w:rPr/>
        <w:t>，主要系本报告期收到控股股东三十所增资款</w:t>
      </w:r>
      <w:r>
        <w:rPr>
          <w:rFonts w:ascii="Times New Roman" w:hAnsi="Times New Roman" w:cs="Times New Roman" w:eastAsia="Times New Roman" w:hint="default"/>
        </w:rPr>
        <w:t>186,928,674.33</w:t>
      </w:r>
      <w:r>
        <w:rPr/>
        <w:t>元；</w:t>
      </w:r>
    </w:p>
    <w:p>
      <w:pPr>
        <w:pStyle w:val="BodyText"/>
        <w:spacing w:line="338" w:lineRule="auto" w:before="102"/>
        <w:ind w:left="514" w:right="4452"/>
        <w:jc w:val="left"/>
      </w:pPr>
      <w:r>
        <w:rPr>
          <w:rFonts w:ascii="Times New Roman" w:hAnsi="Times New Roman" w:cs="Times New Roman" w:eastAsia="Times New Roman" w:hint="default"/>
        </w:rPr>
        <w:t>3</w:t>
      </w:r>
      <w:r>
        <w:rPr/>
        <w:t>、本年现金净流量增加主要系本年度筹资活动现金流入增加。 报告期内公司经营活动的现金流量与本年度净利润存在重大差异的原因说明</w:t>
      </w:r>
    </w:p>
    <w:p>
      <w:pPr>
        <w:pStyle w:val="BodyText"/>
        <w:spacing w:line="240" w:lineRule="auto" w:before="43"/>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1,236,159,951.18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767,084,659.55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单机产品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430,946,229.07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136,939,942.96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90,881,051.00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29,042,778.98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安全服务与集成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696,305,777.36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584,185,513.08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18,026,893.75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16,916,424.53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1,236,159,951.18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767,084,659.55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33,885,016.64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18,455,137.95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249,040,069.18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129,456,460.22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143,216,668.27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94,640,743.91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82,571,061.75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51,585,098.05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24,951,637.67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11,994,978.25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33,867,077.63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24,601,024.17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668,628,420.04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436,351,217.00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1,236,159,951.18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767,084,659.55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83"/>
        <w:gridCol w:w="1416"/>
        <w:gridCol w:w="992"/>
        <w:gridCol w:w="1389"/>
        <w:gridCol w:w="1063"/>
        <w:gridCol w:w="950"/>
        <w:gridCol w:w="2765"/>
      </w:tblGrid>
      <w:tr>
        <w:trPr>
          <w:trHeight w:val="380" w:hRule="exact"/>
        </w:trPr>
        <w:tc>
          <w:tcPr>
            <w:tcW w:w="983"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0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52"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5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65"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983" w:type="dxa"/>
            <w:vMerge w:val="restart"/>
            <w:tcBorders>
              <w:top w:val="single" w:sz="14" w:space="0" w:color="FFFFFF"/>
              <w:left w:val="single" w:sz="4" w:space="0" w:color="000000"/>
              <w:right w:val="single" w:sz="4" w:space="0" w:color="000000"/>
            </w:tcBorders>
            <w:shd w:val="clear" w:color="auto" w:fill="D2D2D2"/>
          </w:tcPr>
          <w:p>
            <w:pPr/>
          </w:p>
        </w:tc>
        <w:tc>
          <w:tcPr>
            <w:tcW w:w="1416" w:type="dxa"/>
            <w:tcBorders>
              <w:top w:val="single" w:sz="14" w:space="0" w:color="FFFFFF"/>
              <w:left w:val="single" w:sz="4" w:space="0" w:color="000000"/>
              <w:bottom w:val="nil" w:sz="6" w:space="0" w:color="auto"/>
              <w:right w:val="single" w:sz="4" w:space="0" w:color="000000"/>
            </w:tcBorders>
            <w:shd w:val="clear" w:color="auto" w:fill="D2D2D2"/>
          </w:tcPr>
          <w:p>
            <w:pPr/>
          </w:p>
        </w:tc>
        <w:tc>
          <w:tcPr>
            <w:tcW w:w="99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01" w:right="3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89"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5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11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983" w:type="dxa"/>
            <w:vMerge/>
            <w:tcBorders>
              <w:left w:val="single" w:sz="4" w:space="0" w:color="000000"/>
              <w:bottom w:val="nil" w:sz="6" w:space="0" w:color="auto"/>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2D2D2"/>
          </w:tcPr>
          <w:p>
            <w:pPr/>
          </w:p>
        </w:tc>
        <w:tc>
          <w:tcPr>
            <w:tcW w:w="13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50" w:type="dxa"/>
            <w:vMerge/>
            <w:tcBorders>
              <w:left w:val="single" w:sz="4" w:space="0" w:color="000000"/>
              <w:bottom w:val="nil" w:sz="6" w:space="0" w:color="auto"/>
              <w:right w:val="single" w:sz="4" w:space="0" w:color="000000"/>
            </w:tcBorders>
            <w:shd w:val="clear" w:color="auto" w:fill="D2D2D2"/>
          </w:tcPr>
          <w:p>
            <w:pPr/>
          </w:p>
        </w:tc>
        <w:tc>
          <w:tcPr>
            <w:tcW w:w="2765"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983" w:type="dxa"/>
            <w:vMerge w:val="restart"/>
            <w:tcBorders>
              <w:top w:val="nil" w:sz="6" w:space="0" w:color="auto"/>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1389"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50" w:type="dxa"/>
            <w:vMerge w:val="restart"/>
            <w:tcBorders>
              <w:top w:val="nil" w:sz="6" w:space="0" w:color="auto"/>
              <w:left w:val="single" w:sz="4" w:space="0" w:color="000000"/>
              <w:right w:val="single" w:sz="4" w:space="0" w:color="000000"/>
            </w:tcBorders>
            <w:shd w:val="clear" w:color="auto" w:fill="D2D2D2"/>
          </w:tcPr>
          <w:p>
            <w:pPr/>
          </w:p>
        </w:tc>
        <w:tc>
          <w:tcPr>
            <w:tcW w:w="276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83"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2765"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756,880,309.56</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39.22%</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608,917,658.61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43.14%</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3.92</w:t>
            </w:r>
          </w:p>
          <w:p>
            <w:pPr>
              <w:pStyle w:val="TableParagraph"/>
              <w:spacing w:line="240" w:lineRule="auto" w:before="63"/>
              <w:ind w:left="197"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765" w:type="dxa"/>
            <w:vMerge w:val="restart"/>
            <w:tcBorders>
              <w:top w:val="single" w:sz="4" w:space="0" w:color="000000"/>
              <w:left w:val="single" w:sz="4" w:space="0" w:color="000000"/>
              <w:right w:val="single" w:sz="4" w:space="0" w:color="000000"/>
            </w:tcBorders>
          </w:tcPr>
          <w:p>
            <w:pP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6"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599,943,797.02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31.09%</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427,310,545.47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30.28%</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0.81</w:t>
            </w:r>
          </w:p>
          <w:p>
            <w:pPr>
              <w:pStyle w:val="TableParagraph"/>
              <w:spacing w:line="240" w:lineRule="auto" w:before="63"/>
              <w:ind w:left="197"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主要系本期营业收入增加，应收账 款相应增加</w:t>
            </w: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6"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156,124,056.12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8.09%</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83,221,201.78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5.90%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w:t>
            </w:r>
          </w:p>
          <w:p>
            <w:pPr>
              <w:pStyle w:val="TableParagraph"/>
              <w:spacing w:line="240" w:lineRule="auto" w:before="63"/>
              <w:ind w:left="197"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主要系为待执行合同项目准备的原 材料、在产品增加</w:t>
            </w: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6"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318"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42" w:right="0"/>
              <w:jc w:val="left"/>
              <w:rPr>
                <w:rFonts w:ascii="Times New Roman" w:hAnsi="Times New Roman" w:cs="Times New Roman" w:eastAsia="Times New Roman" w:hint="default"/>
                <w:sz w:val="18"/>
                <w:szCs w:val="18"/>
              </w:rPr>
            </w:pPr>
            <w:r>
              <w:rPr>
                <w:rFonts w:ascii="Times New Roman"/>
                <w:sz w:val="18"/>
              </w:rPr>
              <w:t>12,933,851.84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0.67%</w:t>
            </w:r>
          </w:p>
        </w:tc>
        <w:tc>
          <w:tcPr>
            <w:tcW w:w="1389"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0.00%</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0.67</w:t>
            </w:r>
          </w:p>
          <w:p>
            <w:pPr>
              <w:pStyle w:val="TableParagraph"/>
              <w:spacing w:line="240" w:lineRule="auto" w:before="63"/>
              <w:ind w:left="197"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both"/>
              <w:rPr>
                <w:rFonts w:ascii="宋体" w:hAnsi="宋体" w:cs="宋体" w:eastAsia="宋体" w:hint="default"/>
                <w:sz w:val="18"/>
                <w:szCs w:val="18"/>
              </w:rPr>
            </w:pPr>
            <w:r>
              <w:rPr>
                <w:rFonts w:ascii="宋体" w:hAnsi="宋体" w:cs="宋体" w:eastAsia="宋体" w:hint="default"/>
                <w:sz w:val="18"/>
                <w:szCs w:val="18"/>
              </w:rPr>
              <w:t>主要系原子公司成都摩宝网络科技 有限公司本报告期不再纳入本公司 合并财务报表范围，对其股权投资 在期末增加合并报表长期股权投资</w:t>
            </w:r>
          </w:p>
        </w:tc>
      </w:tr>
      <w:tr>
        <w:trPr>
          <w:trHeight w:val="703"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416"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317"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162" w:hRule="exact"/>
        </w:trPr>
        <w:tc>
          <w:tcPr>
            <w:tcW w:w="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279,699,470.07</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14.49%</w:t>
            </w:r>
          </w:p>
        </w:tc>
        <w:tc>
          <w:tcPr>
            <w:tcW w:w="138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187,094,814.75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13.26%</w:t>
            </w:r>
          </w:p>
        </w:tc>
        <w:tc>
          <w:tcPr>
            <w:tcW w:w="950" w:type="dxa"/>
            <w:vMerge w:val="restart"/>
            <w:tcBorders>
              <w:top w:val="single" w:sz="4" w:space="0" w:color="000000"/>
              <w:left w:val="single" w:sz="4" w:space="0" w:color="000000"/>
              <w:right w:val="single" w:sz="4" w:space="0" w:color="000000"/>
            </w:tcBorders>
          </w:tcPr>
          <w:p>
            <w:pPr>
              <w:pStyle w:val="TableParagraph"/>
              <w:spacing w:line="240" w:lineRule="auto" w:before="52"/>
              <w:ind w:left="1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p>
          <w:p>
            <w:pPr>
              <w:pStyle w:val="TableParagraph"/>
              <w:spacing w:line="240" w:lineRule="auto" w:before="63"/>
              <w:ind w:left="197"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0"/>
              <w:jc w:val="left"/>
              <w:rPr>
                <w:rFonts w:ascii="宋体" w:hAnsi="宋体" w:cs="宋体" w:eastAsia="宋体" w:hint="default"/>
                <w:sz w:val="18"/>
                <w:szCs w:val="18"/>
              </w:rPr>
            </w:pPr>
            <w:r>
              <w:rPr>
                <w:rFonts w:ascii="宋体" w:hAnsi="宋体" w:cs="宋体" w:eastAsia="宋体" w:hint="default"/>
                <w:sz w:val="18"/>
                <w:szCs w:val="18"/>
              </w:rPr>
              <w:t>主要系控股股东三十所以房产向公 司增资</w:t>
            </w:r>
          </w:p>
        </w:tc>
      </w:tr>
      <w:tr>
        <w:trPr>
          <w:trHeight w:val="391" w:hRule="exact"/>
        </w:trPr>
        <w:tc>
          <w:tcPr>
            <w:tcW w:w="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6"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50"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161" w:hRule="exact"/>
        </w:trPr>
        <w:tc>
          <w:tcPr>
            <w:tcW w:w="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50"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716"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23,921,600.00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1.24%</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12,668,000.00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0.90%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0.34</w:t>
            </w:r>
          </w:p>
          <w:p>
            <w:pPr>
              <w:pStyle w:val="TableParagraph"/>
              <w:spacing w:line="240" w:lineRule="auto" w:before="63"/>
              <w:ind w:left="197"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30"/>
              <w:jc w:val="left"/>
              <w:rPr>
                <w:rFonts w:ascii="宋体" w:hAnsi="宋体" w:cs="宋体" w:eastAsia="宋体" w:hint="default"/>
                <w:sz w:val="18"/>
                <w:szCs w:val="18"/>
              </w:rPr>
            </w:pPr>
            <w:r>
              <w:rPr>
                <w:rFonts w:ascii="宋体" w:hAnsi="宋体" w:cs="宋体" w:eastAsia="宋体" w:hint="default"/>
                <w:sz w:val="18"/>
                <w:szCs w:val="18"/>
              </w:rPr>
              <w:t>主要系本期营业收入增加，票据结 算业务相应增加</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418"/>
        <w:gridCol w:w="1043"/>
        <w:gridCol w:w="1196"/>
        <w:gridCol w:w="1063"/>
        <w:gridCol w:w="798"/>
        <w:gridCol w:w="2918"/>
      </w:tblGrid>
      <w:tr>
        <w:trPr>
          <w:trHeight w:val="380" w:hRule="exact"/>
        </w:trPr>
        <w:tc>
          <w:tcPr>
            <w:tcW w:w="1134"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134" w:type="dxa"/>
            <w:vMerge w:val="restart"/>
            <w:tcBorders>
              <w:top w:val="single" w:sz="14" w:space="0" w:color="FFFFFF"/>
              <w:left w:val="single" w:sz="4" w:space="0" w:color="000000"/>
              <w:right w:val="single" w:sz="4" w:space="0" w:color="000000"/>
            </w:tcBorders>
            <w:shd w:val="clear" w:color="auto" w:fill="D2D2D2"/>
          </w:tcPr>
          <w:p>
            <w:pPr/>
          </w:p>
        </w:tc>
        <w:tc>
          <w:tcPr>
            <w:tcW w:w="141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26"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4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104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60,000,000.00</w:t>
            </w:r>
          </w:p>
        </w:tc>
        <w:tc>
          <w:tcPr>
            <w:tcW w:w="104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52" w:right="0"/>
              <w:jc w:val="left"/>
              <w:rPr>
                <w:rFonts w:ascii="Times New Roman" w:hAnsi="Times New Roman" w:cs="Times New Roman" w:eastAsia="Times New Roman" w:hint="default"/>
                <w:sz w:val="18"/>
                <w:szCs w:val="18"/>
              </w:rPr>
            </w:pPr>
            <w:r>
              <w:rPr>
                <w:rFonts w:ascii="Times New Roman"/>
                <w:sz w:val="18"/>
              </w:rPr>
              <w:t>3.11%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52"/>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w:t>
            </w:r>
          </w:p>
          <w:p>
            <w:pPr>
              <w:pStyle w:val="TableParagraph"/>
              <w:spacing w:line="240" w:lineRule="auto" w:before="63"/>
              <w:ind w:left="44"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vMerge/>
            <w:tcBorders>
              <w:left w:val="single" w:sz="9" w:space="0" w:color="D2D2D2"/>
              <w:right w:val="single" w:sz="4" w:space="0" w:color="000000"/>
            </w:tcBorders>
          </w:tcPr>
          <w:p>
            <w:pPr/>
          </w:p>
        </w:tc>
        <w:tc>
          <w:tcPr>
            <w:tcW w:w="104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104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397,986,566.40</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280,075,778.82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0.78</w:t>
            </w:r>
          </w:p>
          <w:p>
            <w:pPr>
              <w:pStyle w:val="TableParagraph"/>
              <w:spacing w:line="240" w:lineRule="auto" w:before="63"/>
              <w:ind w:left="44"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主要系年末应付集成设备款增加</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57,395,439.44</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16,269,962.69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w:t>
            </w:r>
          </w:p>
          <w:p>
            <w:pPr>
              <w:pStyle w:val="TableParagraph"/>
              <w:spacing w:line="240" w:lineRule="auto" w:before="63"/>
              <w:ind w:left="44" w:right="0"/>
              <w:jc w:val="left"/>
              <w:rPr>
                <w:rFonts w:ascii="宋体" w:hAnsi="宋体" w:cs="宋体" w:eastAsia="宋体" w:hint="default"/>
                <w:sz w:val="18"/>
                <w:szCs w:val="18"/>
              </w:rPr>
            </w:pPr>
            <w:r>
              <w:rPr>
                <w:rFonts w:ascii="宋体" w:hAnsi="宋体" w:cs="宋体" w:eastAsia="宋体" w:hint="default"/>
                <w:sz w:val="18"/>
                <w:szCs w:val="18"/>
              </w:rPr>
              <w:t>个百分点</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主要系本年新签合同大幅增加，本期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收到的待执行合同预付货款增加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核心竞争力分析" w:id="31"/>
      <w:bookmarkEnd w:id="31"/>
      <w:r>
        <w:rPr>
          <w:b w:val="0"/>
          <w:bCs w:val="0"/>
        </w:rPr>
      </w: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卫士通公司经过十余年快速发展和积累，已经成为中国民用信息安全领域的龙头企业之一，卫士通公司坚持“基于核心</w:t>
      </w:r>
      <w:r>
        <w:rPr/>
        <w:t> </w:t>
      </w:r>
      <w:r>
        <w:rPr>
          <w:spacing w:val="-2"/>
        </w:rPr>
        <w:t>密码技术的同心多元化”发展理念，制定了“安全化、智慧化、资本化、国际化”的四化发展路线，历经多年潜心经营和精</w:t>
      </w:r>
      <w:r>
        <w:rPr>
          <w:spacing w:val="-67"/>
        </w:rPr>
        <w:t> </w:t>
      </w:r>
      <w:r>
        <w:rPr>
          <w:spacing w:val="-67"/>
        </w:rPr>
      </w:r>
      <w:r>
        <w:rPr>
          <w:spacing w:val="-2"/>
        </w:rPr>
        <w:t>心耕耘，打造出具备比较优势的核心竞争力。目前，卫士通公司已发展成为国内信息安全领域最大的产品供应商，拥有包括</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r>
        <w:rPr/>
        <w:pict>
          <v:group style="position:absolute;margin-left:439.73999pt;margin-top:703.26001pt;width:95.25pt;height:27.95pt;mso-position-horizontal-relative:page;mso-position-vertical-relative:page;z-index:-975400" coordorigin="8795,14065" coordsize="1905,559">
            <v:group style="position:absolute;left:8795;top:14065;width:1905;height:156" coordorigin="8795,14065" coordsize="1905,156">
              <v:shape style="position:absolute;left:8795;top:14065;width:1905;height:156" coordorigin="8795,14065" coordsize="1905,156" path="m8795,14221l10699,14221,10699,14065,8795,14065,8795,14221xe" filled="true" fillcolor="#ffffff" stroked="false">
                <v:path arrowok="t"/>
                <v:fill type="solid"/>
              </v:shape>
            </v:group>
            <v:group style="position:absolute;left:8806;top:14221;width:2;height:392" coordorigin="8806,14221" coordsize="2,392">
              <v:shape style="position:absolute;left:8806;top:14221;width:2;height:392" coordorigin="8806,14221" coordsize="0,392" path="m8806,14221l8806,14612e" filled="false" stroked="true" strokeweight="1.140pt" strokecolor="#ffffff">
                <v:path arrowok="t"/>
              </v:shape>
            </v:group>
            <v:group style="position:absolute;left:8818;top:14221;width:1859;height:392" coordorigin="8818,14221" coordsize="1859,392">
              <v:shape style="position:absolute;left:8818;top:14221;width:1859;height:392" coordorigin="8818,14221" coordsize="1859,392" path="m8818,14612l10676,14612,10676,14221,8818,14221,8818,14612xe" filled="true" fillcolor="#ffffff" stroked="false">
                <v:path arrowok="t"/>
                <v:fill type="solid"/>
              </v:shape>
            </v:group>
            <w10:wrap type="none"/>
          </v:group>
        </w:pict>
      </w:r>
    </w:p>
    <w:p>
      <w:pPr>
        <w:pStyle w:val="BodyText"/>
        <w:spacing w:line="319" w:lineRule="auto" w:before="44"/>
        <w:ind w:right="0"/>
        <w:jc w:val="left"/>
      </w:pPr>
      <w:r>
        <w:rPr/>
        <w:t>专业密码产品、信息安全产品以及安全信息产品在内的三大类产品体系，覆盖近二十个产品族类、一百余个产品</w:t>
      </w:r>
      <w:r>
        <w:rPr>
          <w:rFonts w:ascii="宋体" w:hAnsi="宋体" w:cs="宋体" w:eastAsia="宋体" w:hint="default"/>
        </w:rPr>
        <w:t>/</w:t>
      </w:r>
      <w:r>
        <w:rPr/>
        <w:t>系统。卫</w:t>
      </w:r>
      <w:r>
        <w:rPr>
          <w:spacing w:val="-84"/>
        </w:rPr>
        <w:t> </w:t>
      </w:r>
      <w:r>
        <w:rPr>
          <w:spacing w:val="-84"/>
        </w:rPr>
      </w:r>
      <w:r>
        <w:rPr>
          <w:spacing w:val="-2"/>
        </w:rPr>
        <w:t>士通公司凭借先进的信息安全体系框架设计理念和完整的产品线综合优势，为党政、军工、电力、金融以及其它大型企业集</w:t>
      </w:r>
      <w:r>
        <w:rPr>
          <w:spacing w:val="-66"/>
        </w:rPr>
        <w:t> </w:t>
      </w:r>
      <w:r>
        <w:rPr>
          <w:spacing w:val="-66"/>
        </w:rPr>
      </w:r>
      <w:r>
        <w:rPr>
          <w:spacing w:val="-4"/>
        </w:rPr>
        <w:t>团等多层次用户提供了以“安全咨询、安全评估、安全建设、安全运维”为主要内容的信息系统全生命周期安全集成与服务，</w:t>
      </w:r>
      <w:r>
        <w:rPr>
          <w:spacing w:val="-45"/>
        </w:rPr>
        <w:t> </w:t>
      </w:r>
      <w:r>
        <w:rPr>
          <w:spacing w:val="-45"/>
        </w:rPr>
      </w:r>
      <w:r>
        <w:rPr>
          <w:spacing w:val="-2"/>
        </w:rPr>
        <w:t>从而奠定了卫士通公司在国内安全集成领域的领导品牌地位。在此基础上，籍由国内最为齐全的信息安全资质和覆盖全国的</w:t>
      </w:r>
      <w:r>
        <w:rPr>
          <w:spacing w:val="-64"/>
        </w:rPr>
        <w:t> </w:t>
      </w:r>
      <w:r>
        <w:rPr>
          <w:spacing w:val="-64"/>
        </w:rPr>
      </w:r>
      <w:r>
        <w:rPr/>
        <w:t>营销服务网络体系成功打造出了“信息安全国家队”的企业品牌，以实业和资本并驾领衔中国信息安全行业。</w:t>
      </w:r>
    </w:p>
    <w:p>
      <w:pPr>
        <w:pStyle w:val="BodyText"/>
        <w:spacing w:line="316" w:lineRule="auto" w:before="17"/>
        <w:ind w:right="1131" w:firstLine="360"/>
        <w:jc w:val="both"/>
      </w:pPr>
      <w:r>
        <w:rPr>
          <w:spacing w:val="-2"/>
        </w:rPr>
        <w:t>作为在信息安全行业领域影响力较大的上市公司，卫士通以专业、严谨的作风，高度的责任感和使命感，始终保持对信</w:t>
      </w:r>
      <w:r>
        <w:rPr/>
        <w:t> </w:t>
      </w:r>
      <w:r>
        <w:rPr>
          <w:spacing w:val="-2"/>
        </w:rPr>
        <w:t>息安全行业各类政策和行业标准深刻的解读，保持对信息安全重大热点领域的持续关注，实现对信息安全重大新热点领域提</w:t>
      </w:r>
      <w:r>
        <w:rPr>
          <w:spacing w:val="-64"/>
        </w:rPr>
        <w:t> </w:t>
      </w:r>
      <w:r>
        <w:rPr>
          <w:spacing w:val="-64"/>
        </w:rPr>
      </w:r>
      <w:r>
        <w:rPr/>
        <w:t>前布局，使得公司在竞争环境中能够长时间取得主动。并在长期的发展中形成了自身的核心竞争力。</w:t>
      </w:r>
    </w:p>
    <w:p>
      <w:pPr>
        <w:pStyle w:val="BodyText"/>
        <w:spacing w:line="314" w:lineRule="auto" w:before="19"/>
        <w:ind w:right="1129" w:firstLine="360"/>
        <w:jc w:val="both"/>
      </w:pPr>
      <w:r>
        <w:rPr>
          <w:spacing w:val="-2"/>
        </w:rPr>
        <w:t>技术创新与产业化能力：密码技术作为信息安全诸多技术中最为核心的技术，始终是卫士通公司技术创新的重点，在密</w:t>
      </w:r>
      <w:r>
        <w:rPr/>
        <w:t> </w:t>
      </w:r>
      <w:r>
        <w:rPr>
          <w:spacing w:val="-2"/>
        </w:rPr>
        <w:t>码产品多样性和密码算法高性能实现方面一直保持国内领先水平。随着新一代信息技术的发展，卫士通公司坚持安全融入应</w:t>
      </w:r>
      <w:r>
        <w:rPr>
          <w:spacing w:val="-63"/>
        </w:rPr>
        <w:t> </w:t>
      </w:r>
      <w:r>
        <w:rPr>
          <w:spacing w:val="-63"/>
        </w:rPr>
      </w:r>
      <w:r>
        <w:rPr>
          <w:spacing w:val="-2"/>
        </w:rPr>
        <w:t>用的理念，借助自身在密码和信息安全技术领域的优势，不断推陈出新，在业界率先推出安全桌面云系统、安全存储系统等</w:t>
      </w:r>
      <w:r>
        <w:rPr>
          <w:spacing w:val="-66"/>
        </w:rPr>
        <w:t> </w:t>
      </w:r>
      <w:r>
        <w:rPr>
          <w:spacing w:val="-66"/>
        </w:rPr>
      </w:r>
      <w:r>
        <w:rPr/>
        <w:t>新型产品，依托自身多年来形成的科技产业化平台快速推向市场并得到市场认可。目前，卫士通公司已申报相关专利</w:t>
      </w:r>
      <w:r>
        <w:rPr>
          <w:rFonts w:ascii="Times New Roman" w:hAnsi="Times New Roman" w:cs="Times New Roman" w:eastAsia="Times New Roman" w:hint="default"/>
        </w:rPr>
        <w:t>150</w:t>
      </w:r>
      <w:r>
        <w:rPr/>
        <w:t>余</w:t>
      </w:r>
      <w:r>
        <w:rPr>
          <w:spacing w:val="-81"/>
        </w:rPr>
        <w:t> </w:t>
      </w:r>
      <w:r>
        <w:rPr/>
        <w:t>项。</w:t>
      </w:r>
    </w:p>
    <w:p>
      <w:pPr>
        <w:pStyle w:val="BodyText"/>
        <w:spacing w:line="316" w:lineRule="auto" w:before="20"/>
        <w:ind w:left="154" w:right="1133" w:firstLine="360"/>
        <w:jc w:val="both"/>
      </w:pPr>
      <w:r>
        <w:rPr>
          <w:spacing w:val="-2"/>
        </w:rPr>
        <w:t>完备的产业链条：卫士通公司作为国内最大的信息安全产品供应商，已打造出包括芯片、模块、板卡、整机、系统、方</w:t>
      </w:r>
      <w:r>
        <w:rPr/>
        <w:t> </w:t>
      </w:r>
      <w:r>
        <w:rPr>
          <w:spacing w:val="-2"/>
        </w:rPr>
        <w:t>案等诸多环节在内的完备的产业链条，并具备包括设计、制造、营销、服务等要素在内的全产业覆盖能力，能够为我国自主</w:t>
      </w:r>
      <w:r>
        <w:rPr>
          <w:spacing w:val="-66"/>
        </w:rPr>
        <w:t> </w:t>
      </w:r>
      <w:r>
        <w:rPr>
          <w:spacing w:val="-66"/>
        </w:rPr>
      </w:r>
      <w:r>
        <w:rPr/>
        <w:t>可控信息安全保障体系建设提供强力支撑。</w:t>
      </w:r>
    </w:p>
    <w:p>
      <w:pPr>
        <w:pStyle w:val="BodyText"/>
        <w:spacing w:line="316" w:lineRule="auto" w:before="19"/>
        <w:ind w:left="154" w:right="1131" w:firstLine="360"/>
        <w:jc w:val="both"/>
      </w:pPr>
      <w:r>
        <w:rPr>
          <w:spacing w:val="-2"/>
        </w:rPr>
        <w:t>覆盖全国的营销服务体系：卫士通公司已经建立起行业和区域相结合、覆盖全国的矩阵式营销服务体系，确保能为全国</w:t>
      </w:r>
      <w:r>
        <w:rPr/>
        <w:t> </w:t>
      </w:r>
      <w:r>
        <w:rPr>
          <w:spacing w:val="-2"/>
        </w:rPr>
        <w:t>各地、各行业用户及时提供其所需的业内领先的信息安全整体解决方案和信息系统全生命周期安全服务。目前，卫士通公司</w:t>
      </w:r>
      <w:r>
        <w:rPr>
          <w:spacing w:val="-66"/>
        </w:rPr>
        <w:t> </w:t>
      </w:r>
      <w:r>
        <w:rPr>
          <w:spacing w:val="-66"/>
        </w:rPr>
      </w:r>
      <w:r>
        <w:rPr>
          <w:spacing w:val="-2"/>
        </w:rPr>
        <w:t>已拥有包括部委、军工、电力、金融、能源、运营商在内的高端行业以及各地政府等高端区域优势客户资源，并积极携手运</w:t>
      </w:r>
      <w:r>
        <w:rPr>
          <w:spacing w:val="-70"/>
        </w:rPr>
        <w:t> </w:t>
      </w:r>
      <w:r>
        <w:rPr>
          <w:spacing w:val="-70"/>
        </w:rPr>
      </w:r>
      <w:r>
        <w:rPr/>
        <w:t>营商等合作伙伴开拓中小企业及个人用户新市场，为卫士通公司未来发展奠定了坚实基础。</w:t>
      </w:r>
    </w:p>
    <w:p>
      <w:pPr>
        <w:pStyle w:val="BodyText"/>
        <w:spacing w:line="314" w:lineRule="auto" w:before="19"/>
        <w:ind w:right="1127" w:firstLine="360"/>
        <w:jc w:val="both"/>
      </w:pPr>
      <w:r>
        <w:rPr>
          <w:spacing w:val="-2"/>
        </w:rPr>
        <w:t>品牌影响力：卫士通公司高度重视并积极推进品牌战略，经过多年精心耕耘以及在行业中的积累和沉淀，卫士通公司已</w:t>
      </w:r>
      <w:r>
        <w:rPr/>
        <w:t> 经建立起较为完善的品牌体系，不但成功打造了</w:t>
      </w:r>
      <w:r>
        <w:rPr>
          <w:rFonts w:ascii="Times New Roman" w:hAnsi="Times New Roman" w:cs="Times New Roman" w:eastAsia="Times New Roman" w:hint="default"/>
        </w:rPr>
        <w:t>“</w:t>
      </w:r>
      <w:r>
        <w:rPr/>
        <w:t>信息安全国家队</w:t>
      </w:r>
      <w:r>
        <w:rPr>
          <w:rFonts w:ascii="Times New Roman" w:hAnsi="Times New Roman" w:cs="Times New Roman" w:eastAsia="Times New Roman" w:hint="default"/>
        </w:rPr>
        <w:t>”</w:t>
      </w:r>
      <w:r>
        <w:rPr/>
        <w:t>的企业品牌，还陆续打造了</w:t>
      </w:r>
      <w:r>
        <w:rPr>
          <w:rFonts w:ascii="Times New Roman" w:hAnsi="Times New Roman" w:cs="Times New Roman" w:eastAsia="Times New Roman" w:hint="default"/>
        </w:rPr>
        <w:t>“</w:t>
      </w:r>
      <w:r>
        <w:rPr/>
        <w:t>一</w:t>
      </w:r>
      <w:r>
        <w:rPr>
          <w:rFonts w:ascii="Times New Roman" w:hAnsi="Times New Roman" w:cs="Times New Roman" w:eastAsia="Times New Roman" w:hint="default"/>
        </w:rPr>
        <w:t>Key</w:t>
      </w:r>
      <w:r>
        <w:rPr/>
        <w:t>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中华卫士</w:t>
      </w:r>
      <w:r>
        <w:rPr>
          <w:rFonts w:ascii="Times New Roman" w:hAnsi="Times New Roman" w:cs="Times New Roman" w:eastAsia="Times New Roman" w:hint="default"/>
        </w:rPr>
        <w:t>”</w:t>
      </w:r>
      <w:r>
        <w:rPr/>
        <w:t>等细</w:t>
      </w:r>
      <w:r>
        <w:rPr>
          <w:spacing w:val="-56"/>
        </w:rPr>
        <w:t> </w:t>
      </w:r>
      <w:r>
        <w:rPr>
          <w:spacing w:val="-2"/>
        </w:rPr>
        <w:t>分产品品牌，凭借自身在分级保护市场的产品、方案、建设、运维等综合优势，卫士通公司还成为了分级保护市场的用户首</w:t>
      </w:r>
      <w:r>
        <w:rPr>
          <w:spacing w:val="-66"/>
        </w:rPr>
        <w:t> </w:t>
      </w:r>
      <w:r>
        <w:rPr>
          <w:spacing w:val="-66"/>
        </w:rPr>
      </w:r>
      <w:r>
        <w:rPr>
          <w:spacing w:val="-2"/>
        </w:rPr>
        <w:t>选品牌。此外，卫士通公司不断向业界传递卫士通公司的价值主张，树立信息安全专家型企业的形象地位，有效推广公司重</w:t>
      </w:r>
      <w:r>
        <w:rPr>
          <w:spacing w:val="-66"/>
        </w:rPr>
        <w:t> </w:t>
      </w:r>
      <w:r>
        <w:rPr>
          <w:spacing w:val="-66"/>
        </w:rPr>
      </w:r>
      <w:r>
        <w:rPr/>
        <w:t>点业务与社会责任，为公司的品牌发展注入了新的内涵。</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六、投资状况分析" w:id="32"/>
      <w:bookmarkEnd w:id="32"/>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股权投资情况" w:id="33"/>
      <w:bookmarkEnd w:id="33"/>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对外投资情况" w:id="34"/>
      <w:bookmarkEnd w:id="34"/>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4467"/>
        <w:gridCol w:w="1914"/>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19,975,215.05</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613.40%</w:t>
            </w:r>
          </w:p>
        </w:tc>
      </w:tr>
      <w:tr>
        <w:trPr>
          <w:trHeight w:val="401"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上市公司占被投资公司 权益比例</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深圳市虹安信息安全技术有限公司</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z w:val="18"/>
                <w:szCs w:val="18"/>
              </w:rPr>
              <w:t>计算机软、硬件产品研发、生产、销售及相关技术支持 信息技术咨询服务。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4"/>
                <w:sz w:val="18"/>
                <w:szCs w:val="18"/>
              </w:rPr>
              <w:t>计算机软件的研制、开发、生产、销售、租赁；计算机硬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3189"/>
        <w:gridCol w:w="4467"/>
        <w:gridCol w:w="1914"/>
      </w:tblGrid>
      <w:tr>
        <w:trPr>
          <w:trHeight w:val="986"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pacing w:val="-4"/>
                <w:sz w:val="18"/>
                <w:szCs w:val="18"/>
              </w:rPr>
              <w:t>件、网络产品及应用电子技术的研制、开发、销售、租赁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服务；经济与技术咨询服务（国家有专项规定的除外）；信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息查询、发布、征信服务（国家有专项规定的除外）。</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互联网信息服务和电子支付服务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24.39%</w:t>
            </w:r>
          </w:p>
        </w:tc>
      </w:tr>
    </w:tbl>
    <w:p>
      <w:pPr>
        <w:spacing w:line="240" w:lineRule="auto" w:before="2"/>
        <w:rPr>
          <w:rFonts w:ascii="宋体" w:hAnsi="宋体" w:cs="宋体" w:eastAsia="宋体" w:hint="default"/>
          <w:sz w:val="19"/>
          <w:szCs w:val="19"/>
        </w:rPr>
      </w:pPr>
    </w:p>
    <w:p>
      <w:pPr>
        <w:pStyle w:val="Heading3"/>
        <w:spacing w:line="240" w:lineRule="auto" w:before="35"/>
        <w:ind w:left="394" w:right="7333"/>
        <w:jc w:val="left"/>
        <w:rPr>
          <w:b w:val="0"/>
          <w:bCs w:val="0"/>
        </w:rPr>
      </w:pPr>
      <w:bookmarkStart w:name="2、募集资金使用情况" w:id="35"/>
      <w:bookmarkEnd w:id="35"/>
      <w:r>
        <w:rPr>
          <w:b w:val="0"/>
          <w:bCs w:val="0"/>
        </w:rPr>
      </w: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393" w:right="7333"/>
        <w:jc w:val="left"/>
        <w:rPr>
          <w:b w:val="0"/>
          <w:bCs w:val="0"/>
        </w:rPr>
      </w:pPr>
      <w:bookmarkStart w:name="（1）募集资金总体使用情况" w:id="36"/>
      <w:bookmarkEnd w:id="36"/>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3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40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186,972,806.04</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2"/>
        <w:rPr>
          <w:rFonts w:ascii="宋体" w:hAnsi="宋体" w:cs="宋体" w:eastAsia="宋体" w:hint="default"/>
          <w:sz w:val="19"/>
          <w:szCs w:val="19"/>
        </w:rPr>
      </w:pPr>
    </w:p>
    <w:p>
      <w:pPr>
        <w:pStyle w:val="Heading3"/>
        <w:spacing w:line="240" w:lineRule="auto" w:before="35"/>
        <w:ind w:left="394" w:right="7333"/>
        <w:jc w:val="left"/>
        <w:rPr>
          <w:b w:val="0"/>
          <w:bCs w:val="0"/>
        </w:rPr>
      </w:pPr>
      <w:bookmarkStart w:name="（2）募集资金承诺项目情况" w:id="37"/>
      <w:bookmarkEnd w:id="37"/>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394"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049"/>
        <w:gridCol w:w="775"/>
        <w:gridCol w:w="776"/>
        <w:gridCol w:w="776"/>
        <w:gridCol w:w="781"/>
        <w:gridCol w:w="782"/>
        <w:gridCol w:w="781"/>
        <w:gridCol w:w="782"/>
        <w:gridCol w:w="782"/>
        <w:gridCol w:w="782"/>
        <w:gridCol w:w="786"/>
      </w:tblGrid>
      <w:tr>
        <w:trPr>
          <w:trHeight w:val="1338" w:hRule="exact"/>
        </w:trPr>
        <w:tc>
          <w:tcPr>
            <w:tcW w:w="2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0" w:right="27" w:hanging="811"/>
              <w:jc w:val="left"/>
              <w:rPr>
                <w:rFonts w:ascii="宋体" w:hAnsi="宋体" w:cs="宋体" w:eastAsia="宋体" w:hint="default"/>
                <w:sz w:val="18"/>
                <w:szCs w:val="18"/>
              </w:rPr>
            </w:pPr>
            <w:r>
              <w:rPr>
                <w:rFonts w:ascii="宋体" w:hAnsi="宋体" w:cs="宋体" w:eastAsia="宋体" w:hint="default"/>
                <w:sz w:val="18"/>
                <w:szCs w:val="18"/>
              </w:rPr>
              <w:t>承诺投资项目和超募资金 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8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402" w:hRule="exact"/>
        </w:trPr>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．标的公司研发项目</w:t>
            </w:r>
          </w:p>
        </w:tc>
        <w:tc>
          <w:tcPr>
            <w:tcW w:w="775"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①</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移动互联网安全芯 片研发平台技术改造建设 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3"/>
              <w:jc w:val="both"/>
              <w:rPr>
                <w:rFonts w:ascii="宋体" w:hAnsi="宋体" w:cs="宋体" w:eastAsia="宋体" w:hint="default"/>
                <w:sz w:val="18"/>
                <w:szCs w:val="18"/>
              </w:rPr>
            </w:pPr>
            <w:r>
              <w:rPr>
                <w:rFonts w:ascii="宋体" w:hAnsi="宋体" w:cs="宋体" w:eastAsia="宋体" w:hint="default"/>
                <w:sz w:val="18"/>
                <w:szCs w:val="18"/>
              </w:rPr>
              <w:t>②移动互联网终端安全与 服务平台研发技术改造建 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33"/>
              <w:jc w:val="left"/>
              <w:rPr>
                <w:rFonts w:ascii="宋体" w:hAnsi="宋体" w:cs="宋体" w:eastAsia="宋体" w:hint="default"/>
                <w:sz w:val="18"/>
                <w:szCs w:val="18"/>
              </w:rPr>
            </w:pPr>
            <w:r>
              <w:rPr>
                <w:rFonts w:ascii="宋体" w:hAnsi="宋体" w:cs="宋体" w:eastAsia="宋体" w:hint="default"/>
                <w:sz w:val="18"/>
                <w:szCs w:val="18"/>
              </w:rPr>
              <w:t>③安全邮件系统研发平台 技术改造建设项目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2043"/>
        <w:gridCol w:w="775"/>
        <w:gridCol w:w="782"/>
        <w:gridCol w:w="776"/>
        <w:gridCol w:w="781"/>
        <w:gridCol w:w="788"/>
        <w:gridCol w:w="776"/>
        <w:gridCol w:w="776"/>
        <w:gridCol w:w="794"/>
        <w:gridCol w:w="776"/>
        <w:gridCol w:w="786"/>
      </w:tblGrid>
      <w:tr>
        <w:trPr>
          <w:trHeight w:val="714"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5"/>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．补充标的公司日常营运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资金需求</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13,190.87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13,190.87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18,692.87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18,692.87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985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7"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17"/>
              <w:jc w:val="righ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18,692.87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18,692.87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19"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26"/>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项目可行性发生重大变化 的情况说明</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97"/>
              <w:ind w:left="24" w:right="27"/>
              <w:jc w:val="left"/>
              <w:rPr>
                <w:rFonts w:ascii="宋体" w:hAnsi="宋体" w:cs="宋体" w:eastAsia="宋体" w:hint="default"/>
                <w:sz w:val="18"/>
                <w:szCs w:val="18"/>
              </w:rPr>
            </w:pPr>
            <w:r>
              <w:rPr>
                <w:rFonts w:ascii="宋体" w:hAnsi="宋体" w:cs="宋体" w:eastAsia="宋体" w:hint="default"/>
                <w:sz w:val="18"/>
                <w:szCs w:val="18"/>
              </w:rPr>
              <w:t>超募资金的金额、用途及 使用进展情况</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募集资金投资项目实施地 点变更情况</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58"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24" w:right="27"/>
              <w:jc w:val="left"/>
              <w:rPr>
                <w:rFonts w:ascii="宋体" w:hAnsi="宋体" w:cs="宋体" w:eastAsia="宋体" w:hint="default"/>
                <w:sz w:val="18"/>
                <w:szCs w:val="18"/>
              </w:rPr>
            </w:pPr>
            <w:r>
              <w:rPr>
                <w:rFonts w:ascii="宋体" w:hAnsi="宋体" w:cs="宋体" w:eastAsia="宋体" w:hint="default"/>
                <w:sz w:val="18"/>
                <w:szCs w:val="18"/>
              </w:rPr>
              <w:t>募集资金投资项目实施方 式调整情况</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7"/>
              <w:jc w:val="left"/>
              <w:rPr>
                <w:rFonts w:ascii="宋体" w:hAnsi="宋体" w:cs="宋体" w:eastAsia="宋体" w:hint="default"/>
                <w:sz w:val="18"/>
                <w:szCs w:val="18"/>
              </w:rPr>
            </w:pPr>
            <w:r>
              <w:rPr>
                <w:rFonts w:ascii="宋体" w:hAnsi="宋体" w:cs="宋体" w:eastAsia="宋体" w:hint="default"/>
                <w:sz w:val="18"/>
                <w:szCs w:val="18"/>
              </w:rPr>
              <w:t>募集资金投资项目先期投 入及置换情况</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7"/>
              <w:jc w:val="left"/>
              <w:rPr>
                <w:rFonts w:ascii="宋体" w:hAnsi="宋体" w:cs="宋体" w:eastAsia="宋体" w:hint="default"/>
                <w:sz w:val="18"/>
                <w:szCs w:val="18"/>
              </w:rPr>
            </w:pPr>
            <w:r>
              <w:rPr>
                <w:rFonts w:ascii="宋体" w:hAnsi="宋体" w:cs="宋体" w:eastAsia="宋体" w:hint="default"/>
                <w:sz w:val="18"/>
                <w:szCs w:val="18"/>
              </w:rPr>
              <w:t>用闲置募集资金暂时补充 流动资金情况</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7"/>
              <w:ind w:left="24" w:right="27"/>
              <w:jc w:val="left"/>
              <w:rPr>
                <w:rFonts w:ascii="宋体" w:hAnsi="宋体" w:cs="宋体" w:eastAsia="宋体" w:hint="default"/>
                <w:sz w:val="18"/>
                <w:szCs w:val="18"/>
              </w:rPr>
            </w:pPr>
            <w:r>
              <w:rPr>
                <w:rFonts w:ascii="宋体" w:hAnsi="宋体" w:cs="宋体" w:eastAsia="宋体" w:hint="default"/>
                <w:sz w:val="18"/>
                <w:szCs w:val="18"/>
              </w:rPr>
              <w:t>项目实施出现募集资金结 余的金额及原因</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7"/>
              <w:jc w:val="left"/>
              <w:rPr>
                <w:rFonts w:ascii="宋体" w:hAnsi="宋体" w:cs="宋体" w:eastAsia="宋体" w:hint="default"/>
                <w:sz w:val="18"/>
                <w:szCs w:val="18"/>
              </w:rPr>
            </w:pPr>
            <w:r>
              <w:rPr>
                <w:rFonts w:ascii="宋体" w:hAnsi="宋体" w:cs="宋体" w:eastAsia="宋体" w:hint="default"/>
                <w:sz w:val="18"/>
                <w:szCs w:val="18"/>
              </w:rPr>
              <w:t>尚未使用的募集资金用途 及去向</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全部存放于公司募集资金专户中</w:t>
            </w: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27"/>
              <w:jc w:val="left"/>
              <w:rPr>
                <w:rFonts w:ascii="宋体" w:hAnsi="宋体" w:cs="宋体" w:eastAsia="宋体" w:hint="default"/>
                <w:sz w:val="18"/>
                <w:szCs w:val="18"/>
              </w:rPr>
            </w:pPr>
            <w:r>
              <w:rPr>
                <w:rFonts w:ascii="宋体" w:hAnsi="宋体" w:cs="宋体" w:eastAsia="宋体" w:hint="default"/>
                <w:sz w:val="18"/>
                <w:szCs w:val="18"/>
              </w:rPr>
              <w:t>募集资金使用及披露中存 在的问题或其他情况</w:t>
            </w:r>
          </w:p>
        </w:tc>
        <w:tc>
          <w:tcPr>
            <w:tcW w:w="78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left="394" w:right="7333"/>
        <w:jc w:val="left"/>
        <w:rPr>
          <w:b w:val="0"/>
          <w:bCs w:val="0"/>
        </w:rPr>
      </w:pPr>
      <w:bookmarkStart w:name="（3）募集资金变更项目情况" w:id="38"/>
      <w:bookmarkEnd w:id="38"/>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3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2"/>
        <w:rPr>
          <w:rFonts w:ascii="宋体" w:hAnsi="宋体" w:cs="宋体" w:eastAsia="宋体" w:hint="default"/>
          <w:sz w:val="21"/>
          <w:szCs w:val="21"/>
        </w:rPr>
      </w:pPr>
    </w:p>
    <w:p>
      <w:pPr>
        <w:pStyle w:val="Heading3"/>
        <w:spacing w:line="240" w:lineRule="auto"/>
        <w:ind w:left="393" w:right="7333"/>
        <w:jc w:val="left"/>
        <w:rPr>
          <w:b w:val="0"/>
          <w:bCs w:val="0"/>
        </w:rPr>
      </w:pPr>
      <w:bookmarkStart w:name="3、主要子公司、参股公司分析" w:id="39"/>
      <w:bookmarkEnd w:id="39"/>
      <w:r>
        <w:rPr>
          <w:b w:val="0"/>
          <w:bCs w:val="0"/>
        </w:rPr>
      </w:r>
      <w:r>
        <w:rPr>
          <w:rFonts w:ascii="Times New Roman" w:hAnsi="Times New Roman" w:cs="Times New Roman" w:eastAsia="Times New Roman" w:hint="default"/>
        </w:rPr>
        <w:t>3</w:t>
      </w:r>
      <w:r>
        <w:rPr/>
        <w:t>、主要子公司、参股公司分析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740" w:right="0"/>
        </w:sectPr>
      </w:pPr>
    </w:p>
    <w:p>
      <w:pPr>
        <w:pStyle w:val="BodyText"/>
        <w:spacing w:line="340" w:lineRule="auto" w:before="44"/>
        <w:ind w:left="39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93" w:right="0"/>
        <w:jc w:val="left"/>
      </w:pPr>
      <w:r>
        <w:rPr/>
        <w:t>单位：元</w:t>
      </w:r>
    </w:p>
    <w:p>
      <w:pPr>
        <w:spacing w:after="0" w:line="240" w:lineRule="auto"/>
        <w:jc w:val="left"/>
        <w:sectPr>
          <w:type w:val="continuous"/>
          <w:pgSz w:w="11910" w:h="16840"/>
          <w:pgMar w:top="1060" w:bottom="1160" w:left="740" w:right="0"/>
          <w:cols w:num="2" w:equalWidth="0">
            <w:col w:w="2555" w:space="6365"/>
            <w:col w:w="2250"/>
          </w:cols>
        </w:sectPr>
      </w:pPr>
    </w:p>
    <w:p>
      <w:pPr>
        <w:spacing w:line="240" w:lineRule="auto" w:before="0"/>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102"/>
        <w:gridCol w:w="883"/>
        <w:gridCol w:w="851"/>
        <w:gridCol w:w="1137"/>
        <w:gridCol w:w="956"/>
        <w:gridCol w:w="956"/>
        <w:gridCol w:w="956"/>
        <w:gridCol w:w="957"/>
        <w:gridCol w:w="958"/>
        <w:gridCol w:w="956"/>
      </w:tblGrid>
      <w:tr>
        <w:trPr>
          <w:trHeight w:val="714" w:hRule="exact"/>
        </w:trPr>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72" w:right="22" w:hanging="450"/>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7"/>
              <w:jc w:val="both"/>
              <w:rPr>
                <w:rFonts w:ascii="宋体" w:hAnsi="宋体" w:cs="宋体" w:eastAsia="宋体" w:hint="default"/>
                <w:sz w:val="18"/>
                <w:szCs w:val="18"/>
              </w:rPr>
            </w:pPr>
            <w:r>
              <w:rPr>
                <w:rFonts w:ascii="宋体" w:hAnsi="宋体" w:cs="宋体" w:eastAsia="宋体" w:hint="default"/>
                <w:sz w:val="18"/>
                <w:szCs w:val="18"/>
              </w:rPr>
              <w:t>成都卫士通 信息安全技 术有限公司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738,896,599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155,231,277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598,244,298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16,402,260.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24,375,960.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740" w:right="0"/>
        </w:sectPr>
      </w:pPr>
    </w:p>
    <w:p>
      <w:pPr>
        <w:spacing w:line="240" w:lineRule="auto" w:before="6"/>
        <w:rPr>
          <w:rFonts w:ascii="宋体" w:hAnsi="宋体" w:cs="宋体" w:eastAsia="宋体" w:hint="default"/>
          <w:sz w:val="28"/>
          <w:szCs w:val="28"/>
        </w:rPr>
      </w:pPr>
    </w:p>
    <w:tbl>
      <w:tblPr>
        <w:tblW w:w="0" w:type="auto"/>
        <w:jc w:val="left"/>
        <w:tblInd w:w="107" w:type="dxa"/>
        <w:tblLayout w:type="fixed"/>
        <w:tblCellMar>
          <w:top w:w="0" w:type="dxa"/>
          <w:left w:w="0" w:type="dxa"/>
          <w:bottom w:w="0" w:type="dxa"/>
          <w:right w:w="0" w:type="dxa"/>
        </w:tblCellMar>
        <w:tblLook w:val="01E0"/>
      </w:tblPr>
      <w:tblGrid>
        <w:gridCol w:w="1102"/>
        <w:gridCol w:w="883"/>
        <w:gridCol w:w="851"/>
        <w:gridCol w:w="1137"/>
        <w:gridCol w:w="956"/>
        <w:gridCol w:w="956"/>
        <w:gridCol w:w="956"/>
        <w:gridCol w:w="957"/>
        <w:gridCol w:w="958"/>
        <w:gridCol w:w="956"/>
      </w:tblGrid>
      <w:tr>
        <w:trPr>
          <w:trHeight w:val="133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成都三零豪 赛网络安全 技术有限公 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76,161,663.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5,802,543.7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7,206,774.6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-7,523,366.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-5,244,905.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上海卫士通 网络安全有 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13,097,847.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11,523,801.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-8,981,947.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-9,554,368.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r>
      <w:tr>
        <w:trPr>
          <w:trHeight w:val="1338"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四川卫士通 信息安全平 台技术有限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6"/>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161,196,334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130,562,027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86,375,358.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19,572,808.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23,226,808.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58</w:t>
            </w:r>
          </w:p>
        </w:tc>
      </w:tr>
      <w:tr>
        <w:trPr>
          <w:trHeight w:val="10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成都三零盛 安信息系统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347,073,300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136,771,188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420,934,097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27,462,472.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25,702,703.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r>
      <w:tr>
        <w:trPr>
          <w:trHeight w:val="10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成都三零瑞 通移动通信 有限公司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200,053,305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134,890,444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122,439,542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18,982,687.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19,192,755.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成都三零嘉 微电子有限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信息安全 行业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信息安全产品 开发、销售、 集成及服务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21,168,000.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78,741,261.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59,082,224.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55,724,368.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15,525,894.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13,687,145.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r>
      <w:tr>
        <w:trPr>
          <w:trHeight w:val="1026"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成都摩宝网 络科技有限 公司</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现代服务 业</w:t>
            </w:r>
          </w:p>
        </w:tc>
        <w:tc>
          <w:tcPr>
            <w:tcW w:w="11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计算机领域内 的技术开发与 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101,160,000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61,087,472.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53,029,062.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329,001.53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-6,241,337.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-1,968,623.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r>
    </w:tbl>
    <w:p>
      <w:pPr>
        <w:spacing w:line="240" w:lineRule="auto" w:before="2"/>
        <w:rPr>
          <w:rFonts w:ascii="宋体" w:hAnsi="宋体" w:cs="宋体" w:eastAsia="宋体" w:hint="default"/>
          <w:sz w:val="18"/>
          <w:szCs w:val="18"/>
        </w:rPr>
      </w:pPr>
    </w:p>
    <w:p>
      <w:pPr>
        <w:pStyle w:val="Heading2"/>
        <w:spacing w:line="240" w:lineRule="auto" w:before="26"/>
        <w:ind w:left="254" w:right="7693"/>
        <w:jc w:val="left"/>
        <w:rPr>
          <w:b w:val="0"/>
          <w:bCs w:val="0"/>
        </w:rPr>
      </w:pPr>
      <w:bookmarkStart w:name="七、公司未来发展的展望" w:id="40"/>
      <w:bookmarkEnd w:id="40"/>
      <w:r>
        <w:rPr>
          <w:b w:val="0"/>
          <w:bCs w:val="0"/>
        </w:rPr>
      </w:r>
      <w:r>
        <w:rPr/>
        <w:t>七、公司未来发展的展望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613" w:right="7693"/>
        <w:jc w:val="left"/>
      </w:pPr>
      <w:r>
        <w:rPr/>
        <w:t>（一）、行业竞争格局与发展趋势 </w:t>
      </w:r>
      <w:r>
        <w:rPr>
          <w:rFonts w:ascii="宋体" w:hAnsi="宋体" w:cs="宋体" w:eastAsia="宋体" w:hint="default"/>
        </w:rPr>
        <w:t>1</w:t>
      </w:r>
      <w:r>
        <w:rPr/>
        <w:t>、行业发展趋势</w:t>
      </w:r>
    </w:p>
    <w:p>
      <w:pPr>
        <w:pStyle w:val="BodyText"/>
        <w:spacing w:line="316" w:lineRule="auto" w:before="19"/>
        <w:ind w:left="253" w:right="1033" w:firstLine="360"/>
        <w:jc w:val="left"/>
      </w:pPr>
      <w:r>
        <w:rPr>
          <w:spacing w:val="-2"/>
        </w:rPr>
        <w:t>近年来，随着信息技术的快速发展和信息化应用的不断深入，信息技术、产品及网络已经成为人们日常生活中不可或缺</w:t>
      </w:r>
      <w:r>
        <w:rPr/>
        <w:t> 的组成部分。据统计，</w:t>
      </w:r>
      <w:r>
        <w:rPr>
          <w:rFonts w:ascii="宋体" w:hAnsi="宋体" w:cs="宋体" w:eastAsia="宋体" w:hint="default"/>
        </w:rPr>
        <w:t>2013</w:t>
      </w:r>
      <w:r>
        <w:rPr/>
        <w:t>年我国信息消费整体规模达到</w:t>
      </w:r>
      <w:r>
        <w:rPr>
          <w:rFonts w:ascii="宋体" w:hAnsi="宋体" w:cs="宋体" w:eastAsia="宋体" w:hint="default"/>
        </w:rPr>
        <w:t>2.2</w:t>
      </w:r>
      <w:r>
        <w:rPr/>
        <w:t>万亿元，电子商务交易规模突破</w:t>
      </w:r>
      <w:r>
        <w:rPr>
          <w:rFonts w:ascii="宋体" w:hAnsi="宋体" w:cs="宋体" w:eastAsia="宋体" w:hint="default"/>
        </w:rPr>
        <w:t>10</w:t>
      </w:r>
      <w:r>
        <w:rPr/>
        <w:t>万亿元，电子信息制造业销</w:t>
      </w:r>
      <w:r>
        <w:rPr>
          <w:spacing w:val="-83"/>
        </w:rPr>
        <w:t> </w:t>
      </w:r>
      <w:r>
        <w:rPr>
          <w:spacing w:val="-83"/>
        </w:rPr>
      </w:r>
      <w:r>
        <w:rPr/>
        <w:t>售收入总规模达</w:t>
      </w:r>
      <w:r>
        <w:rPr>
          <w:rFonts w:ascii="宋体" w:hAnsi="宋体" w:cs="宋体" w:eastAsia="宋体" w:hint="default"/>
        </w:rPr>
        <w:t>12.4</w:t>
      </w:r>
      <w:r>
        <w:rPr/>
        <w:t>万亿元，产业增速持续保持领先。社会经济生活对信息技术、产品及网络空间的依赖程度大幅度增强， </w:t>
      </w:r>
      <w:r>
        <w:rPr>
          <w:spacing w:val="-4"/>
        </w:rPr>
        <w:t>在繁荣的网络经济和信息化应用带来的便利背后，隐藏着严重的信息安全隐患，我国信息技术受制于人，关键元器件、软件、</w:t>
      </w:r>
      <w:r>
        <w:rPr>
          <w:spacing w:val="-46"/>
        </w:rPr>
        <w:t> </w:t>
      </w:r>
      <w:r>
        <w:rPr>
          <w:spacing w:val="-46"/>
        </w:rPr>
      </w:r>
      <w:r>
        <w:rPr>
          <w:spacing w:val="-2"/>
        </w:rPr>
        <w:t>高性能设备依赖进口，信息网络自身存在信息安全隐患，遭受网络攻击的风险日益加大，企事业单位及个人信息难以得到有</w:t>
      </w:r>
      <w:r>
        <w:rPr>
          <w:spacing w:val="-66"/>
        </w:rPr>
        <w:t> </w:t>
      </w:r>
      <w:r>
        <w:rPr>
          <w:spacing w:val="-66"/>
        </w:rPr>
      </w:r>
      <w:r>
        <w:rPr>
          <w:spacing w:val="-4"/>
        </w:rPr>
        <w:t>效保护，在我国面临严重信息安全挑战的态势下，当前及未来一段时间我国信息安全产业的发展趋势将有以下几个主要特点：</w:t>
      </w:r>
    </w:p>
    <w:p>
      <w:pPr>
        <w:pStyle w:val="BodyText"/>
        <w:spacing w:line="316" w:lineRule="auto" w:before="19"/>
        <w:ind w:left="613" w:right="4363"/>
        <w:jc w:val="left"/>
      </w:pPr>
      <w:r>
        <w:rPr/>
        <w:t>（</w:t>
      </w:r>
      <w:r>
        <w:rPr>
          <w:rFonts w:ascii="宋体" w:hAnsi="宋体" w:cs="宋体" w:eastAsia="宋体" w:hint="default"/>
        </w:rPr>
        <w:t>1</w:t>
      </w:r>
      <w:r>
        <w:rPr/>
        <w:t>）政策方面 </w:t>
      </w:r>
      <w:r>
        <w:rPr>
          <w:rFonts w:ascii="宋体" w:hAnsi="宋体" w:cs="宋体" w:eastAsia="宋体" w:hint="default"/>
        </w:rPr>
        <w:t>A</w:t>
      </w:r>
      <w:r>
        <w:rPr/>
        <w:t>、政府持续加大对信息安全产业的扶持力度，政策环境还将进一步得到优化</w:t>
      </w:r>
    </w:p>
    <w:p>
      <w:pPr>
        <w:pStyle w:val="BodyText"/>
        <w:spacing w:line="316" w:lineRule="auto" w:before="19"/>
        <w:ind w:left="253" w:right="1033" w:firstLine="360"/>
        <w:jc w:val="left"/>
      </w:pPr>
      <w:r>
        <w:rPr>
          <w:spacing w:val="-2"/>
        </w:rPr>
        <w:t>我国在网络空间面临诸多挑战，信息安全形势日趋严峻，党和政府以着眼全局的战略眼光和智慧，将信息安全上升至国</w:t>
      </w:r>
      <w:r>
        <w:rPr/>
        <w:t> 家安全的战略高度。国家加大对信息安全产业的扶持力度，出台了一系列法律法规对信息安全产业予以扶持。</w:t>
      </w:r>
    </w:p>
    <w:p>
      <w:pPr>
        <w:pStyle w:val="BodyText"/>
        <w:spacing w:line="316" w:lineRule="auto" w:before="19"/>
        <w:ind w:left="254" w:right="1032" w:firstLine="360"/>
        <w:jc w:val="left"/>
      </w:pPr>
      <w:r>
        <w:rPr>
          <w:rFonts w:ascii="宋体" w:hAnsi="宋体" w:cs="宋体" w:eastAsia="宋体" w:hint="default"/>
        </w:rPr>
        <w:t>2014</w:t>
      </w:r>
      <w:r>
        <w:rPr/>
        <w:t>年，中央军委于</w:t>
      </w:r>
      <w:r>
        <w:rPr>
          <w:rFonts w:ascii="宋体" w:hAnsi="宋体" w:cs="宋体" w:eastAsia="宋体" w:hint="default"/>
        </w:rPr>
        <w:t>10</w:t>
      </w:r>
      <w:r>
        <w:rPr/>
        <w:t>月印发了《关于进一步加强军队信息安全工作的意见》，将信息安全作为网络强军的重要任务， </w:t>
      </w:r>
      <w:r>
        <w:rPr>
          <w:spacing w:val="-2"/>
        </w:rPr>
        <w:t>工信部、银监会等行业主管机构也发布了关于加强电信和互联网行业网络安全工作的指导意见等政策：《工业控制系统信息</w:t>
      </w:r>
      <w:r>
        <w:rPr>
          <w:spacing w:val="-66"/>
        </w:rPr>
        <w:t> </w:t>
      </w:r>
      <w:r>
        <w:rPr>
          <w:spacing w:val="-66"/>
        </w:rPr>
      </w:r>
      <w:r>
        <w:rPr/>
        <w:t>安全》国家标准已经制定完成，预计将于</w:t>
      </w:r>
      <w:r>
        <w:rPr>
          <w:rFonts w:ascii="宋体" w:hAnsi="宋体" w:cs="宋体" w:eastAsia="宋体" w:hint="default"/>
        </w:rPr>
        <w:t>2015</w:t>
      </w:r>
      <w:r>
        <w:rPr/>
        <w:t>年开始实施，为我国信息安全产业的发展提供良好环境。</w:t>
      </w:r>
    </w:p>
    <w:p>
      <w:pPr>
        <w:pStyle w:val="BodyText"/>
        <w:spacing w:line="240" w:lineRule="auto" w:before="19"/>
        <w:ind w:left="613" w:right="1033"/>
        <w:jc w:val="left"/>
      </w:pPr>
      <w:r>
        <w:rPr>
          <w:rFonts w:ascii="宋体" w:hAnsi="宋体" w:cs="宋体" w:eastAsia="宋体" w:hint="default"/>
        </w:rPr>
        <w:t>B</w:t>
      </w:r>
      <w:r>
        <w:rPr/>
        <w:t>、成立中央网络安全与信息化领导小组，强化网络与信息安全工作的顶层设计和战略统筹力度</w:t>
      </w:r>
    </w:p>
    <w:p>
      <w:pPr>
        <w:spacing w:after="0" w:line="240" w:lineRule="auto"/>
        <w:jc w:val="left"/>
        <w:sectPr>
          <w:pgSz w:w="11910" w:h="16840"/>
          <w:pgMar w:header="747" w:footer="979" w:top="1060" w:bottom="1160" w:left="880" w:right="0"/>
        </w:sectPr>
      </w:pPr>
    </w:p>
    <w:p>
      <w:pPr>
        <w:spacing w:line="240" w:lineRule="auto" w:before="12"/>
        <w:rPr>
          <w:rFonts w:ascii="宋体" w:hAnsi="宋体" w:cs="宋体" w:eastAsia="宋体" w:hint="default"/>
          <w:sz w:val="25"/>
          <w:szCs w:val="25"/>
        </w:rPr>
      </w:pPr>
    </w:p>
    <w:p>
      <w:pPr>
        <w:pStyle w:val="BodyText"/>
        <w:spacing w:line="316" w:lineRule="auto" w:before="44"/>
        <w:ind w:left="154" w:right="1131" w:firstLine="360"/>
        <w:jc w:val="both"/>
      </w:pP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27</w:t>
      </w:r>
      <w:r>
        <w:rPr>
          <w:spacing w:val="-2"/>
        </w:rPr>
        <w:t>日</w:t>
      </w:r>
      <w:r>
        <w:rPr>
          <w:rFonts w:ascii="宋体" w:hAnsi="宋体" w:cs="宋体" w:eastAsia="宋体" w:hint="default"/>
          <w:spacing w:val="-2"/>
        </w:rPr>
        <w:t>,</w:t>
      </w:r>
      <w:r>
        <w:rPr>
          <w:spacing w:val="-2"/>
        </w:rPr>
        <w:t>中央网络安全与信息化领导小组宣告成立，由习近平总书记担任领导小组组长，进一步加强信息与网络</w:t>
      </w:r>
      <w:r>
        <w:rPr/>
        <w:t> 安全工作的顶层设计和战略统筹力度，提高国家在面临包括网络安全在内的各种安全危机和挑战时的应变能力。</w:t>
      </w:r>
    </w:p>
    <w:p>
      <w:pPr>
        <w:pStyle w:val="BodyText"/>
        <w:spacing w:line="316" w:lineRule="auto" w:before="19"/>
        <w:ind w:left="513" w:right="1123"/>
        <w:jc w:val="left"/>
      </w:pPr>
      <w:r>
        <w:rPr>
          <w:rFonts w:ascii="宋体" w:hAnsi="宋体" w:cs="宋体" w:eastAsia="宋体" w:hint="default"/>
        </w:rPr>
        <w:t>C</w:t>
      </w:r>
      <w:r>
        <w:rPr/>
        <w:t>、针对重点领域和新一代信息技术热点领域标准的推出将进一步加快 近年来我国信息安全标准制定工作已经取得较大进展。截止目前，我国正式发布的信息安全标准已达</w:t>
      </w:r>
      <w:r>
        <w:rPr>
          <w:rFonts w:ascii="宋体" w:hAnsi="宋体" w:cs="宋体" w:eastAsia="宋体" w:hint="default"/>
        </w:rPr>
        <w:t>130</w:t>
      </w:r>
      <w:r>
        <w:rPr/>
        <w:t>余个。但针对</w:t>
      </w:r>
    </w:p>
    <w:p>
      <w:pPr>
        <w:pStyle w:val="BodyText"/>
        <w:spacing w:line="316" w:lineRule="auto" w:before="19"/>
        <w:ind w:right="1130"/>
        <w:jc w:val="both"/>
      </w:pPr>
      <w:r>
        <w:rPr>
          <w:spacing w:val="-2"/>
        </w:rPr>
        <w:t>诸如工业控制、移动互联网、云计算、大数据等新一代信息技术领域的信息安全标准制定工作有待进一步加强。国家信息安</w:t>
      </w:r>
      <w:r>
        <w:rPr>
          <w:spacing w:val="-65"/>
        </w:rPr>
        <w:t> </w:t>
      </w:r>
      <w:r>
        <w:rPr>
          <w:spacing w:val="-65"/>
        </w:rPr>
      </w:r>
      <w:r>
        <w:rPr>
          <w:spacing w:val="-2"/>
        </w:rPr>
        <w:t>全标准化委员会目前已经对涉及新一代信息技术领域的</w:t>
      </w:r>
      <w:r>
        <w:rPr>
          <w:rFonts w:ascii="宋体" w:hAnsi="宋体" w:cs="宋体" w:eastAsia="宋体" w:hint="default"/>
          <w:spacing w:val="-2"/>
        </w:rPr>
        <w:t>26</w:t>
      </w:r>
      <w:r>
        <w:rPr>
          <w:spacing w:val="-2"/>
        </w:rPr>
        <w:t>个信息安全标准公开征求意见，同时推进</w:t>
      </w:r>
      <w:r>
        <w:rPr>
          <w:rFonts w:ascii="宋体" w:hAnsi="宋体" w:cs="宋体" w:eastAsia="宋体" w:hint="default"/>
          <w:spacing w:val="-2"/>
        </w:rPr>
        <w:t>38</w:t>
      </w:r>
      <w:r>
        <w:rPr>
          <w:spacing w:val="-2"/>
        </w:rPr>
        <w:t>个标准公开立项，其中</w:t>
      </w:r>
      <w:r>
        <w:rPr>
          <w:spacing w:val="-60"/>
        </w:rPr>
        <w:t> </w:t>
      </w:r>
      <w:r>
        <w:rPr>
          <w:spacing w:val="-60"/>
        </w:rPr>
      </w:r>
      <w:r>
        <w:rPr>
          <w:spacing w:val="-2"/>
        </w:rPr>
        <w:t>包括《工业控制系统信息安全分级指南》、《工业控制系统安全检查指南》、《移动智能终端安全系统架构》、《移动智能</w:t>
      </w:r>
      <w:r>
        <w:rPr>
          <w:spacing w:val="-68"/>
        </w:rPr>
        <w:t> </w:t>
      </w:r>
      <w:r>
        <w:rPr>
          <w:spacing w:val="-68"/>
        </w:rPr>
      </w:r>
      <w:r>
        <w:rPr>
          <w:spacing w:val="-2"/>
        </w:rPr>
        <w:t>终端个人信息保护技术要求》、《政府部门云计算安全指南》、《网站可信标识规范》、《网站可信评估标准》等信息安全</w:t>
      </w:r>
      <w:r>
        <w:rPr>
          <w:spacing w:val="-68"/>
        </w:rPr>
        <w:t> </w:t>
      </w:r>
      <w:r>
        <w:rPr>
          <w:spacing w:val="-68"/>
        </w:rPr>
      </w:r>
      <w:r>
        <w:rPr/>
        <w:t>相关标准。构建一套基本覆盖当前主要和重点信息领域的政策规范，为信息安全行业提供更大的发展空间。</w:t>
      </w:r>
    </w:p>
    <w:p>
      <w:pPr>
        <w:pStyle w:val="BodyText"/>
        <w:spacing w:line="316" w:lineRule="auto" w:before="19"/>
        <w:ind w:left="513" w:right="0"/>
        <w:jc w:val="left"/>
      </w:pPr>
      <w:r>
        <w:rPr>
          <w:rFonts w:ascii="宋体" w:hAnsi="宋体" w:cs="宋体" w:eastAsia="宋体" w:hint="default"/>
        </w:rPr>
        <w:t>D</w:t>
      </w:r>
      <w:r>
        <w:rPr/>
        <w:t>、关键信息系统基础设施安全保障与自主信息安全产业生态环境建设将成为政策引导的重要方向 </w:t>
      </w:r>
      <w:r>
        <w:rPr>
          <w:spacing w:val="-2"/>
        </w:rPr>
        <w:t>自震惊世界的“震网”事件以来，被发现的针对金融、通信、能源、现代物流、现代制造等关系国计民生重要领域的关</w:t>
      </w:r>
    </w:p>
    <w:p>
      <w:pPr>
        <w:pStyle w:val="BodyText"/>
        <w:spacing w:line="316" w:lineRule="auto" w:before="19"/>
        <w:ind w:left="154" w:right="1132"/>
        <w:jc w:val="both"/>
      </w:pPr>
      <w:r>
        <w:rPr>
          <w:spacing w:val="-2"/>
        </w:rPr>
        <w:t>键信息系统攻击不断增多，为促进在信息安全产业的健康有序发展，预计政府下一步将依托政策导向重点加强关键信息系统</w:t>
      </w:r>
      <w:r>
        <w:rPr>
          <w:spacing w:val="-64"/>
        </w:rPr>
        <w:t> </w:t>
      </w:r>
      <w:r>
        <w:rPr>
          <w:spacing w:val="-64"/>
        </w:rPr>
      </w:r>
      <w:r>
        <w:rPr/>
        <w:t>基础设施安全保障与自主信息安全产业生态环境建设这两方面的举措。</w:t>
      </w:r>
    </w:p>
    <w:p>
      <w:pPr>
        <w:pStyle w:val="BodyText"/>
        <w:spacing w:line="316" w:lineRule="auto" w:before="19"/>
        <w:ind w:right="1132" w:firstLine="360"/>
        <w:jc w:val="both"/>
      </w:pPr>
      <w:r>
        <w:rPr>
          <w:spacing w:val="-2"/>
        </w:rPr>
        <w:t>在自主信息安全产业生态环境建设方面，通过政策引导积极推动关键信息技术产品的国产化替代，建立信息技术产品和</w:t>
      </w:r>
      <w:r>
        <w:rPr/>
        <w:t> 设备的检测评估机制，推动全产业链协同发展，促进中小企业向“专、精、特、新”方向发展。</w:t>
      </w:r>
    </w:p>
    <w:p>
      <w:pPr>
        <w:pStyle w:val="BodyText"/>
        <w:spacing w:line="316" w:lineRule="auto" w:before="19"/>
        <w:ind w:right="1132" w:firstLine="360"/>
        <w:jc w:val="both"/>
      </w:pPr>
      <w:r>
        <w:rPr>
          <w:spacing w:val="-2"/>
        </w:rPr>
        <w:t>在关键信息系统基础设施安全保障方面，一启动信息安全核心技术产品的安全检查工作，建立重要领域信息技术、产品</w:t>
      </w:r>
      <w:r>
        <w:rPr/>
        <w:t> </w:t>
      </w:r>
      <w:r>
        <w:rPr>
          <w:spacing w:val="-2"/>
        </w:rPr>
        <w:t>及服务的安全检测与审查制度，逐步实现自主可控；二是加强关键信息系统基础设施的安全防护工作，进一步完善保护制度</w:t>
      </w:r>
      <w:r>
        <w:rPr>
          <w:spacing w:val="-66"/>
        </w:rPr>
        <w:t> </w:t>
      </w:r>
      <w:r>
        <w:rPr>
          <w:spacing w:val="-66"/>
        </w:rPr>
      </w:r>
      <w:r>
        <w:rPr/>
        <w:t>和标准，有针对性的加强管理和技术防护。</w:t>
      </w:r>
    </w:p>
    <w:p>
      <w:pPr>
        <w:pStyle w:val="BodyText"/>
        <w:spacing w:line="316" w:lineRule="auto" w:before="19"/>
        <w:ind w:left="513" w:right="6523"/>
        <w:jc w:val="left"/>
      </w:pPr>
      <w:r>
        <w:rPr/>
        <w:t>（</w:t>
      </w:r>
      <w:r>
        <w:rPr>
          <w:rFonts w:ascii="宋体" w:hAnsi="宋体" w:cs="宋体" w:eastAsia="宋体" w:hint="default"/>
        </w:rPr>
        <w:t>2</w:t>
      </w:r>
      <w:r>
        <w:rPr/>
        <w:t>）技术方面 </w:t>
      </w:r>
      <w:r>
        <w:rPr>
          <w:rFonts w:ascii="宋体" w:hAnsi="宋体" w:cs="宋体" w:eastAsia="宋体" w:hint="default"/>
        </w:rPr>
        <w:t>A</w:t>
      </w:r>
      <w:r>
        <w:rPr/>
        <w:t>、国产自主可控密码技术和产品将得到大量使用</w:t>
      </w:r>
    </w:p>
    <w:p>
      <w:pPr>
        <w:pStyle w:val="BodyText"/>
        <w:spacing w:line="316" w:lineRule="auto" w:before="19"/>
        <w:ind w:left="154" w:right="1042" w:firstLine="360"/>
        <w:jc w:val="both"/>
      </w:pPr>
      <w:r>
        <w:rPr>
          <w:spacing w:val="-2"/>
        </w:rPr>
        <w:t>密码技术作为信息安全诸多技术中最为核心的技术，一直在身份识别、数据保护、访问控制、行为审计等方面发挥着至</w:t>
      </w:r>
      <w:r>
        <w:rPr/>
        <w:t> </w:t>
      </w:r>
      <w:r>
        <w:rPr>
          <w:spacing w:val="-2"/>
        </w:rPr>
        <w:t>关重要的作用。</w:t>
      </w:r>
      <w:r>
        <w:rPr>
          <w:rFonts w:ascii="宋体" w:hAnsi="宋体" w:cs="宋体" w:eastAsia="宋体" w:hint="default"/>
          <w:spacing w:val="-2"/>
        </w:rPr>
        <w:t>2014</w:t>
      </w:r>
      <w:r>
        <w:rPr>
          <w:spacing w:val="-2"/>
        </w:rPr>
        <w:t>年</w:t>
      </w:r>
      <w:r>
        <w:rPr>
          <w:rFonts w:ascii="宋体" w:hAnsi="宋体" w:cs="宋体" w:eastAsia="宋体" w:hint="default"/>
          <w:spacing w:val="-2"/>
        </w:rPr>
        <w:t>2</w:t>
      </w:r>
      <w:r>
        <w:rPr>
          <w:spacing w:val="-2"/>
        </w:rPr>
        <w:t>月，国务院办公厅发布了《国务院办公厅转发密码局等部门关于金融领域密码应用指导意见的通知》</w:t>
      </w:r>
    </w:p>
    <w:p>
      <w:pPr>
        <w:pStyle w:val="BodyText"/>
        <w:spacing w:line="316" w:lineRule="auto" w:before="19"/>
        <w:ind w:right="0"/>
        <w:jc w:val="left"/>
      </w:pPr>
      <w:r>
        <w:rPr/>
        <w:t>（国办发</w:t>
      </w:r>
      <w:r>
        <w:rPr>
          <w:rFonts w:ascii="宋体" w:hAnsi="宋体" w:cs="宋体" w:eastAsia="宋体" w:hint="default"/>
        </w:rPr>
        <w:t>[2014]</w:t>
      </w:r>
      <w:r>
        <w:rPr>
          <w:rFonts w:ascii="宋体" w:hAnsi="宋体" w:cs="宋体" w:eastAsia="宋体" w:hint="default"/>
          <w:spacing w:val="-58"/>
        </w:rPr>
        <w:t> </w:t>
      </w:r>
      <w:r>
        <w:rPr>
          <w:rFonts w:ascii="宋体" w:hAnsi="宋体" w:cs="宋体" w:eastAsia="宋体" w:hint="default"/>
        </w:rPr>
        <w:t>6</w:t>
      </w:r>
      <w:r>
        <w:rPr/>
        <w:t>号），要求在金融领域推广使用具有自主知识产权和高安全强度的国产密码（包括密码技术和产品），建 </w:t>
      </w:r>
      <w:r>
        <w:rPr>
          <w:spacing w:val="-2"/>
        </w:rPr>
        <w:t>立以国产密码为主要支撑的金融信息安全保障体系，实现金融领域信息安全核心产品及系统的自主可控，力争</w:t>
      </w:r>
      <w:r>
        <w:rPr>
          <w:rFonts w:ascii="宋体" w:hAnsi="宋体" w:cs="宋体" w:eastAsia="宋体" w:hint="default"/>
          <w:spacing w:val="-2"/>
        </w:rPr>
        <w:t>2015</w:t>
      </w:r>
      <w:r>
        <w:rPr>
          <w:spacing w:val="-2"/>
        </w:rPr>
        <w:t>年初步实</w:t>
      </w:r>
      <w:r>
        <w:rPr>
          <w:spacing w:val="-59"/>
        </w:rPr>
        <w:t> </w:t>
      </w:r>
      <w:r>
        <w:rPr>
          <w:spacing w:val="-2"/>
        </w:rPr>
        <w:t>现国产密码在金融</w:t>
      </w:r>
      <w:r>
        <w:rPr>
          <w:rFonts w:ascii="宋体" w:hAnsi="宋体" w:cs="宋体" w:eastAsia="宋体" w:hint="default"/>
          <w:spacing w:val="-2"/>
        </w:rPr>
        <w:t>IC</w:t>
      </w:r>
      <w:r>
        <w:rPr>
          <w:spacing w:val="-2"/>
        </w:rPr>
        <w:t>卡、网上银行、移动支付、网上证券、电子保单等领域中的广泛使用，到</w:t>
      </w:r>
      <w:r>
        <w:rPr>
          <w:rFonts w:ascii="宋体" w:hAnsi="宋体" w:cs="宋体" w:eastAsia="宋体" w:hint="default"/>
          <w:spacing w:val="-2"/>
        </w:rPr>
        <w:t>2020</w:t>
      </w:r>
      <w:r>
        <w:rPr>
          <w:spacing w:val="-2"/>
        </w:rPr>
        <w:t>年实现国产密码在金融领</w:t>
      </w:r>
      <w:r>
        <w:rPr>
          <w:spacing w:val="-60"/>
        </w:rPr>
        <w:t> </w:t>
      </w:r>
      <w:r>
        <w:rPr>
          <w:spacing w:val="-60"/>
        </w:rPr>
      </w:r>
      <w:r>
        <w:rPr>
          <w:spacing w:val="-2"/>
        </w:rPr>
        <w:t>域中的全面应用。与之类似，国产自主可控密码技术和产品还将在政务、能源、教育、公安、社保、地理、环保、交通、卫</w:t>
      </w:r>
      <w:r>
        <w:rPr>
          <w:spacing w:val="-71"/>
        </w:rPr>
        <w:t> </w:t>
      </w:r>
      <w:r>
        <w:rPr>
          <w:spacing w:val="-71"/>
        </w:rPr>
      </w:r>
      <w:r>
        <w:rPr>
          <w:spacing w:val="-4"/>
        </w:rPr>
        <w:t>生、电信、广电等涉及国计民生和基础信息资源的行业信息系统以及航空航天、先进制造、石油石化、电力系统、交通运输、</w:t>
      </w:r>
      <w:r>
        <w:rPr>
          <w:spacing w:val="-44"/>
        </w:rPr>
        <w:t> </w:t>
      </w:r>
      <w:r>
        <w:rPr>
          <w:spacing w:val="-44"/>
        </w:rPr>
      </w:r>
      <w:r>
        <w:rPr/>
        <w:t>城市设施等重要工业控制系统中得到广泛应用。</w:t>
      </w:r>
    </w:p>
    <w:p>
      <w:pPr>
        <w:pStyle w:val="BodyText"/>
        <w:spacing w:line="316" w:lineRule="auto" w:before="19"/>
        <w:ind w:left="514" w:right="0"/>
        <w:jc w:val="left"/>
      </w:pPr>
      <w:r>
        <w:rPr>
          <w:rFonts w:ascii="宋体" w:hAnsi="宋体" w:cs="宋体" w:eastAsia="宋体" w:hint="default"/>
        </w:rPr>
        <w:t>B</w:t>
      </w:r>
      <w:r>
        <w:rPr/>
        <w:t>、软件定义安全成为安全防护体系的发展趋势 </w:t>
      </w:r>
      <w:r>
        <w:rPr>
          <w:spacing w:val="-2"/>
        </w:rPr>
        <w:t>传统的网络安全防护体系通过硬件叠加的方式发挥作用，难以形成系统的安全防御能力，软件定义安全应运而生，它强</w:t>
      </w:r>
    </w:p>
    <w:p>
      <w:pPr>
        <w:pStyle w:val="BodyText"/>
        <w:spacing w:line="316" w:lineRule="auto" w:before="19"/>
        <w:ind w:left="154" w:right="1131"/>
        <w:jc w:val="both"/>
      </w:pPr>
      <w:r>
        <w:rPr>
          <w:spacing w:val="-2"/>
        </w:rPr>
        <w:t>调安全设备的开放性、可编程性和接口标准性，可以使安全设备和应用场景深入结合、联动防御，构建纵深防御的安全防护</w:t>
      </w:r>
      <w:r>
        <w:rPr>
          <w:spacing w:val="-66"/>
        </w:rPr>
        <w:t> </w:t>
      </w:r>
      <w:r>
        <w:rPr>
          <w:spacing w:val="-66"/>
        </w:rPr>
      </w:r>
      <w:r>
        <w:rPr>
          <w:spacing w:val="-2"/>
        </w:rPr>
        <w:t>体系。和传统的安全防护体系相比，软件定义安全的防护理念具有更灵活简单的安全功能部署方式和易于创新的安全防护功</w:t>
      </w:r>
      <w:r>
        <w:rPr>
          <w:spacing w:val="-64"/>
        </w:rPr>
        <w:t> </w:t>
      </w:r>
      <w:r>
        <w:rPr>
          <w:spacing w:val="-64"/>
        </w:rPr>
      </w:r>
      <w:r>
        <w:rPr>
          <w:spacing w:val="-2"/>
        </w:rPr>
        <w:t>能和动态调整的安全防护范围等特点，提供一种应用和安全相结合的一体化解决思路，为用户带来与应用场景密切结合的安</w:t>
      </w:r>
      <w:r>
        <w:rPr>
          <w:spacing w:val="-64"/>
        </w:rPr>
        <w:t> </w:t>
      </w:r>
      <w:r>
        <w:rPr>
          <w:spacing w:val="-64"/>
        </w:rPr>
      </w:r>
      <w:r>
        <w:rPr/>
        <w:t>全防护体系，从而成为未来安全防护体系的发展趋势。</w:t>
      </w:r>
    </w:p>
    <w:p>
      <w:pPr>
        <w:pStyle w:val="BodyText"/>
        <w:spacing w:line="316" w:lineRule="auto" w:before="19"/>
        <w:ind w:left="513" w:right="0"/>
        <w:jc w:val="left"/>
      </w:pPr>
      <w:r>
        <w:rPr>
          <w:rFonts w:ascii="宋体" w:hAnsi="宋体" w:cs="宋体" w:eastAsia="宋体" w:hint="default"/>
        </w:rPr>
        <w:t>C</w:t>
      </w:r>
      <w:r>
        <w:rPr/>
        <w:t>、安全态势感知技术作为大数据信息安全的关键技术将得到快速发展 </w:t>
      </w:r>
      <w:r>
        <w:rPr>
          <w:spacing w:val="-4"/>
        </w:rPr>
        <w:t>在大规模网络和大数据时代，网络安全威胁和安全事件也越来越多。对于大规模网络而言，其主要面临安全数据量巨大、</w:t>
      </w:r>
    </w:p>
    <w:p>
      <w:pPr>
        <w:pStyle w:val="BodyText"/>
        <w:spacing w:line="319" w:lineRule="auto" w:before="19"/>
        <w:ind w:right="1131"/>
        <w:jc w:val="both"/>
      </w:pPr>
      <w:r>
        <w:rPr>
          <w:spacing w:val="-2"/>
        </w:rPr>
        <w:t>安全事件被割裂难以感知、安全的整体状况无法描述等问题，自动快速的发现和收集大规模网络的资产情况，统一标识和管</w:t>
      </w:r>
      <w:r>
        <w:rPr>
          <w:spacing w:val="-66"/>
        </w:rPr>
        <w:t> </w:t>
      </w:r>
      <w:r>
        <w:rPr>
          <w:spacing w:val="-66"/>
        </w:rPr>
      </w:r>
      <w:r>
        <w:rPr>
          <w:spacing w:val="-2"/>
        </w:rPr>
        <w:t>理系统的脆弱性，通过主动探测或被动探测的感知方法，实现安全事件和异常行为的智能化感知技术。对于大数据而言，大</w:t>
      </w:r>
      <w:r>
        <w:rPr>
          <w:spacing w:val="-66"/>
        </w:rPr>
        <w:t> </w:t>
      </w:r>
      <w:r>
        <w:rPr>
          <w:spacing w:val="-66"/>
        </w:rPr>
      </w:r>
      <w:r>
        <w:rPr>
          <w:spacing w:val="-2"/>
        </w:rPr>
        <w:t>数据量存储与快速处理为高速网络流量的深度安全分析提供了技术支持，可以为高智能模型算法提供计算资源，且多类型数</w:t>
      </w:r>
      <w:r>
        <w:rPr>
          <w:spacing w:val="-64"/>
        </w:rPr>
        <w:t> </w:t>
      </w:r>
      <w:r>
        <w:rPr>
          <w:spacing w:val="-64"/>
        </w:rPr>
      </w:r>
      <w:r>
        <w:rPr>
          <w:spacing w:val="-2"/>
        </w:rPr>
        <w:t>据格式可以使得网络安全感知获得更多的日志数据。由此，安全态势感知技术将为大网络和大数据的安全态势智能化分析和</w:t>
      </w:r>
      <w:r>
        <w:rPr>
          <w:spacing w:val="-64"/>
        </w:rPr>
        <w:t> </w:t>
      </w:r>
      <w:r>
        <w:rPr>
          <w:spacing w:val="-64"/>
        </w:rPr>
      </w:r>
      <w:r>
        <w:rPr/>
        <w:t>筛选提供多样化的技术手段。</w:t>
      </w:r>
    </w:p>
    <w:p>
      <w:pPr>
        <w:pStyle w:val="BodyText"/>
        <w:spacing w:line="316" w:lineRule="auto" w:before="17"/>
        <w:ind w:left="514" w:right="0"/>
        <w:jc w:val="left"/>
      </w:pPr>
      <w:r>
        <w:rPr>
          <w:rFonts w:ascii="宋体" w:hAnsi="宋体" w:cs="宋体" w:eastAsia="宋体" w:hint="default"/>
        </w:rPr>
        <w:t>D</w:t>
      </w:r>
      <w:r>
        <w:rPr/>
        <w:t>、云计算环境下的整体安全解决方案需求日益迫切 </w:t>
      </w:r>
      <w:r>
        <w:rPr>
          <w:spacing w:val="-2"/>
        </w:rPr>
        <w:t>随着云计算这种虚拟化计算模式的逐渐普及，云计算作为一种动态可伸缩的虚拟化资源计算模式得到了越来越多用户的</w:t>
      </w:r>
    </w:p>
    <w:p>
      <w:pPr>
        <w:pStyle w:val="BodyText"/>
        <w:spacing w:line="240" w:lineRule="auto" w:before="19"/>
        <w:ind w:left="154" w:right="0"/>
        <w:jc w:val="both"/>
      </w:pPr>
      <w:r>
        <w:rPr/>
        <w:t>认可。面对这种集中化、复杂化、虚拟化的计算环境，云计算存在诸如网络边界模糊、数据远程传输、数据集中存储、服务</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0"/>
        <w:jc w:val="both"/>
      </w:pPr>
      <w:r>
        <w:rPr>
          <w:spacing w:val="-2"/>
        </w:rPr>
        <w:t>器业务多样化等安全风险。因此，覆盖从链路、网络、系统、数据到关键应用的安全整体解决方案需求显得尤为迫切。急需</w:t>
      </w:r>
      <w:r>
        <w:rPr>
          <w:spacing w:val="-67"/>
        </w:rPr>
        <w:t> </w:t>
      </w:r>
      <w:r>
        <w:rPr>
          <w:spacing w:val="-67"/>
        </w:rPr>
      </w:r>
      <w:r>
        <w:rPr>
          <w:spacing w:val="-2"/>
        </w:rPr>
        <w:t>建立从网络基础架构到业务应用的安全融合防御体系，满足云计算多层次的安全需求，同时需要结合大量虚拟化技术，无缝</w:t>
      </w:r>
      <w:r>
        <w:rPr>
          <w:spacing w:val="-66"/>
        </w:rPr>
        <w:t> </w:t>
      </w:r>
      <w:r>
        <w:rPr>
          <w:spacing w:val="-66"/>
        </w:rPr>
      </w:r>
      <w:r>
        <w:rPr/>
        <w:t>贴合云计算网络架构，提供一套为云计算环境量身定做的安全解决方案。</w:t>
      </w:r>
    </w:p>
    <w:p>
      <w:pPr>
        <w:pStyle w:val="BodyText"/>
        <w:spacing w:line="319" w:lineRule="auto" w:before="19"/>
        <w:ind w:left="513" w:right="0"/>
        <w:jc w:val="left"/>
      </w:pPr>
      <w:r>
        <w:rPr>
          <w:rFonts w:ascii="宋体" w:hAnsi="宋体" w:cs="宋体" w:eastAsia="宋体" w:hint="default"/>
        </w:rPr>
        <w:t>E</w:t>
      </w:r>
      <w:r>
        <w:rPr/>
        <w:t>、移动终端的安全攻击方式层出不穷，移动安全防护能力受到严重挑战 </w:t>
      </w:r>
      <w:r>
        <w:rPr>
          <w:spacing w:val="-2"/>
        </w:rPr>
        <w:t>移动终端的蓬勃发展，同时也产生了安全漏洞、新型病毒等信息安全问题，给移动终端用户带来了恶意吸费陷阱、隐私</w:t>
      </w:r>
    </w:p>
    <w:p>
      <w:pPr>
        <w:pStyle w:val="BodyText"/>
        <w:spacing w:line="316" w:lineRule="auto" w:before="17"/>
        <w:ind w:right="1130"/>
        <w:jc w:val="both"/>
      </w:pPr>
      <w:r>
        <w:rPr>
          <w:spacing w:val="-2"/>
        </w:rPr>
        <w:t>泄露、垃圾信息骚扰和地理位置信息泄露等诸多威胁。为此，移动终端安全方面提出了硬件的安全架构，到安全的硬件绑定</w:t>
      </w:r>
      <w:r>
        <w:rPr>
          <w:spacing w:val="-66"/>
        </w:rPr>
        <w:t> </w:t>
      </w:r>
      <w:r>
        <w:rPr>
          <w:spacing w:val="-66"/>
        </w:rPr>
      </w:r>
      <w:r>
        <w:rPr>
          <w:spacing w:val="-2"/>
        </w:rPr>
        <w:t>安全的操作系统，再到安全的操作系统绑定安全的应用软件等技术要求。通过这种层层绑定关系最终实现移动终端安全的运</w:t>
      </w:r>
      <w:r>
        <w:rPr>
          <w:spacing w:val="-64"/>
        </w:rPr>
        <w:t> </w:t>
      </w:r>
      <w:r>
        <w:rPr>
          <w:spacing w:val="-64"/>
        </w:rPr>
      </w:r>
      <w:r>
        <w:rPr/>
        <w:t>行环境，整体提升移动终端的安全防护能力。</w:t>
      </w:r>
    </w:p>
    <w:p>
      <w:pPr>
        <w:pStyle w:val="BodyText"/>
        <w:spacing w:line="316" w:lineRule="auto" w:before="19"/>
        <w:ind w:left="513" w:right="4543"/>
        <w:jc w:val="left"/>
      </w:pPr>
      <w:r>
        <w:rPr/>
        <w:t>（</w:t>
      </w:r>
      <w:r>
        <w:rPr>
          <w:rFonts w:ascii="宋体" w:hAnsi="宋体" w:cs="宋体" w:eastAsia="宋体" w:hint="default"/>
        </w:rPr>
        <w:t>3</w:t>
      </w:r>
      <w:r>
        <w:rPr/>
        <w:t>）市场方面 </w:t>
      </w:r>
      <w:r>
        <w:rPr>
          <w:rFonts w:ascii="宋体" w:hAnsi="宋体" w:cs="宋体" w:eastAsia="宋体" w:hint="default"/>
        </w:rPr>
        <w:t>A</w:t>
      </w:r>
      <w:r>
        <w:rPr/>
        <w:t>、信息安全的国产化进程正在全面加速，自主产品市场得到了进一步拓展</w:t>
      </w:r>
    </w:p>
    <w:p>
      <w:pPr>
        <w:pStyle w:val="BodyText"/>
        <w:spacing w:line="316" w:lineRule="auto" w:before="19"/>
        <w:ind w:right="0" w:firstLine="360"/>
        <w:jc w:val="left"/>
      </w:pPr>
      <w:r>
        <w:rPr/>
        <w:t>受棱镜门、</w:t>
      </w:r>
      <w:r>
        <w:rPr>
          <w:rFonts w:ascii="宋体" w:hAnsi="宋体" w:cs="宋体" w:eastAsia="宋体" w:hint="default"/>
        </w:rPr>
        <w:t>Windows</w:t>
      </w:r>
      <w:r>
        <w:rPr>
          <w:rFonts w:ascii="宋体" w:hAnsi="宋体" w:cs="宋体" w:eastAsia="宋体" w:hint="default"/>
          <w:spacing w:val="-58"/>
        </w:rPr>
        <w:t> </w:t>
      </w:r>
      <w:r>
        <w:rPr>
          <w:rFonts w:ascii="宋体" w:hAnsi="宋体" w:cs="宋体" w:eastAsia="宋体" w:hint="default"/>
        </w:rPr>
        <w:t>XP</w:t>
      </w:r>
      <w:r>
        <w:rPr/>
        <w:t>停止服务、苹果账户数据泄漏等一系列安全事件的影响，我国面临严峻的信息安全挑战，主要表 </w:t>
      </w:r>
      <w:r>
        <w:rPr>
          <w:spacing w:val="-2"/>
        </w:rPr>
        <w:t>现为：技术受制于人；关键设备依赖进口；基础网络存在安全隐患等，极大的增加了遭受外部网络攻击的风险。目前，关键</w:t>
      </w:r>
      <w:r>
        <w:rPr>
          <w:spacing w:val="-66"/>
        </w:rPr>
        <w:t> </w:t>
      </w:r>
      <w:r>
        <w:rPr>
          <w:spacing w:val="-66"/>
        </w:rPr>
      </w:r>
      <w:r>
        <w:rPr>
          <w:spacing w:val="-4"/>
        </w:rPr>
        <w:t>技术和设备的国产化进程已经提升到国家层面，国产化产品发展趋势覆盖安全芯片、安全主机、安全操作系统、安全数据库、</w:t>
      </w:r>
      <w:r>
        <w:rPr>
          <w:spacing w:val="-46"/>
        </w:rPr>
        <w:t> </w:t>
      </w:r>
      <w:r>
        <w:rPr>
          <w:spacing w:val="-46"/>
        </w:rPr>
      </w:r>
      <w:r>
        <w:rPr>
          <w:spacing w:val="-2"/>
        </w:rPr>
        <w:t>安全中间件、自主信息安全产品等各个环节。安全技术也不再单纯以产品形式出现，而是融入到信息系统的每个角落。随着</w:t>
      </w:r>
      <w:r>
        <w:rPr>
          <w:spacing w:val="-66"/>
        </w:rPr>
        <w:t> </w:t>
      </w:r>
      <w:r>
        <w:rPr>
          <w:spacing w:val="-66"/>
        </w:rPr>
      </w:r>
      <w:r>
        <w:rPr/>
        <w:t>国产化进程快速推进，信息安全产业市场覆盖面将更广、更深。</w:t>
      </w:r>
    </w:p>
    <w:p>
      <w:pPr>
        <w:pStyle w:val="BodyText"/>
        <w:spacing w:line="316" w:lineRule="auto" w:before="19"/>
        <w:ind w:left="514" w:right="0"/>
        <w:jc w:val="left"/>
      </w:pPr>
      <w:r>
        <w:rPr>
          <w:rFonts w:ascii="宋体" w:hAnsi="宋体" w:cs="宋体" w:eastAsia="宋体" w:hint="default"/>
        </w:rPr>
        <w:t>B</w:t>
      </w:r>
      <w:r>
        <w:rPr/>
        <w:t>、政府和重点行业信息安全市场需求仍处于主导地位 </w:t>
      </w:r>
      <w:r>
        <w:rPr>
          <w:spacing w:val="-2"/>
        </w:rPr>
        <w:t>随着政府和行业信息化的快速发展，信息系统面临的安全威胁也越来越严重，系统安全防护能力备受考验。构建可信网</w:t>
      </w:r>
    </w:p>
    <w:p>
      <w:pPr>
        <w:pStyle w:val="BodyText"/>
        <w:spacing w:line="316" w:lineRule="auto" w:before="19"/>
        <w:ind w:left="154" w:right="1032"/>
        <w:jc w:val="left"/>
      </w:pPr>
      <w:r>
        <w:rPr>
          <w:spacing w:val="-2"/>
        </w:rPr>
        <w:t>络，建设有效的安全保障体系已经成为关系到国计民生的迫切任务。根据习总书记关于网络安全和信息化工作的重要指示精</w:t>
      </w:r>
      <w:r>
        <w:rPr>
          <w:spacing w:val="-64"/>
        </w:rPr>
        <w:t> </w:t>
      </w:r>
      <w:r>
        <w:rPr>
          <w:spacing w:val="-64"/>
        </w:rPr>
      </w:r>
      <w:r>
        <w:rPr>
          <w:spacing w:val="-2"/>
        </w:rPr>
        <w:t>神，要在全国范围内加快推进国家电子政务网络建设，维护国家安全。作为国家公共资源的电力、交通、能源、金融、通信</w:t>
      </w:r>
      <w:r>
        <w:rPr>
          <w:spacing w:val="-71"/>
        </w:rPr>
        <w:t> </w:t>
      </w:r>
      <w:r>
        <w:rPr>
          <w:spacing w:val="-71"/>
        </w:rPr>
      </w:r>
      <w:r>
        <w:rPr/>
        <w:t>等重点行业越来越依赖网络信息系统，这些关系到国计民生重要行业的信息系统的安全性对国家经济和社会稳定意义巨大。 </w:t>
      </w:r>
      <w:r>
        <w:rPr>
          <w:spacing w:val="-2"/>
        </w:rPr>
        <w:t>为保证电子政务和重要行业信息系统的安全稳定运行，需要建立有针对性的安全防护体系，创建安全可信的纵深防御保障框</w:t>
      </w:r>
      <w:r>
        <w:rPr>
          <w:spacing w:val="-64"/>
        </w:rPr>
        <w:t> </w:t>
      </w:r>
      <w:r>
        <w:rPr>
          <w:spacing w:val="-64"/>
        </w:rPr>
      </w:r>
      <w:r>
        <w:rPr/>
        <w:t>架。</w:t>
      </w:r>
    </w:p>
    <w:p>
      <w:pPr>
        <w:pStyle w:val="BodyText"/>
        <w:spacing w:line="316" w:lineRule="auto" w:before="19"/>
        <w:ind w:left="513" w:right="0"/>
        <w:jc w:val="left"/>
      </w:pPr>
      <w:r>
        <w:rPr>
          <w:rFonts w:ascii="宋体" w:hAnsi="宋体" w:cs="宋体" w:eastAsia="宋体" w:hint="default"/>
        </w:rPr>
        <w:t>C</w:t>
      </w:r>
      <w:r>
        <w:rPr/>
        <w:t>、信息安全产业融合发展趋势明显，增强了产业市场发展的驱动力 </w:t>
      </w:r>
      <w:r>
        <w:rPr>
          <w:spacing w:val="-2"/>
        </w:rPr>
        <w:t>随着技术的发展，信息安全已成为一个综合性的问题，依靠单个或多个产品之间的简单叠加已经无法满足信息安全保障</w:t>
      </w:r>
    </w:p>
    <w:p>
      <w:pPr>
        <w:pStyle w:val="BodyText"/>
        <w:spacing w:line="316" w:lineRule="auto" w:before="19"/>
        <w:ind w:right="1132"/>
        <w:jc w:val="both"/>
      </w:pPr>
      <w:r>
        <w:rPr>
          <w:spacing w:val="-2"/>
        </w:rPr>
        <w:t>要求，信息安全设备厂商的集成融合发展已成为一种趋势。这种融合的趋势主要表现在安全设备和网络基础设备的融合、安</w:t>
      </w:r>
      <w:r>
        <w:rPr>
          <w:spacing w:val="-66"/>
        </w:rPr>
        <w:t> </w:t>
      </w:r>
      <w:r>
        <w:rPr>
          <w:spacing w:val="-66"/>
        </w:rPr>
      </w:r>
      <w:r>
        <w:rPr>
          <w:spacing w:val="-2"/>
        </w:rPr>
        <w:t>全和操作系统的融合、安全和应用系统的融合，这种融合必然加速整个产业的融合，传统的安全设备厂商将逐步发展成为提</w:t>
      </w:r>
      <w:r>
        <w:rPr>
          <w:spacing w:val="-66"/>
        </w:rPr>
        <w:t> </w:t>
      </w:r>
      <w:r>
        <w:rPr>
          <w:spacing w:val="-66"/>
        </w:rPr>
      </w:r>
      <w:r>
        <w:rPr/>
        <w:t>供系统解决方案的集成厂商，信息安全产业市场将更加系统化、标准化、规模化。</w:t>
      </w:r>
    </w:p>
    <w:p>
      <w:pPr>
        <w:pStyle w:val="BodyText"/>
        <w:spacing w:line="316" w:lineRule="auto" w:before="19"/>
        <w:ind w:left="514" w:right="0"/>
        <w:jc w:val="left"/>
      </w:pPr>
      <w:r>
        <w:rPr>
          <w:rFonts w:ascii="宋体" w:hAnsi="宋体" w:cs="宋体" w:eastAsia="宋体" w:hint="default"/>
        </w:rPr>
        <w:t>D</w:t>
      </w:r>
      <w:r>
        <w:rPr/>
        <w:t>、创新性的安全运维服务将成为下一个市场增长点 </w:t>
      </w:r>
      <w:r>
        <w:rPr>
          <w:spacing w:val="-2"/>
        </w:rPr>
        <w:t>单纯依靠产品无法彻底解决用户的安全问题，用户更加关心厂商如何帮助他们解决整个信息系统的安全问题。随着基于</w:t>
      </w:r>
    </w:p>
    <w:p>
      <w:pPr>
        <w:pStyle w:val="BodyText"/>
        <w:spacing w:line="316" w:lineRule="auto" w:before="19"/>
        <w:ind w:left="154" w:right="1130"/>
        <w:jc w:val="both"/>
      </w:pPr>
      <w:r>
        <w:rPr>
          <w:spacing w:val="-2"/>
        </w:rPr>
        <w:t>云计算的信息安全技术发展，以及客户信息安全意识的提升，未来安全运维服务以及云安全服务等创新性的服务会为用户的</w:t>
      </w:r>
      <w:r>
        <w:rPr>
          <w:spacing w:val="-63"/>
        </w:rPr>
        <w:t> </w:t>
      </w:r>
      <w:r>
        <w:rPr>
          <w:spacing w:val="-63"/>
        </w:rPr>
      </w:r>
      <w:r>
        <w:rPr/>
        <w:t>安全管理带来更好的体验和更大的发展空间。</w:t>
      </w:r>
    </w:p>
    <w:p>
      <w:pPr>
        <w:pStyle w:val="BodyText"/>
        <w:spacing w:line="316" w:lineRule="auto" w:before="19"/>
        <w:ind w:left="514" w:right="1122"/>
        <w:jc w:val="left"/>
      </w:pPr>
      <w:r>
        <w:rPr>
          <w:rFonts w:ascii="宋体" w:hAnsi="宋体" w:cs="宋体" w:eastAsia="宋体" w:hint="default"/>
        </w:rPr>
        <w:t>E</w:t>
      </w:r>
      <w:r>
        <w:rPr/>
        <w:t>、信息安全市场的季节性与地域性依然明显 信息安全企业所关注的政府、金融、能源等重点行业的信息安全产品</w:t>
      </w:r>
      <w:r>
        <w:rPr>
          <w:rFonts w:ascii="宋体" w:hAnsi="宋体" w:cs="宋体" w:eastAsia="宋体" w:hint="default"/>
        </w:rPr>
        <w:t>/</w:t>
      </w:r>
      <w:r>
        <w:rPr/>
        <w:t>服务采购具有一定的季节性，上半年通常进行预</w:t>
      </w:r>
    </w:p>
    <w:p>
      <w:pPr>
        <w:pStyle w:val="BodyText"/>
        <w:spacing w:line="316" w:lineRule="auto" w:before="19"/>
        <w:ind w:left="154" w:right="1129"/>
        <w:jc w:val="both"/>
      </w:pPr>
      <w:r>
        <w:rPr>
          <w:spacing w:val="-2"/>
        </w:rPr>
        <w:t>算立项和设备选型测试等工作，下半年才进行集中进行招标、采购和建设。因此，每年的第三、四季度呈现出供需两旺的特</w:t>
      </w:r>
      <w:r>
        <w:rPr>
          <w:spacing w:val="-66"/>
        </w:rPr>
        <w:t> </w:t>
      </w:r>
      <w:r>
        <w:rPr>
          <w:spacing w:val="-66"/>
        </w:rPr>
      </w:r>
      <w:r>
        <w:rPr/>
        <w:t>点。同时，由于国内区域经济发展不平衡，使信息安全产品</w:t>
      </w:r>
      <w:r>
        <w:rPr>
          <w:rFonts w:ascii="宋体" w:hAnsi="宋体" w:cs="宋体" w:eastAsia="宋体" w:hint="default"/>
        </w:rPr>
        <w:t>/</w:t>
      </w:r>
      <w:r>
        <w:rPr/>
        <w:t>服务市场发展不均衡。预计随着未来新兴市场信息安全需求的</w:t>
      </w:r>
      <w:r>
        <w:rPr>
          <w:spacing w:val="-82"/>
        </w:rPr>
        <w:t> </w:t>
      </w:r>
      <w:r>
        <w:rPr>
          <w:spacing w:val="-82"/>
        </w:rPr>
      </w:r>
      <w:r>
        <w:rPr/>
        <w:t>强劲上升以及中西部地区经济的快速发展，信息安全行业的产品</w:t>
      </w:r>
      <w:r>
        <w:rPr>
          <w:rFonts w:ascii="宋体" w:hAnsi="宋体" w:cs="宋体" w:eastAsia="宋体" w:hint="default"/>
        </w:rPr>
        <w:t>/</w:t>
      </w:r>
      <w:r>
        <w:rPr/>
        <w:t>服务销售的季节性与地域性特征将有所缓解，但仍将在相</w:t>
      </w:r>
      <w:r>
        <w:rPr>
          <w:spacing w:val="-82"/>
        </w:rPr>
        <w:t> </w:t>
      </w:r>
      <w:r>
        <w:rPr>
          <w:spacing w:val="-82"/>
        </w:rPr>
      </w:r>
      <w:r>
        <w:rPr/>
        <w:t>当长一个时期内持续存在。</w:t>
      </w:r>
    </w:p>
    <w:p>
      <w:pPr>
        <w:pStyle w:val="BodyText"/>
        <w:spacing w:line="240" w:lineRule="auto" w:before="19"/>
        <w:ind w:left="604" w:right="0"/>
        <w:jc w:val="left"/>
      </w:pPr>
      <w:r>
        <w:rPr>
          <w:rFonts w:ascii="宋体" w:hAnsi="宋体" w:cs="宋体" w:eastAsia="宋体" w:hint="default"/>
        </w:rPr>
        <w:t>2</w:t>
      </w:r>
      <w:r>
        <w:rPr/>
        <w:t>、公司所处市场格局及面临的机遇与挑战</w:t>
      </w:r>
    </w:p>
    <w:p>
      <w:pPr>
        <w:pStyle w:val="BodyText"/>
        <w:spacing w:line="316" w:lineRule="auto" w:before="76"/>
        <w:ind w:left="514" w:right="0"/>
        <w:jc w:val="left"/>
      </w:pPr>
      <w:r>
        <w:rPr/>
        <w:t>（</w:t>
      </w:r>
      <w:r>
        <w:rPr>
          <w:rFonts w:ascii="宋体" w:hAnsi="宋体" w:cs="宋体" w:eastAsia="宋体" w:hint="default"/>
        </w:rPr>
        <w:t>1</w:t>
      </w:r>
      <w:r>
        <w:rPr/>
        <w:t>）公司所处市场格局 </w:t>
      </w:r>
      <w:r>
        <w:rPr>
          <w:spacing w:val="-2"/>
        </w:rPr>
        <w:t>我国传统信息安全行业经过</w:t>
      </w:r>
      <w:r>
        <w:rPr>
          <w:rFonts w:ascii="宋体" w:hAnsi="宋体" w:cs="宋体" w:eastAsia="宋体" w:hint="default"/>
          <w:spacing w:val="-2"/>
        </w:rPr>
        <w:t>20</w:t>
      </w:r>
      <w:r>
        <w:rPr>
          <w:spacing w:val="-2"/>
        </w:rPr>
        <w:t>多年发展，已从萌芽期过渡到快速发展期。目前我国信息安全产业已经具备一定规模，建</w:t>
      </w:r>
    </w:p>
    <w:p>
      <w:pPr>
        <w:pStyle w:val="BodyText"/>
        <w:spacing w:line="316" w:lineRule="auto" w:before="19"/>
        <w:ind w:right="0"/>
        <w:jc w:val="left"/>
      </w:pPr>
      <w:r>
        <w:rPr>
          <w:spacing w:val="-4"/>
        </w:rPr>
        <w:t>立了基本的技术研发、产品生产和销售服务体系，部分信息安全产品的核心技术已达国际先进水平，涌现了一批优秀的企业。</w:t>
      </w:r>
      <w:r>
        <w:rPr>
          <w:spacing w:val="-44"/>
        </w:rPr>
        <w:t> </w:t>
      </w:r>
      <w:r>
        <w:rPr>
          <w:spacing w:val="-44"/>
        </w:rPr>
      </w:r>
      <w:r>
        <w:rPr>
          <w:spacing w:val="-2"/>
        </w:rPr>
        <w:t>截至目前，国内信息安全相关企业已超过</w:t>
      </w:r>
      <w:r>
        <w:rPr>
          <w:rFonts w:ascii="宋体" w:hAnsi="宋体" w:cs="宋体" w:eastAsia="宋体" w:hint="default"/>
          <w:spacing w:val="-2"/>
        </w:rPr>
        <w:t>1000</w:t>
      </w:r>
      <w:r>
        <w:rPr>
          <w:spacing w:val="-2"/>
        </w:rPr>
        <w:t>家，信息安全业务年收入超亿元企业在</w:t>
      </w:r>
      <w:r>
        <w:rPr>
          <w:rFonts w:ascii="宋体" w:hAnsi="宋体" w:cs="宋体" w:eastAsia="宋体" w:hint="default"/>
          <w:spacing w:val="-2"/>
        </w:rPr>
        <w:t>30</w:t>
      </w:r>
      <w:r>
        <w:rPr>
          <w:spacing w:val="-2"/>
        </w:rPr>
        <w:t>家以上。十八届三中全会后，信息安</w:t>
      </w:r>
      <w:r>
        <w:rPr>
          <w:spacing w:val="-60"/>
        </w:rPr>
        <w:t> </w:t>
      </w:r>
      <w:r>
        <w:rPr>
          <w:spacing w:val="-60"/>
        </w:rPr>
      </w:r>
      <w:r>
        <w:rPr/>
        <w:t>全产业获得了空前的关注，国内的信息安全企业将获得长足的发展。</w:t>
      </w:r>
    </w:p>
    <w:p>
      <w:pPr>
        <w:pStyle w:val="BodyText"/>
        <w:spacing w:line="240" w:lineRule="auto" w:before="19"/>
        <w:ind w:left="514" w:right="0"/>
        <w:jc w:val="left"/>
      </w:pPr>
      <w:r>
        <w:rPr/>
        <w:t>我国本土传统信息安全厂商数量较多，但由于行业的细分程度较高，不同厂商凭借各自的优势占据着不同的细分市场，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市场集中度低、协同程度不高，不同产品、服务间的配套能力较弱。信息安全市场亟需通过并购整合扩大集中资源的能力， 形成具有整合式竞争优势的龙头企业，引领整个信息安全行业的发展，提升中国信息安全的自主可控能力。</w:t>
      </w:r>
    </w:p>
    <w:p>
      <w:pPr>
        <w:pStyle w:val="BodyText"/>
        <w:spacing w:line="319" w:lineRule="auto" w:before="19"/>
        <w:ind w:right="1033" w:firstLine="360"/>
        <w:jc w:val="left"/>
      </w:pPr>
      <w:r>
        <w:rPr>
          <w:spacing w:val="-2"/>
        </w:rPr>
        <w:t>公司通过数十年的技术、人才、资本的积淀，专注于对前沿及热点技术的研究、追踪和产品化，打造出具有自主知识产</w:t>
      </w:r>
      <w:r>
        <w:rPr/>
        <w:t> </w:t>
      </w:r>
      <w:r>
        <w:rPr>
          <w:spacing w:val="-2"/>
        </w:rPr>
        <w:t>权的产品线和新型服务模式，实现了公司在信息安全行业的领导地位。</w:t>
      </w:r>
      <w:r>
        <w:rPr>
          <w:rFonts w:ascii="宋体" w:hAnsi="宋体" w:cs="宋体" w:eastAsia="宋体" w:hint="default"/>
          <w:spacing w:val="-2"/>
        </w:rPr>
        <w:t>2014</w:t>
      </w:r>
      <w:r>
        <w:rPr>
          <w:spacing w:val="-2"/>
        </w:rPr>
        <w:t>年，公司通过重大资产重组，收购三零盛安、三</w:t>
      </w:r>
      <w:r>
        <w:rPr>
          <w:spacing w:val="-62"/>
        </w:rPr>
        <w:t> </w:t>
      </w:r>
      <w:r>
        <w:rPr>
          <w:spacing w:val="-62"/>
        </w:rPr>
      </w:r>
      <w:r>
        <w:rPr/>
        <w:t>零瑞通和三零嘉微三家信息安全企业，形成从芯片到模块、从单机到系统的完整产业链，进一步增强了公司的市场竞争力。 </w:t>
      </w:r>
      <w:r>
        <w:rPr>
          <w:spacing w:val="-2"/>
        </w:rPr>
        <w:t>公司以完整的产品线优势，基于</w:t>
      </w:r>
      <w:r>
        <w:rPr>
          <w:rFonts w:ascii="宋体" w:hAnsi="宋体" w:cs="宋体" w:eastAsia="宋体" w:hint="default"/>
          <w:spacing w:val="-2"/>
        </w:rPr>
        <w:t>ISSE</w:t>
      </w:r>
      <w:r>
        <w:rPr>
          <w:spacing w:val="-2"/>
        </w:rPr>
        <w:t>体系框架为党政、军工、电力、金融以及其他大中企业和事业单位等用户，提供以“安</w:t>
      </w:r>
      <w:r>
        <w:rPr>
          <w:spacing w:val="-62"/>
        </w:rPr>
        <w:t> </w:t>
      </w:r>
      <w:r>
        <w:rPr>
          <w:spacing w:val="-62"/>
        </w:rPr>
      </w:r>
      <w:r>
        <w:rPr/>
        <w:t>全咨询、安全评估、安全建设、安全运维”为主要内容的全生命周期的集成与服务。</w:t>
      </w:r>
    </w:p>
    <w:p>
      <w:pPr>
        <w:pStyle w:val="BodyText"/>
        <w:spacing w:line="316" w:lineRule="auto" w:before="17"/>
        <w:ind w:left="514" w:right="7962"/>
        <w:jc w:val="left"/>
      </w:pPr>
      <w:r>
        <w:rPr/>
        <w:t>（</w:t>
      </w:r>
      <w:r>
        <w:rPr>
          <w:rFonts w:ascii="宋体" w:hAnsi="宋体" w:cs="宋体" w:eastAsia="宋体" w:hint="default"/>
        </w:rPr>
        <w:t>2</w:t>
      </w:r>
      <w:r>
        <w:rPr/>
        <w:t>）公司所面临的机遇与挑战 </w:t>
      </w:r>
      <w:r>
        <w:rPr>
          <w:rFonts w:ascii="宋体" w:hAnsi="宋体" w:cs="宋体" w:eastAsia="宋体" w:hint="default"/>
        </w:rPr>
        <w:t>A</w:t>
      </w:r>
      <w:r>
        <w:rPr/>
        <w:t>、面临的机遇</w:t>
      </w:r>
    </w:p>
    <w:p>
      <w:pPr>
        <w:pStyle w:val="BodyText"/>
        <w:spacing w:line="316" w:lineRule="auto" w:before="19"/>
        <w:ind w:right="1132" w:firstLine="360"/>
        <w:jc w:val="both"/>
      </w:pPr>
      <w:r>
        <w:rPr>
          <w:spacing w:val="-2"/>
        </w:rPr>
        <w:t>随着网络和信息技术的全面普及，以及新一代信息技术给我们带来的全新转变，随之而来的安全风险也愈来愈高。国家</w:t>
      </w:r>
      <w:r>
        <w:rPr/>
        <w:t> </w:t>
      </w:r>
      <w:r>
        <w:rPr>
          <w:spacing w:val="-2"/>
        </w:rPr>
        <w:t>高度重视信息安全，并通过多种方式引导信息安全良性健康发展，给产业带来了巨大机遇。公司作为国内首家专业从事信息</w:t>
      </w:r>
      <w:r>
        <w:rPr>
          <w:spacing w:val="-66"/>
        </w:rPr>
        <w:t> </w:t>
      </w:r>
      <w:r>
        <w:rPr>
          <w:spacing w:val="-66"/>
        </w:rPr>
      </w:r>
      <w:r>
        <w:rPr>
          <w:spacing w:val="-2"/>
        </w:rPr>
        <w:t>安全的上市公司，具有强大的资本运作能力，同时拥有深厚的技术和人才积累，愿意与业内其他厂商共同拓展信息安全产业</w:t>
      </w:r>
      <w:r>
        <w:rPr>
          <w:spacing w:val="-66"/>
        </w:rPr>
        <w:t> </w:t>
      </w:r>
      <w:r>
        <w:rPr>
          <w:spacing w:val="-66"/>
        </w:rPr>
      </w:r>
      <w:r>
        <w:rPr/>
        <w:t>的空间，实现资源优势互补，成为产业融合背景下的行业市场领导者。</w:t>
      </w:r>
    </w:p>
    <w:p>
      <w:pPr>
        <w:pStyle w:val="BodyText"/>
        <w:spacing w:line="316" w:lineRule="auto" w:before="19"/>
        <w:ind w:left="514" w:right="0"/>
        <w:jc w:val="left"/>
      </w:pPr>
      <w:r>
        <w:rPr>
          <w:rFonts w:ascii="宋体" w:hAnsi="宋体" w:cs="宋体" w:eastAsia="宋体" w:hint="default"/>
        </w:rPr>
        <w:t>a.</w:t>
      </w:r>
      <w:r>
        <w:rPr/>
        <w:t>依托参与新一代信息技术标准的制定，占据先发优势 </w:t>
      </w:r>
      <w:r>
        <w:rPr>
          <w:spacing w:val="-2"/>
        </w:rPr>
        <w:t>公司参与了大量国家信息安全行业标准的制定，下一步将在新一代信息技术信息安全标准体系、工业控制系统信息安全</w:t>
      </w:r>
    </w:p>
    <w:p>
      <w:pPr>
        <w:pStyle w:val="BodyText"/>
        <w:spacing w:line="316" w:lineRule="auto" w:before="19"/>
        <w:ind w:left="154" w:right="1032"/>
        <w:jc w:val="left"/>
      </w:pPr>
      <w:r>
        <w:rPr>
          <w:spacing w:val="-2"/>
        </w:rPr>
        <w:t>分级防护、云计算环境下的分级保护、物联网信息安全、电子政务内网安全防护体系等重大新热点领域再度支撑国家主管部</w:t>
      </w:r>
      <w:r>
        <w:rPr>
          <w:spacing w:val="-66"/>
        </w:rPr>
        <w:t> </w:t>
      </w:r>
      <w:r>
        <w:rPr>
          <w:spacing w:val="-66"/>
        </w:rPr>
      </w:r>
      <w:r>
        <w:rPr/>
        <w:t>门进行标准和行业规范的拟制，并牵头组织新的产业链，推动新技术、新产业的发展，以此把握信息安全行业的发展方向， 占据市场先发优势。</w:t>
      </w:r>
    </w:p>
    <w:p>
      <w:pPr>
        <w:pStyle w:val="BodyText"/>
        <w:spacing w:line="316" w:lineRule="auto" w:before="19"/>
        <w:ind w:left="514" w:right="0"/>
        <w:jc w:val="left"/>
      </w:pPr>
      <w:r>
        <w:rPr>
          <w:rFonts w:ascii="宋体" w:hAnsi="宋体" w:cs="宋体" w:eastAsia="宋体" w:hint="default"/>
        </w:rPr>
        <w:t>b.</w:t>
      </w:r>
      <w:r>
        <w:rPr/>
        <w:t>国民信息安全意识逐步提高，安全市场需求快速增长 </w:t>
      </w:r>
      <w:r>
        <w:rPr>
          <w:spacing w:val="-2"/>
        </w:rPr>
        <w:t>随着一系列信息安全事件的发生，国家和社会各界对信息安全的重视程度日益加强，国民信息安全意识逐步提高。在党</w:t>
      </w:r>
    </w:p>
    <w:p>
      <w:pPr>
        <w:pStyle w:val="BodyText"/>
        <w:spacing w:line="319" w:lineRule="auto" w:before="19"/>
        <w:ind w:left="154" w:right="1043"/>
        <w:jc w:val="both"/>
      </w:pPr>
      <w:r>
        <w:rPr>
          <w:spacing w:val="-2"/>
        </w:rPr>
        <w:t>中央和国务院的领导下，国家信息化发展远超预期，各级单位和个人对信息网络的依赖程度大幅提高。然而，网络攻击、网</w:t>
      </w:r>
      <w:r>
        <w:rPr>
          <w:spacing w:val="-66"/>
        </w:rPr>
        <w:t> </w:t>
      </w:r>
      <w:r>
        <w:rPr>
          <w:spacing w:val="-66"/>
        </w:rPr>
      </w:r>
      <w:r>
        <w:rPr>
          <w:spacing w:val="-2"/>
        </w:rPr>
        <w:t>络欺诈、隐私泄密等各类安全问题频发，使我国信息安全保障需求大幅上升。公司面对快速发展的市场需求，将陆续发布新</w:t>
      </w:r>
      <w:r>
        <w:rPr>
          <w:spacing w:val="-66"/>
        </w:rPr>
        <w:t> </w:t>
      </w:r>
      <w:r>
        <w:rPr>
          <w:spacing w:val="-66"/>
        </w:rPr>
      </w:r>
      <w:r>
        <w:rPr>
          <w:spacing w:val="-2"/>
        </w:rPr>
        <w:t>一代信息技术的安全解决方案与产品：下一代互联网综合安全解决方案、移动办公安全解决方案、综合通信安全解决方案以</w:t>
      </w:r>
      <w:r>
        <w:rPr>
          <w:spacing w:val="-66"/>
        </w:rPr>
        <w:t> </w:t>
      </w:r>
      <w:r>
        <w:rPr>
          <w:spacing w:val="-66"/>
        </w:rPr>
      </w:r>
      <w:r>
        <w:rPr>
          <w:spacing w:val="-2"/>
        </w:rPr>
        <w:t>及支持国密算法的金融数据密码机、自主高安全网络传输设备、自主高安全终端设备、自主高安全综合网关设备、高性能密</w:t>
      </w:r>
      <w:r>
        <w:rPr>
          <w:spacing w:val="-66"/>
        </w:rPr>
        <w:t> </w:t>
      </w:r>
      <w:r>
        <w:rPr>
          <w:spacing w:val="-66"/>
        </w:rPr>
      </w:r>
      <w:r>
        <w:rPr>
          <w:spacing w:val="-4"/>
        </w:rPr>
        <w:t>码保障设备等新产品，这些针对新技术领域的解决方案与产品具有较大的潜在市场空间，预计未来能为公司带来较好的收益。</w:t>
      </w:r>
    </w:p>
    <w:p>
      <w:pPr>
        <w:pStyle w:val="BodyText"/>
        <w:spacing w:line="316" w:lineRule="auto" w:before="17"/>
        <w:ind w:left="513" w:right="0"/>
        <w:jc w:val="left"/>
      </w:pPr>
      <w:r>
        <w:rPr>
          <w:rFonts w:ascii="宋体" w:hAnsi="宋体" w:cs="宋体" w:eastAsia="宋体" w:hint="default"/>
        </w:rPr>
        <w:t>c.</w:t>
      </w:r>
      <w:r>
        <w:rPr/>
        <w:t>工业控制系统的安全问题备受关注 </w:t>
      </w:r>
      <w:r>
        <w:rPr>
          <w:spacing w:val="-2"/>
        </w:rPr>
        <w:t>随着工业化和信息化的深度融合，我国对工业控制系统信息安全的重视程度日益加深，政府部门正在加大力度检查系统</w:t>
      </w:r>
    </w:p>
    <w:p>
      <w:pPr>
        <w:pStyle w:val="BodyText"/>
        <w:spacing w:line="316" w:lineRule="auto" w:before="19"/>
        <w:ind w:right="1033"/>
        <w:jc w:val="left"/>
      </w:pPr>
      <w:r>
        <w:rPr>
          <w:spacing w:val="-2"/>
        </w:rPr>
        <w:t>安全状况，掌握整体安全态势，对其存在的安全隐患和风险进行修复，提高工业控制系统的安全保障能力。公司针对工业系</w:t>
      </w:r>
      <w:r>
        <w:rPr>
          <w:spacing w:val="-66"/>
        </w:rPr>
        <w:t> </w:t>
      </w:r>
      <w:r>
        <w:rPr>
          <w:spacing w:val="-66"/>
        </w:rPr>
      </w:r>
      <w:r>
        <w:rPr>
          <w:spacing w:val="-2"/>
        </w:rPr>
        <w:t>统的专用安全产品和安全解决方案，将持续为公司带来行业市场的增长点。公司前期已经介入国家智能电网的信息安全保障</w:t>
      </w:r>
      <w:r>
        <w:rPr>
          <w:spacing w:val="-64"/>
        </w:rPr>
        <w:t> </w:t>
      </w:r>
      <w:r>
        <w:rPr>
          <w:spacing w:val="-64"/>
        </w:rPr>
      </w:r>
      <w:r>
        <w:rPr/>
        <w:t>体系建设，并通过推广智能电网综合安全防护系统、工业控制信息安全总体解决方案等为行业提供了安全可靠的防护手段， </w:t>
      </w:r>
      <w:r>
        <w:rPr>
          <w:spacing w:val="-2"/>
        </w:rPr>
        <w:t>取得了良好的经济效益，积累了宝贵的行业信息安全建设经验。同时公司逐步推出针对交通、化工、市政等工业控制系统的</w:t>
      </w:r>
      <w:r>
        <w:rPr>
          <w:spacing w:val="-66"/>
        </w:rPr>
        <w:t> </w:t>
      </w:r>
      <w:r>
        <w:rPr>
          <w:spacing w:val="-66"/>
        </w:rPr>
      </w:r>
      <w:r>
        <w:rPr/>
        <w:t>安全整体解决方案，具有广阔的市场前景。</w:t>
      </w:r>
    </w:p>
    <w:p>
      <w:pPr>
        <w:pStyle w:val="BodyText"/>
        <w:spacing w:line="316" w:lineRule="auto" w:before="19"/>
        <w:ind w:left="513" w:right="0"/>
        <w:jc w:val="left"/>
      </w:pPr>
      <w:r>
        <w:rPr>
          <w:rFonts w:ascii="宋体" w:hAnsi="宋体" w:cs="宋体" w:eastAsia="宋体" w:hint="default"/>
        </w:rPr>
        <w:t>d.</w:t>
      </w:r>
      <w:r>
        <w:rPr/>
        <w:t>智慧城市的安全保障体系正在逐步建立 </w:t>
      </w:r>
      <w:r>
        <w:rPr>
          <w:spacing w:val="-2"/>
        </w:rPr>
        <w:t>智慧城市成为继云计算、大数据后又一热点，目前全国很多城市正在如火如荼地开展智慧城市建设。智慧城市是实现城</w:t>
      </w:r>
    </w:p>
    <w:p>
      <w:pPr>
        <w:pStyle w:val="BodyText"/>
        <w:spacing w:line="316" w:lineRule="auto" w:before="19"/>
        <w:ind w:right="0"/>
        <w:jc w:val="left"/>
      </w:pPr>
      <w:r>
        <w:rPr>
          <w:spacing w:val="-2"/>
        </w:rPr>
        <w:t>市可持续发展的重要途径，也将彻底改变政府服务模式、经济发展方式及居民生活方式，从更高层次提升城市管理、服务能</w:t>
      </w:r>
      <w:r>
        <w:rPr>
          <w:spacing w:val="-66"/>
        </w:rPr>
        <w:t> </w:t>
      </w:r>
      <w:r>
        <w:rPr>
          <w:spacing w:val="-66"/>
        </w:rPr>
      </w:r>
      <w:r>
        <w:rPr>
          <w:spacing w:val="-2"/>
        </w:rPr>
        <w:t>力，让人们的生活变得更智能、更便捷，从而提高人们的生活质量。面临如此庞大的应用平台和数据信息，一旦出现泄密等</w:t>
      </w:r>
      <w:r>
        <w:rPr>
          <w:spacing w:val="-66"/>
        </w:rPr>
        <w:t> </w:t>
      </w:r>
      <w:r>
        <w:rPr>
          <w:spacing w:val="-66"/>
        </w:rPr>
      </w:r>
      <w:r>
        <w:rPr>
          <w:spacing w:val="-4"/>
        </w:rPr>
        <w:t>安全问题，后果将不堪设想。为此，卫士通针对智慧城市各领域中的业务应用，科学规划，合理布局，采用顶层设计的方法，</w:t>
      </w:r>
      <w:r>
        <w:rPr>
          <w:spacing w:val="-44"/>
        </w:rPr>
        <w:t> </w:t>
      </w:r>
      <w:r>
        <w:rPr>
          <w:spacing w:val="-44"/>
        </w:rPr>
      </w:r>
      <w:r>
        <w:rPr>
          <w:spacing w:val="-2"/>
        </w:rPr>
        <w:t>从物理安全、网络安全、系统安全、终端安全、应用安全、数据安全和管理安全等多个层面为智慧城市提供了智慧城市系统</w:t>
      </w:r>
      <w:r>
        <w:rPr>
          <w:spacing w:val="-66"/>
        </w:rPr>
        <w:t> </w:t>
      </w:r>
      <w:r>
        <w:rPr>
          <w:spacing w:val="-66"/>
        </w:rPr>
      </w:r>
      <w:r>
        <w:rPr/>
        <w:t>解决方案，为智慧城市提供可靠的安全技术保障。</w:t>
      </w:r>
    </w:p>
    <w:p>
      <w:pPr>
        <w:pStyle w:val="BodyText"/>
        <w:spacing w:line="319" w:lineRule="auto" w:before="19"/>
        <w:ind w:left="514" w:right="0"/>
        <w:jc w:val="left"/>
      </w:pPr>
      <w:r>
        <w:rPr>
          <w:rFonts w:ascii="宋体" w:hAnsi="宋体" w:cs="宋体" w:eastAsia="宋体" w:hint="default"/>
        </w:rPr>
        <w:t>e.</w:t>
      </w:r>
      <w:r>
        <w:rPr/>
        <w:t>移动互联网信息安全市场需求呈现快速增长趋势 </w:t>
      </w:r>
      <w:r>
        <w:rPr>
          <w:spacing w:val="-4"/>
        </w:rPr>
        <w:t>国家基础通信设施、电子政务信息、电子商务信息和大众信息等领域的安全需求将全面推动移动信息安全产业迅猛发展。</w:t>
      </w:r>
    </w:p>
    <w:p>
      <w:pPr>
        <w:pStyle w:val="BodyText"/>
        <w:spacing w:line="316" w:lineRule="auto" w:before="17"/>
        <w:ind w:left="154" w:right="1133"/>
        <w:jc w:val="both"/>
      </w:pPr>
      <w:r>
        <w:rPr>
          <w:spacing w:val="-2"/>
        </w:rPr>
        <w:t>面对移动信息安全这个跨越式机遇，公司已经提前布局移动互联网安全领域，在网络防护与安全管理、移动信息安全应用与</w:t>
      </w:r>
      <w:r>
        <w:rPr>
          <w:spacing w:val="-66"/>
        </w:rPr>
        <w:t> </w:t>
      </w:r>
      <w:r>
        <w:rPr>
          <w:spacing w:val="-66"/>
        </w:rPr>
      </w:r>
      <w:r>
        <w:rPr>
          <w:spacing w:val="-2"/>
        </w:rPr>
        <w:t>服务、安全保密移动终端、物联网安全体系等领域重点规划并建立自己的移动信息安全产品体系，向着高技术、高品质、高</w:t>
      </w:r>
      <w:r>
        <w:rPr>
          <w:spacing w:val="-66"/>
        </w:rPr>
        <w:t> </w:t>
      </w:r>
      <w:r>
        <w:rPr>
          <w:spacing w:val="-66"/>
        </w:rPr>
      </w:r>
      <w:r>
        <w:rPr/>
        <w:t>附加值的方向创新与发展。</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118"/>
        <w:jc w:val="left"/>
      </w:pPr>
      <w:r>
        <w:rPr>
          <w:rFonts w:ascii="宋体" w:hAnsi="宋体" w:cs="宋体" w:eastAsia="宋体" w:hint="default"/>
        </w:rPr>
        <w:t>B</w:t>
      </w:r>
      <w:r>
        <w:rPr/>
        <w:t>、面临的挑战 </w:t>
      </w:r>
      <w:r>
        <w:rPr>
          <w:rFonts w:ascii="宋体" w:hAnsi="宋体" w:cs="宋体" w:eastAsia="宋体" w:hint="default"/>
          <w:spacing w:val="-2"/>
        </w:rPr>
        <w:t>a.</w:t>
      </w:r>
      <w:r>
        <w:rPr>
          <w:spacing w:val="-2"/>
        </w:rPr>
        <w:t>国家政策保护力度日趋减弱，政策壁垒即将被打破，即便是商用密码这一以前处于专控状态的行业，也将逐步向国外</w:t>
      </w:r>
    </w:p>
    <w:p>
      <w:pPr>
        <w:pStyle w:val="BodyText"/>
        <w:spacing w:line="240" w:lineRule="auto" w:before="19"/>
        <w:ind w:right="0"/>
        <w:jc w:val="left"/>
      </w:pPr>
      <w:r>
        <w:rPr/>
        <w:t>厂商开放。</w:t>
      </w:r>
    </w:p>
    <w:p>
      <w:pPr>
        <w:pStyle w:val="BodyText"/>
        <w:spacing w:line="319" w:lineRule="auto" w:before="76"/>
        <w:ind w:right="1130" w:firstLine="360"/>
        <w:jc w:val="both"/>
      </w:pPr>
      <w:r>
        <w:rPr>
          <w:rFonts w:ascii="宋体" w:hAnsi="宋体" w:cs="宋体" w:eastAsia="宋体" w:hint="default"/>
          <w:spacing w:val="-2"/>
        </w:rPr>
        <w:t>b.</w:t>
      </w:r>
      <w:r>
        <w:rPr>
          <w:spacing w:val="-2"/>
        </w:rPr>
        <w:t>信息安全产业在快速融合，业界重点企业针对自身发展短板，甚至是针对未来的拓展方向，通过并购或其它资本运作</w:t>
      </w:r>
      <w:r>
        <w:rPr/>
        <w:t> </w:t>
      </w:r>
      <w:r>
        <w:rPr>
          <w:spacing w:val="-2"/>
        </w:rPr>
        <w:t>方式弥补不足，快速切入细分市场，以此完善自身能力、扩大市场份额、支撑企业发展。目前，公司针对自身缺失能力和未</w:t>
      </w:r>
      <w:r>
        <w:rPr>
          <w:spacing w:val="-67"/>
        </w:rPr>
        <w:t> </w:t>
      </w:r>
      <w:r>
        <w:rPr>
          <w:spacing w:val="-67"/>
        </w:rPr>
      </w:r>
      <w:r>
        <w:rPr/>
        <w:t>来发展需求，将进一步顺应产业融合趋势。</w:t>
      </w:r>
    </w:p>
    <w:p>
      <w:pPr>
        <w:pStyle w:val="BodyText"/>
        <w:spacing w:line="316" w:lineRule="auto" w:before="17"/>
        <w:ind w:right="1131" w:firstLine="360"/>
        <w:jc w:val="both"/>
      </w:pPr>
      <w:r>
        <w:rPr>
          <w:rFonts w:ascii="宋体" w:hAnsi="宋体" w:cs="宋体" w:eastAsia="宋体" w:hint="default"/>
          <w:spacing w:val="-2"/>
        </w:rPr>
        <w:t>c.</w:t>
      </w:r>
      <w:r>
        <w:rPr>
          <w:spacing w:val="-2"/>
        </w:rPr>
        <w:t>公司目前的主要用户集中在党政、军队、军工、金融、能源等重点行业，在中小企业市场和个人用户市场的拓展能力</w:t>
      </w:r>
      <w:r>
        <w:rPr/>
        <w:t> 有待加强、在这些市场的占有率有待提高、品牌影响力有待提升。</w:t>
      </w:r>
    </w:p>
    <w:p>
      <w:pPr>
        <w:pStyle w:val="BodyText"/>
        <w:spacing w:line="316" w:lineRule="auto" w:before="19"/>
        <w:ind w:left="154" w:right="1132" w:firstLine="360"/>
        <w:jc w:val="both"/>
      </w:pPr>
      <w:r>
        <w:rPr>
          <w:rFonts w:ascii="宋体" w:hAnsi="宋体" w:cs="宋体" w:eastAsia="宋体" w:hint="default"/>
          <w:spacing w:val="-2"/>
        </w:rPr>
        <w:t>d.</w:t>
      </w:r>
      <w:r>
        <w:rPr>
          <w:spacing w:val="-2"/>
        </w:rPr>
        <w:t>公司在网络、存储、虚拟化、分布式计算等核心技术积累略显不足，难以短期研制出具有充分竞争力的产品，特别是</w:t>
      </w:r>
      <w:r>
        <w:rPr/>
        <w:t> 规模化产品，影响了公司的快速规模化发展。</w:t>
      </w:r>
    </w:p>
    <w:p>
      <w:pPr>
        <w:pStyle w:val="BodyText"/>
        <w:spacing w:line="316" w:lineRule="auto" w:before="19"/>
        <w:ind w:left="513" w:right="5173"/>
        <w:jc w:val="left"/>
      </w:pPr>
      <w:r>
        <w:rPr>
          <w:rFonts w:ascii="宋体" w:hAnsi="宋体" w:cs="宋体" w:eastAsia="宋体" w:hint="default"/>
        </w:rPr>
        <w:t>e.</w:t>
      </w:r>
      <w:r>
        <w:rPr/>
        <w:t>国内原材料和劳动力价格的不断攀升，增加了企业的综合成本。 </w:t>
      </w:r>
      <w:r>
        <w:rPr>
          <w:rFonts w:ascii="宋体" w:hAnsi="宋体" w:cs="宋体" w:eastAsia="宋体" w:hint="default"/>
        </w:rPr>
        <w:t>f.</w:t>
      </w:r>
      <w:r>
        <w:rPr/>
        <w:t>企业规模亟待提升，业务结构需要进一步优化。 </w:t>
      </w:r>
      <w:r>
        <w:rPr>
          <w:rFonts w:ascii="宋体" w:hAnsi="宋体" w:cs="宋体" w:eastAsia="宋体" w:hint="default"/>
        </w:rPr>
        <w:t>g.</w:t>
      </w:r>
      <w:r>
        <w:rPr/>
        <w:t>资产重组后，总公司和子公司间的业务和管理融合有待完善。</w:t>
      </w:r>
    </w:p>
    <w:p>
      <w:pPr>
        <w:pStyle w:val="BodyText"/>
        <w:spacing w:line="316" w:lineRule="auto" w:before="19"/>
        <w:ind w:left="514" w:right="7872"/>
        <w:jc w:val="left"/>
      </w:pPr>
      <w:r>
        <w:rPr/>
        <w:t>（二）公司发展战略与经营计划 </w:t>
      </w:r>
      <w:r>
        <w:rPr>
          <w:rFonts w:ascii="宋体" w:hAnsi="宋体" w:cs="宋体" w:eastAsia="宋体" w:hint="default"/>
        </w:rPr>
        <w:t>1</w:t>
      </w:r>
      <w:r>
        <w:rPr/>
        <w:t>、公司发展战略</w:t>
      </w:r>
    </w:p>
    <w:p>
      <w:pPr>
        <w:pStyle w:val="BodyText"/>
        <w:spacing w:line="316" w:lineRule="auto" w:before="19"/>
        <w:ind w:left="513" w:right="0"/>
        <w:jc w:val="left"/>
      </w:pPr>
      <w:r>
        <w:rPr>
          <w:rFonts w:ascii="宋体" w:hAnsi="宋体" w:cs="宋体" w:eastAsia="宋体" w:hint="default"/>
        </w:rPr>
        <w:t>A</w:t>
      </w:r>
      <w:r>
        <w:rPr/>
        <w:t>、在构建完整产业链的基础上，以安全为特色逐步向更为广泛的信息产业领域拓展 </w:t>
      </w:r>
      <w:r>
        <w:rPr>
          <w:rFonts w:ascii="宋体" w:hAnsi="宋体" w:cs="宋体" w:eastAsia="宋体" w:hint="default"/>
          <w:spacing w:val="-2"/>
        </w:rPr>
        <w:t>2014</w:t>
      </w:r>
      <w:r>
        <w:rPr>
          <w:spacing w:val="-2"/>
        </w:rPr>
        <w:t>年，公司在“从产品提供商向行业解决方案提供商转型，从信息安全向安全信息转型”的发展理念指引下，通过集</w:t>
      </w:r>
    </w:p>
    <w:p>
      <w:pPr>
        <w:pStyle w:val="BodyText"/>
        <w:spacing w:line="316" w:lineRule="auto" w:before="19"/>
        <w:ind w:right="1133"/>
        <w:jc w:val="both"/>
      </w:pPr>
      <w:r>
        <w:rPr>
          <w:spacing w:val="-2"/>
        </w:rPr>
        <w:t>团内部的资产重组，逐步实现信息安全技术和产品的全覆盖，初步打造了从密码算法、芯片、板卡、设备、平台、系统、到</w:t>
      </w:r>
      <w:r>
        <w:rPr>
          <w:spacing w:val="-68"/>
        </w:rPr>
        <w:t> </w:t>
      </w:r>
      <w:r>
        <w:rPr>
          <w:spacing w:val="-68"/>
        </w:rPr>
      </w:r>
      <w:r>
        <w:rPr>
          <w:spacing w:val="-2"/>
        </w:rPr>
        <w:t>方案、集成、服务的完整产业链，紧密围绕商用密码技术、网络安全、终端安全、数据安全、应用安全、内容安全和管理安</w:t>
      </w:r>
      <w:r>
        <w:rPr>
          <w:spacing w:val="-67"/>
        </w:rPr>
        <w:t> </w:t>
      </w:r>
      <w:r>
        <w:rPr>
          <w:spacing w:val="-67"/>
        </w:rPr>
      </w:r>
      <w:r>
        <w:rPr/>
        <w:t>全，努力构建技术先进、功能完善、种类丰富的齐套产品线。</w:t>
      </w:r>
    </w:p>
    <w:p>
      <w:pPr>
        <w:pStyle w:val="BodyText"/>
        <w:spacing w:line="319" w:lineRule="auto" w:before="19"/>
        <w:ind w:left="154" w:right="1131" w:firstLine="360"/>
        <w:jc w:val="both"/>
      </w:pPr>
      <w:r>
        <w:rPr>
          <w:spacing w:val="-2"/>
        </w:rPr>
        <w:t>当前及未来一段时间，以云计算、物联网、移动互联网、三网融合为代表的新一代信息技术将极大地促进信息技术与工</w:t>
      </w:r>
      <w:r>
        <w:rPr/>
        <w:t> </w:t>
      </w:r>
      <w:r>
        <w:rPr>
          <w:spacing w:val="-2"/>
        </w:rPr>
        <w:t>业化和个人家庭生活的融合，与之伴生的是信息安全问题向社会生活的全面延伸。智能电网、三网融合、移动支付、云计算</w:t>
      </w:r>
      <w:r>
        <w:rPr>
          <w:spacing w:val="-66"/>
        </w:rPr>
        <w:t> </w:t>
      </w:r>
      <w:r>
        <w:rPr>
          <w:spacing w:val="-66"/>
        </w:rPr>
      </w:r>
      <w:r>
        <w:rPr>
          <w:spacing w:val="-2"/>
        </w:rPr>
        <w:t>及云存储等热点为企业、家庭及个人信息安全提供了快速增长的市场机遇，公司将依托现有的市场地位和优势，深度拓展规</w:t>
      </w:r>
      <w:r>
        <w:rPr>
          <w:spacing w:val="-65"/>
        </w:rPr>
        <w:t> </w:t>
      </w:r>
      <w:r>
        <w:rPr>
          <w:spacing w:val="-65"/>
        </w:rPr>
      </w:r>
      <w:r>
        <w:rPr/>
        <w:t>模化大安全业务，并逐步向更为广泛的信息产业领域拓展。</w:t>
      </w:r>
    </w:p>
    <w:p>
      <w:pPr>
        <w:pStyle w:val="BodyText"/>
        <w:spacing w:line="316" w:lineRule="auto" w:before="17"/>
        <w:ind w:left="514" w:right="1032"/>
        <w:jc w:val="left"/>
      </w:pPr>
      <w:r>
        <w:rPr>
          <w:rFonts w:ascii="宋体" w:hAnsi="宋体" w:cs="宋体" w:eastAsia="宋体" w:hint="default"/>
        </w:rPr>
        <w:t>B</w:t>
      </w:r>
      <w:r>
        <w:rPr/>
        <w:t>、加快在“自主高安全专网”建设领域的研发与产业化步伐 网络空间作为国家的“新疆域”，信息网络成为国家赖以正常运转的“神经系统”，一旦出现漏洞，包括政府、军工、</w:t>
      </w:r>
    </w:p>
    <w:p>
      <w:pPr>
        <w:pStyle w:val="BodyText"/>
        <w:spacing w:line="316" w:lineRule="auto" w:before="19"/>
        <w:ind w:right="0"/>
        <w:jc w:val="left"/>
      </w:pPr>
      <w:r>
        <w:rPr>
          <w:spacing w:val="-2"/>
        </w:rPr>
        <w:t>金融、能源、工业控制、交通等事关国计民生的重要系统都将陷入瘫痪状态。我国急需通过建设自主可控的高安全专网，应</w:t>
      </w:r>
      <w:r>
        <w:rPr>
          <w:spacing w:val="-66"/>
        </w:rPr>
        <w:t> </w:t>
      </w:r>
      <w:r>
        <w:rPr>
          <w:spacing w:val="-66"/>
        </w:rPr>
      </w:r>
      <w:r>
        <w:rPr/>
        <w:t>对网络空间的现实威胁，打破国外对核心设备和技术的垄断，实现关键领域、重要行业信息系统国产化。</w:t>
      </w:r>
    </w:p>
    <w:p>
      <w:pPr>
        <w:pStyle w:val="BodyText"/>
        <w:spacing w:line="316" w:lineRule="auto" w:before="19"/>
        <w:ind w:right="1130" w:firstLine="360"/>
        <w:jc w:val="both"/>
      </w:pPr>
      <w:r>
        <w:rPr>
          <w:spacing w:val="-2"/>
        </w:rPr>
        <w:t>公司将以重点行业和领域用户在专网建设的安全防护需求为主导，研究并突破通信网络与安全防护一体化设计技术，遵</w:t>
      </w:r>
      <w:r>
        <w:rPr/>
        <w:t> </w:t>
      </w:r>
      <w:r>
        <w:rPr>
          <w:spacing w:val="-2"/>
        </w:rPr>
        <w:t>循国产自主化设计的技术理念，构建自主、安全的信息网络系统，并针对不同行业用户，采用差异化设计方法，满足我国核</w:t>
      </w:r>
      <w:r>
        <w:rPr>
          <w:spacing w:val="-66"/>
        </w:rPr>
        <w:t> </w:t>
      </w:r>
      <w:r>
        <w:rPr>
          <w:spacing w:val="-66"/>
        </w:rPr>
      </w:r>
      <w:r>
        <w:rPr/>
        <w:t>心领域和重要行业的信息安全保障需求。</w:t>
      </w:r>
    </w:p>
    <w:p>
      <w:pPr>
        <w:pStyle w:val="BodyText"/>
        <w:spacing w:line="316" w:lineRule="auto" w:before="19"/>
        <w:ind w:left="514" w:right="0"/>
        <w:jc w:val="left"/>
      </w:pPr>
      <w:r>
        <w:rPr>
          <w:rFonts w:ascii="宋体" w:hAnsi="宋体" w:cs="宋体" w:eastAsia="宋体" w:hint="default"/>
        </w:rPr>
        <w:t>C</w:t>
      </w:r>
      <w:r>
        <w:rPr/>
        <w:t>、以安全信息系统解决方案为核心，大力推进外延式发展 </w:t>
      </w:r>
      <w:r>
        <w:rPr>
          <w:spacing w:val="-2"/>
        </w:rPr>
        <w:t>公司依托在信息安全产业的地位和优势，与信息产业各细分市场的龙头企业开展合作，借助各自的优势，以安全与系统</w:t>
      </w:r>
    </w:p>
    <w:p>
      <w:pPr>
        <w:pStyle w:val="BodyText"/>
        <w:spacing w:line="316" w:lineRule="auto" w:before="19"/>
        <w:ind w:left="154" w:right="0"/>
        <w:jc w:val="left"/>
      </w:pPr>
      <w:r>
        <w:rPr>
          <w:spacing w:val="-2"/>
        </w:rPr>
        <w:t>一体化的解决方案为特色，一方面为这些细分行业增加竞争砝码，另一方面信息安全行业提供更为强大的技术支撑，逐步向</w:t>
      </w:r>
      <w:r>
        <w:rPr>
          <w:spacing w:val="-66"/>
        </w:rPr>
        <w:t> </w:t>
      </w:r>
      <w:r>
        <w:rPr>
          <w:spacing w:val="-66"/>
        </w:rPr>
      </w:r>
      <w:r>
        <w:rPr/>
        <w:t>通信设备业和计算机业等软件和信息服务业拓展。</w:t>
      </w:r>
    </w:p>
    <w:p>
      <w:pPr>
        <w:pStyle w:val="BodyText"/>
        <w:spacing w:line="316" w:lineRule="auto" w:before="19"/>
        <w:ind w:left="513" w:right="0"/>
        <w:jc w:val="left"/>
      </w:pPr>
      <w:r>
        <w:rPr>
          <w:rFonts w:ascii="宋体" w:hAnsi="宋体" w:cs="宋体" w:eastAsia="宋体" w:hint="default"/>
        </w:rPr>
        <w:t>D</w:t>
      </w:r>
      <w:r>
        <w:rPr/>
        <w:t>、以客户为中心，以资本为助力，优化产业布局，实现跨越式发展 </w:t>
      </w:r>
      <w:r>
        <w:rPr>
          <w:spacing w:val="-2"/>
        </w:rPr>
        <w:t>公司将持续完善以客户为中心的经营管理战略，顺应信息安全行业的发展趋势，在北京设立全资子公司，承担大行业解</w:t>
      </w:r>
    </w:p>
    <w:p>
      <w:pPr>
        <w:pStyle w:val="BodyText"/>
        <w:spacing w:line="319" w:lineRule="auto" w:before="19"/>
        <w:ind w:right="1033"/>
        <w:jc w:val="left"/>
      </w:pPr>
      <w:r>
        <w:rPr>
          <w:spacing w:val="-2"/>
        </w:rPr>
        <w:t>决方案策划、针对大行业的应用性研发、渠道销售等职能并发挥服务平台作用，充分发挥北京地区大行业用户集中、信息安</w:t>
      </w:r>
      <w:r>
        <w:rPr>
          <w:spacing w:val="-66"/>
        </w:rPr>
        <w:t> </w:t>
      </w:r>
      <w:r>
        <w:rPr>
          <w:spacing w:val="-66"/>
        </w:rPr>
      </w:r>
      <w:r>
        <w:rPr/>
        <w:t>全产业聚集和高端人才资源丰富等优势，加强行业深度互动，提升产品和服务，并借助资本的力量，优化现有的产业布局。 </w:t>
      </w:r>
      <w:r>
        <w:rPr>
          <w:spacing w:val="-2"/>
        </w:rPr>
        <w:t>形成信息安全产品、安全信息系统、信息安全服务和测评、安全系统集成、系统运维五大业务体系，覆盖产品、集成和服务</w:t>
      </w:r>
      <w:r>
        <w:rPr>
          <w:spacing w:val="-68"/>
        </w:rPr>
        <w:t> </w:t>
      </w:r>
      <w:r>
        <w:rPr>
          <w:spacing w:val="-68"/>
        </w:rPr>
      </w:r>
      <w:r>
        <w:rPr/>
        <w:t>三大业务范畴，实现跨越式发展。</w:t>
      </w:r>
    </w:p>
    <w:p>
      <w:pPr>
        <w:pStyle w:val="BodyText"/>
        <w:spacing w:line="316" w:lineRule="auto" w:before="17"/>
        <w:ind w:left="514" w:right="0"/>
        <w:jc w:val="left"/>
      </w:pPr>
      <w:r>
        <w:rPr>
          <w:rFonts w:ascii="宋体" w:hAnsi="宋体" w:cs="宋体" w:eastAsia="宋体" w:hint="default"/>
        </w:rPr>
        <w:t>2</w:t>
      </w:r>
      <w:r>
        <w:rPr/>
        <w:t>、公司经营计划 </w:t>
      </w:r>
      <w:r>
        <w:rPr>
          <w:spacing w:val="-2"/>
        </w:rPr>
        <w:t>根据</w:t>
      </w:r>
      <w:r>
        <w:rPr>
          <w:rFonts w:ascii="宋体" w:hAnsi="宋体" w:cs="宋体" w:eastAsia="宋体" w:hint="default"/>
          <w:spacing w:val="-2"/>
        </w:rPr>
        <w:t>2015</w:t>
      </w:r>
      <w:r>
        <w:rPr>
          <w:spacing w:val="-2"/>
        </w:rPr>
        <w:t>年公司发展需要，通过重组公司间的业务深度融合，提升内部管理效率，以期继续保持在传统重点行业领域的</w:t>
      </w:r>
    </w:p>
    <w:p>
      <w:pPr>
        <w:pStyle w:val="BodyText"/>
        <w:spacing w:line="240" w:lineRule="auto" w:before="19"/>
        <w:ind w:right="0"/>
        <w:jc w:val="left"/>
      </w:pPr>
      <w:r>
        <w:rPr/>
        <w:t>优势地位；通过不断创新的自主安全技术、产品、方案及服务，重塑公司的业务体系与营销体系，集中加强行业营销的顶层</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策划，延伸产品线，持续拓展新的市场与业务领域。公司通过制定企业发展的“十三五”规划、梳理内部控制制度、加强党</w:t>
      </w:r>
      <w:r>
        <w:rPr>
          <w:spacing w:val="-71"/>
        </w:rPr>
        <w:t> </w:t>
      </w:r>
      <w:r>
        <w:rPr>
          <w:spacing w:val="-71"/>
        </w:rPr>
      </w:r>
      <w:r>
        <w:rPr/>
        <w:t>建和企业文化建设等一系列举措，为公司健康稳定发展提供保障。</w:t>
      </w:r>
    </w:p>
    <w:p>
      <w:pPr>
        <w:pStyle w:val="BodyText"/>
        <w:spacing w:line="319" w:lineRule="auto" w:before="19"/>
        <w:ind w:left="513" w:right="0"/>
        <w:jc w:val="left"/>
      </w:pPr>
      <w:r>
        <w:rPr/>
        <w:t>公司</w:t>
      </w:r>
      <w:r>
        <w:rPr>
          <w:rFonts w:ascii="宋体" w:hAnsi="宋体" w:cs="宋体" w:eastAsia="宋体" w:hint="default"/>
        </w:rPr>
        <w:t>2015</w:t>
      </w:r>
      <w:r>
        <w:rPr/>
        <w:t>年力争完成收入比上年增长</w:t>
      </w:r>
      <w:r>
        <w:rPr>
          <w:rFonts w:ascii="宋体" w:hAnsi="宋体" w:cs="宋体" w:eastAsia="宋体" w:hint="default"/>
        </w:rPr>
        <w:t>30%</w:t>
      </w:r>
      <w:r>
        <w:rPr/>
        <w:t>以上，为此，公司将着重做好以下经营工作： </w:t>
      </w:r>
      <w:r>
        <w:rPr>
          <w:rFonts w:ascii="宋体" w:hAnsi="宋体" w:cs="宋体" w:eastAsia="宋体" w:hint="default"/>
        </w:rPr>
        <w:t>a.</w:t>
      </w:r>
      <w:r>
        <w:rPr/>
        <w:t>持续巩固并扩大在传统重点行业领域优势地位 </w:t>
      </w:r>
      <w:r>
        <w:rPr>
          <w:rFonts w:ascii="宋体" w:hAnsi="宋体" w:cs="宋体" w:eastAsia="宋体" w:hint="default"/>
          <w:spacing w:val="-2"/>
        </w:rPr>
        <w:t>2015</w:t>
      </w:r>
      <w:r>
        <w:rPr>
          <w:spacing w:val="-2"/>
        </w:rPr>
        <w:t>年，公司将在北京设立全资子公司，强化北京营销总部的作用，重塑公司的业务体系与营销体系，实现全国一盘棋</w:t>
      </w:r>
    </w:p>
    <w:p>
      <w:pPr>
        <w:pStyle w:val="BodyText"/>
        <w:spacing w:line="316" w:lineRule="auto" w:before="17"/>
        <w:ind w:left="513" w:right="0" w:hanging="360"/>
        <w:jc w:val="left"/>
      </w:pPr>
      <w:r>
        <w:rPr/>
        <w:t>的营销管理模式，健全全国营销服务平台，加强对营销与服务的支持力度，实现精细化营销与服务。 </w:t>
      </w:r>
      <w:r>
        <w:rPr>
          <w:spacing w:val="-2"/>
        </w:rPr>
        <w:t>同时，公司将集中加强行业营销的顶层策划，通过深入分析国家政策动向，积极谋求国家政策支持，积极参与商用密码</w:t>
      </w:r>
    </w:p>
    <w:p>
      <w:pPr>
        <w:pStyle w:val="BodyText"/>
        <w:spacing w:line="316" w:lineRule="auto" w:before="19"/>
        <w:ind w:left="514" w:right="1122" w:hanging="360"/>
        <w:jc w:val="left"/>
      </w:pPr>
      <w:r>
        <w:rPr/>
        <w:t>等信息安全领域顶层方案策划和标准制定，获取先发优势。 公司将深化传统重点优势行业中的市场与业务，融合资产重组后总公司与各分</w:t>
      </w:r>
      <w:r>
        <w:rPr>
          <w:rFonts w:ascii="宋体" w:hAnsi="宋体" w:cs="宋体" w:eastAsia="宋体" w:hint="default"/>
        </w:rPr>
        <w:t>/</w:t>
      </w:r>
      <w:r>
        <w:rPr/>
        <w:t>子公司的业务特点，明确新形势下信息</w:t>
      </w:r>
    </w:p>
    <w:p>
      <w:pPr>
        <w:pStyle w:val="BodyText"/>
        <w:spacing w:line="316" w:lineRule="auto" w:before="19"/>
        <w:ind w:left="514" w:right="1118" w:hanging="360"/>
        <w:jc w:val="left"/>
      </w:pPr>
      <w:r>
        <w:rPr/>
        <w:t>安全市场的目标。 </w:t>
      </w:r>
      <w:r>
        <w:rPr>
          <w:spacing w:val="-2"/>
        </w:rPr>
        <w:t>在电子政务领域，大力推进自主可控的网络体系以及信息安全保障体系建设；在金融领域，建立以国产密码为主要支撑</w:t>
      </w:r>
    </w:p>
    <w:p>
      <w:pPr>
        <w:pStyle w:val="BodyText"/>
        <w:spacing w:line="316" w:lineRule="auto" w:before="19"/>
        <w:ind w:left="154" w:right="0"/>
        <w:jc w:val="left"/>
      </w:pPr>
      <w:r>
        <w:rPr>
          <w:spacing w:val="-2"/>
        </w:rPr>
        <w:t>的金融信息安全保障体系，实现金融领域信息安全核心产品国产化及系统自主可控；在移动通信安全领域，力争在安全手机</w:t>
      </w:r>
      <w:r>
        <w:rPr>
          <w:spacing w:val="-66"/>
        </w:rPr>
        <w:t> </w:t>
      </w:r>
      <w:r>
        <w:rPr>
          <w:spacing w:val="-66"/>
        </w:rPr>
      </w:r>
      <w:r>
        <w:rPr/>
        <w:t>和安全移动办公解决方案占领先机。</w:t>
      </w:r>
    </w:p>
    <w:p>
      <w:pPr>
        <w:pStyle w:val="BodyText"/>
        <w:spacing w:line="316" w:lineRule="auto" w:before="19"/>
        <w:ind w:left="514" w:right="1032"/>
        <w:jc w:val="left"/>
      </w:pPr>
      <w:r>
        <w:rPr>
          <w:rFonts w:ascii="宋体" w:hAnsi="宋体" w:cs="宋体" w:eastAsia="宋体" w:hint="default"/>
        </w:rPr>
        <w:t>b.</w:t>
      </w:r>
      <w:r>
        <w:rPr/>
        <w:t>保持高比例研发投入，不断完善现有产品并保持科研的持续创新，以此拓展新的市场与业务领域 通过保持高比例的研发投入，以国家政策为导向，以功能完善、通用化为目标，重点完成国密算法金融领域落地项目、</w:t>
      </w:r>
    </w:p>
    <w:p>
      <w:pPr>
        <w:pStyle w:val="BodyText"/>
        <w:spacing w:line="316" w:lineRule="auto" w:before="19"/>
        <w:ind w:left="154" w:right="0"/>
        <w:jc w:val="left"/>
      </w:pPr>
      <w:r>
        <w:rPr/>
        <w:t>政务应用国产化项目、高性能低功耗</w:t>
      </w:r>
      <w:r>
        <w:rPr>
          <w:rFonts w:ascii="宋体" w:hAnsi="宋体" w:cs="宋体" w:eastAsia="宋体" w:hint="default"/>
        </w:rPr>
        <w:t>SoC</w:t>
      </w:r>
      <w:r>
        <w:rPr/>
        <w:t>芯片项目、安全邮件系统与安全即时通信系统市场推广应用项目、南方电网电力安</w:t>
      </w:r>
      <w:r>
        <w:rPr>
          <w:spacing w:val="-82"/>
        </w:rPr>
        <w:t> </w:t>
      </w:r>
      <w:r>
        <w:rPr>
          <w:spacing w:val="-82"/>
        </w:rPr>
      </w:r>
      <w:r>
        <w:rPr>
          <w:spacing w:val="-4"/>
        </w:rPr>
        <w:t>全防护加密系统市场推广应用项目、安全可靠适配产品、等分保领域系统等所涉及的安全产品功能完善和适应性改造等工作。</w:t>
      </w:r>
    </w:p>
    <w:p>
      <w:pPr>
        <w:pStyle w:val="BodyText"/>
        <w:spacing w:line="316" w:lineRule="auto" w:before="19"/>
        <w:ind w:left="154" w:right="1129" w:firstLine="360"/>
        <w:jc w:val="both"/>
      </w:pPr>
      <w:r>
        <w:rPr>
          <w:spacing w:val="-2"/>
        </w:rPr>
        <w:t>以市场需求引导企业技术研发与创新，采用</w:t>
      </w:r>
      <w:r>
        <w:rPr>
          <w:rFonts w:ascii="宋体" w:hAnsi="宋体" w:cs="宋体" w:eastAsia="宋体" w:hint="default"/>
          <w:spacing w:val="-2"/>
        </w:rPr>
        <w:t>OEM</w:t>
      </w:r>
      <w:r>
        <w:rPr>
          <w:spacing w:val="-2"/>
        </w:rPr>
        <w:t>、</w:t>
      </w:r>
      <w:r>
        <w:rPr>
          <w:rFonts w:ascii="宋体" w:hAnsi="宋体" w:cs="宋体" w:eastAsia="宋体" w:hint="default"/>
          <w:spacing w:val="-2"/>
        </w:rPr>
        <w:t>ODM</w:t>
      </w:r>
      <w:r>
        <w:rPr>
          <w:spacing w:val="-2"/>
        </w:rPr>
        <w:t>、合作开发、自行研制等方式，围绕国产高可信计算机、路由交换</w:t>
      </w:r>
      <w:r>
        <w:rPr/>
        <w:t> </w:t>
      </w:r>
      <w:r>
        <w:rPr>
          <w:spacing w:val="-2"/>
        </w:rPr>
        <w:t>综合安全防护、移动办公综合安全防护、工业控制系统综合安全防护、面向大数据的高性能密码服务、物联网无线传感器网</w:t>
      </w:r>
      <w:r>
        <w:rPr>
          <w:spacing w:val="-66"/>
        </w:rPr>
        <w:t> </w:t>
      </w:r>
      <w:r>
        <w:rPr>
          <w:spacing w:val="-66"/>
        </w:rPr>
      </w:r>
      <w:r>
        <w:rPr>
          <w:spacing w:val="-2"/>
        </w:rPr>
        <w:t>络节点安全、安全虚拟运营商建设等方向进行研究和突破。加大新的技术、产品与服务的研发力度，分别启动多款产品与服</w:t>
      </w:r>
      <w:r>
        <w:rPr>
          <w:spacing w:val="-66"/>
        </w:rPr>
        <w:t> </w:t>
      </w:r>
      <w:r>
        <w:rPr>
          <w:spacing w:val="-66"/>
        </w:rPr>
      </w:r>
      <w:r>
        <w:rPr>
          <w:spacing w:val="-2"/>
        </w:rPr>
        <w:t>务的市场销售、项目研发工作，并形成产业化，引领信息安全发展方向。满足国内信息安全市场在大数据分析持续升温、移</w:t>
      </w:r>
      <w:r>
        <w:rPr>
          <w:spacing w:val="-66"/>
        </w:rPr>
        <w:t> </w:t>
      </w:r>
      <w:r>
        <w:rPr>
          <w:spacing w:val="-66"/>
        </w:rPr>
      </w:r>
      <w:r>
        <w:rPr>
          <w:spacing w:val="-2"/>
        </w:rPr>
        <w:t>动设备盛行、云计算、物联网、移动互联网等新技术、新应用和新模式的不断升级的大背景下所产生新的需求。在上述领域</w:t>
      </w:r>
      <w:r>
        <w:rPr>
          <w:spacing w:val="-66"/>
        </w:rPr>
        <w:t> </w:t>
      </w:r>
      <w:r>
        <w:rPr>
          <w:spacing w:val="-66"/>
        </w:rPr>
      </w:r>
      <w:r>
        <w:rPr/>
        <w:t>打造新的拳头产品与服务，拓展新的市场与业务领域，形成新的竞争优势。</w:t>
      </w:r>
    </w:p>
    <w:p>
      <w:pPr>
        <w:pStyle w:val="BodyText"/>
        <w:spacing w:line="316" w:lineRule="auto" w:before="19"/>
        <w:ind w:left="513" w:right="0"/>
        <w:jc w:val="left"/>
      </w:pPr>
      <w:r>
        <w:rPr>
          <w:rFonts w:ascii="宋体" w:hAnsi="宋体" w:cs="宋体" w:eastAsia="宋体" w:hint="default"/>
        </w:rPr>
        <w:t>c. </w:t>
      </w:r>
      <w:r>
        <w:rPr/>
        <w:t>加强新业务和新市场开拓力度 </w:t>
      </w:r>
      <w:r>
        <w:rPr>
          <w:spacing w:val="-2"/>
        </w:rPr>
        <w:t>成立新业务部，探索数据中心、安全运营等新业务市场，推进安全邮件运营服务项目正式上线，实现</w:t>
      </w:r>
      <w:r>
        <w:rPr>
          <w:rFonts w:ascii="宋体" w:hAnsi="宋体" w:cs="宋体" w:eastAsia="宋体" w:hint="default"/>
          <w:spacing w:val="-2"/>
        </w:rPr>
        <w:t>10</w:t>
      </w:r>
      <w:r>
        <w:rPr>
          <w:spacing w:val="-2"/>
        </w:rPr>
        <w:t>万用户积累；组</w:t>
      </w:r>
    </w:p>
    <w:p>
      <w:pPr>
        <w:pStyle w:val="BodyText"/>
        <w:spacing w:line="316" w:lineRule="auto" w:before="19"/>
        <w:ind w:right="1118"/>
        <w:jc w:val="left"/>
      </w:pPr>
      <w:r>
        <w:rPr>
          <w:spacing w:val="-2"/>
        </w:rPr>
        <w:t>建移动互联事业部，借助移动运营商的力量，形成规模销售；研究移动办公、云计算、智慧城市、物联网等新业务，快速抢</w:t>
      </w:r>
      <w:r>
        <w:rPr>
          <w:spacing w:val="-72"/>
        </w:rPr>
        <w:t> </w:t>
      </w:r>
      <w:r>
        <w:rPr>
          <w:spacing w:val="-72"/>
        </w:rPr>
      </w:r>
      <w:r>
        <w:rPr/>
        <w:t>占新市场。</w:t>
      </w:r>
    </w:p>
    <w:p>
      <w:pPr>
        <w:pStyle w:val="BodyText"/>
        <w:spacing w:line="316" w:lineRule="auto" w:before="19"/>
        <w:ind w:left="513" w:right="2473"/>
        <w:jc w:val="left"/>
      </w:pPr>
      <w:r>
        <w:rPr/>
        <w:t>加快保密手机市场推广，</w:t>
      </w:r>
      <w:r>
        <w:rPr>
          <w:rFonts w:ascii="宋体" w:hAnsi="宋体" w:cs="宋体" w:eastAsia="宋体" w:hint="default"/>
        </w:rPr>
        <w:t>2015</w:t>
      </w:r>
      <w:r>
        <w:rPr/>
        <w:t>年度实现销售收入亿元以上，有力支撑公司产值规模再上一个新台阶。 积极落实国家重大专项和试点工程。</w:t>
      </w:r>
    </w:p>
    <w:p>
      <w:pPr>
        <w:pStyle w:val="BodyText"/>
        <w:spacing w:line="316" w:lineRule="auto" w:before="19"/>
        <w:ind w:left="514" w:right="0"/>
        <w:jc w:val="left"/>
      </w:pPr>
      <w:r>
        <w:rPr>
          <w:rFonts w:ascii="宋体" w:hAnsi="宋体" w:cs="宋体" w:eastAsia="宋体" w:hint="default"/>
        </w:rPr>
        <w:t>d.</w:t>
      </w:r>
      <w:r>
        <w:rPr/>
        <w:t>加强与重组公司间的业务与管理融合，提升企业内部管理效率 </w:t>
      </w:r>
      <w:r>
        <w:rPr>
          <w:spacing w:val="-2"/>
        </w:rPr>
        <w:t>全面推进总公司和重组公司间的管理融合与业务融合，加强重组后人力资源的优化，与各子公司进行对接，完善总公司</w:t>
      </w:r>
    </w:p>
    <w:p>
      <w:pPr>
        <w:pStyle w:val="BodyText"/>
        <w:spacing w:line="316" w:lineRule="auto" w:before="19"/>
        <w:ind w:left="513" w:right="0" w:hanging="360"/>
        <w:jc w:val="left"/>
      </w:pPr>
      <w:r>
        <w:rPr/>
        <w:t>和各子公司间的内部人员流动机制，激活人员潜力，持续提升人才素质以及高层次、专业化人才占比。 </w:t>
      </w:r>
      <w:r>
        <w:rPr>
          <w:spacing w:val="-2"/>
        </w:rPr>
        <w:t>进一步完善公司内控管理制度，在内部管理上向创新体系的完善与细化方面倾斜。通过健全创新体系和激励机制，不断</w:t>
      </w:r>
    </w:p>
    <w:p>
      <w:pPr>
        <w:pStyle w:val="BodyText"/>
        <w:spacing w:line="316" w:lineRule="auto" w:before="19"/>
        <w:ind w:left="513" w:right="0" w:hanging="360"/>
        <w:jc w:val="left"/>
      </w:pPr>
      <w:r>
        <w:rPr/>
        <w:t>提高由科技创新和业务创新带来的收入在主营业务收入中的占比。 </w:t>
      </w:r>
      <w:r>
        <w:rPr>
          <w:rFonts w:ascii="宋体" w:hAnsi="宋体" w:cs="宋体" w:eastAsia="宋体" w:hint="default"/>
        </w:rPr>
        <w:t>e.</w:t>
      </w:r>
      <w:r>
        <w:rPr/>
        <w:t>完成“十三五”规划的制定，为公司在“十三五”期间的发展提供指引。 </w:t>
      </w:r>
      <w:r>
        <w:rPr>
          <w:spacing w:val="-2"/>
        </w:rPr>
        <w:t>在公司经营班子的领导下，由公司战略规划小组牵头，深入分析信息安全产业及信息技术产业发展趋势，广泛征求客户</w:t>
      </w:r>
    </w:p>
    <w:p>
      <w:pPr>
        <w:pStyle w:val="BodyText"/>
        <w:spacing w:line="316" w:lineRule="auto" w:before="19"/>
        <w:ind w:right="0"/>
        <w:jc w:val="left"/>
      </w:pPr>
      <w:r>
        <w:rPr>
          <w:spacing w:val="-2"/>
        </w:rPr>
        <w:t>和业界专家意见，通过深入的分析和论证，从业务规划和职能规划两个方面出发，制定了完整的企业战略和保障措施。通过</w:t>
      </w:r>
      <w:r>
        <w:rPr>
          <w:spacing w:val="-66"/>
        </w:rPr>
        <w:t> </w:t>
      </w:r>
      <w:r>
        <w:rPr>
          <w:spacing w:val="-66"/>
        </w:rPr>
      </w:r>
      <w:r>
        <w:rPr/>
        <w:t>制定“十三五”发展规划，践行创新精神、整合优质资源，增强核心竞争优势，为公司持续健康发展提供指引。</w:t>
      </w:r>
    </w:p>
    <w:p>
      <w:pPr>
        <w:pStyle w:val="BodyText"/>
        <w:spacing w:line="316" w:lineRule="auto" w:before="19"/>
        <w:ind w:left="514" w:right="0"/>
        <w:jc w:val="left"/>
      </w:pPr>
      <w:r>
        <w:rPr>
          <w:rFonts w:ascii="宋体" w:hAnsi="宋体" w:cs="宋体" w:eastAsia="宋体" w:hint="default"/>
        </w:rPr>
        <w:t>f.</w:t>
      </w:r>
      <w:r>
        <w:rPr/>
        <w:t>持续管控体系和流程的再优化 </w:t>
      </w:r>
      <w:r>
        <w:rPr>
          <w:spacing w:val="-2"/>
        </w:rPr>
        <w:t>实施组织管控体系的改革与流程的进一步优化，建立适应新战略、新机遇，具有包容性和开放性的管理架构。根据业务</w:t>
      </w:r>
    </w:p>
    <w:p>
      <w:pPr>
        <w:pStyle w:val="BodyText"/>
        <w:spacing w:line="316" w:lineRule="auto" w:before="19"/>
        <w:ind w:left="514" w:right="6072" w:hanging="360"/>
        <w:jc w:val="left"/>
      </w:pPr>
      <w:r>
        <w:rPr/>
        <w:t>发展需求，启动新一轮的管理设计，打破原有的流程瓶颈。 </w:t>
      </w:r>
      <w:r>
        <w:rPr>
          <w:rFonts w:ascii="宋体" w:hAnsi="宋体" w:cs="宋体" w:eastAsia="宋体" w:hint="default"/>
        </w:rPr>
        <w:t>g.</w:t>
      </w:r>
      <w:r>
        <w:rPr/>
        <w:t>强化党建和企业文化建设</w:t>
      </w:r>
    </w:p>
    <w:p>
      <w:pPr>
        <w:pStyle w:val="BodyText"/>
        <w:spacing w:line="316" w:lineRule="auto" w:before="19"/>
        <w:ind w:left="154" w:right="1133" w:firstLine="360"/>
        <w:jc w:val="both"/>
      </w:pPr>
      <w:r>
        <w:rPr>
          <w:spacing w:val="-2"/>
        </w:rPr>
        <w:t>进一步强化公司的党工团建设和企业文化建设，以党建带工建、带团建，合力推动群团建设，切实做好思想教育，推进</w:t>
      </w:r>
      <w:r>
        <w:rPr/>
        <w:t> </w:t>
      </w:r>
      <w:r>
        <w:rPr>
          <w:spacing w:val="-2"/>
        </w:rPr>
        <w:t>学习型党组织建设，深入推进党风廉政建设和反腐倡廉工作，并充分发挥党工团在企业文化建设中的积极作用，不断增强企</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业文化凝聚力。</w:t>
      </w:r>
    </w:p>
    <w:p>
      <w:pPr>
        <w:pStyle w:val="BodyText"/>
        <w:spacing w:line="316" w:lineRule="auto" w:before="76"/>
        <w:ind w:left="514" w:right="8412"/>
        <w:jc w:val="left"/>
      </w:pPr>
      <w:r>
        <w:rPr/>
        <w:t>（三）、面临的风险因素 </w:t>
      </w:r>
      <w:r>
        <w:rPr>
          <w:rFonts w:ascii="宋体" w:hAnsi="宋体" w:cs="宋体" w:eastAsia="宋体" w:hint="default"/>
        </w:rPr>
        <w:t>a.</w:t>
      </w:r>
      <w:r>
        <w:rPr/>
        <w:t>政策风险</w:t>
      </w:r>
    </w:p>
    <w:p>
      <w:pPr>
        <w:pStyle w:val="BodyText"/>
        <w:spacing w:line="319" w:lineRule="auto" w:before="19"/>
        <w:ind w:right="1130" w:firstLine="360"/>
        <w:jc w:val="both"/>
      </w:pPr>
      <w:r>
        <w:rPr>
          <w:spacing w:val="-2"/>
        </w:rPr>
        <w:t>在安全集成与服务领域，公司用户主要集中于政府、军队、军工、能源、金融等重要行业以及大中型企业，并逐步向新</w:t>
      </w:r>
      <w:r>
        <w:rPr/>
        <w:t> </w:t>
      </w:r>
      <w:r>
        <w:rPr>
          <w:spacing w:val="-2"/>
        </w:rPr>
        <w:t>兴行业、中小企业、家庭及个人用户拓展。作为能够向用户提供信息系统全生命周期安全保障与全过程服务，具有综合实力</w:t>
      </w:r>
      <w:r>
        <w:rPr>
          <w:spacing w:val="-66"/>
        </w:rPr>
        <w:t> </w:t>
      </w:r>
      <w:r>
        <w:rPr>
          <w:spacing w:val="-66"/>
        </w:rPr>
      </w:r>
      <w:r>
        <w:rPr/>
        <w:t>的集成商，公司在该领域具备一定优势，但不排除国家政策、厂商政策变化可能会对公司经营业绩带来一定的影响。</w:t>
      </w:r>
    </w:p>
    <w:p>
      <w:pPr>
        <w:pStyle w:val="BodyText"/>
        <w:spacing w:line="316" w:lineRule="auto" w:before="17"/>
        <w:ind w:right="1132" w:firstLine="360"/>
        <w:jc w:val="both"/>
      </w:pPr>
      <w:r>
        <w:rPr>
          <w:spacing w:val="-2"/>
        </w:rPr>
        <w:t>在传统的密码等优势领域，国家将逐步向国外厂商开放包括商用密码在内的一些以前处于专控状态的行业和领域，使的</w:t>
      </w:r>
      <w:r>
        <w:rPr/>
        <w:t> 包括公司面临竞争压力加剧的风险。</w:t>
      </w:r>
    </w:p>
    <w:p>
      <w:pPr>
        <w:pStyle w:val="BodyText"/>
        <w:spacing w:line="316" w:lineRule="auto" w:before="19"/>
        <w:ind w:left="513" w:right="0"/>
        <w:jc w:val="left"/>
        <w:rPr>
          <w:rFonts w:ascii="宋体" w:hAnsi="宋体" w:cs="宋体" w:eastAsia="宋体" w:hint="default"/>
        </w:rPr>
      </w:pPr>
      <w:r>
        <w:rPr>
          <w:rFonts w:ascii="宋体" w:hAnsi="宋体" w:cs="宋体" w:eastAsia="宋体" w:hint="default"/>
        </w:rPr>
        <w:t>b.</w:t>
      </w:r>
      <w:r>
        <w:rPr/>
        <w:t>市场竞争风险 在国内信息安全市场中，市场总量短期内难有快速的增长。除业内竞争者众多外，诸多非传统安全厂商由于安全与</w:t>
      </w:r>
      <w:r>
        <w:rPr>
          <w:rFonts w:ascii="宋体" w:hAnsi="宋体" w:cs="宋体" w:eastAsia="宋体" w:hint="default"/>
        </w:rPr>
        <w:t>IT</w:t>
      </w:r>
    </w:p>
    <w:p>
      <w:pPr>
        <w:pStyle w:val="BodyText"/>
        <w:spacing w:line="316" w:lineRule="auto" w:before="19"/>
        <w:ind w:right="0"/>
        <w:jc w:val="left"/>
      </w:pPr>
      <w:r>
        <w:rPr>
          <w:spacing w:val="-2"/>
        </w:rPr>
        <w:t>融合的趋势，也纷纷进入这个市场，凭借深厚的信息技术基础将信息安全技术整合到其产品中，在应用的层面对专业信息安</w:t>
      </w:r>
      <w:r>
        <w:rPr>
          <w:spacing w:val="-65"/>
        </w:rPr>
        <w:t> </w:t>
      </w:r>
      <w:r>
        <w:rPr>
          <w:spacing w:val="-65"/>
        </w:rPr>
      </w:r>
      <w:r>
        <w:rPr/>
        <w:t>全企业形成竞争优势。公司的规模化突破将面临市场竞争加剧及不确定性增加的风险。</w:t>
      </w:r>
    </w:p>
    <w:p>
      <w:pPr>
        <w:pStyle w:val="BodyText"/>
        <w:spacing w:line="316" w:lineRule="auto" w:before="19"/>
        <w:ind w:left="513" w:right="1118" w:firstLine="90"/>
        <w:jc w:val="left"/>
      </w:pPr>
      <w:r>
        <w:rPr>
          <w:rFonts w:ascii="宋体" w:hAnsi="宋体" w:cs="宋体" w:eastAsia="宋体" w:hint="default"/>
        </w:rPr>
        <w:t>c.</w:t>
      </w:r>
      <w:r>
        <w:rPr/>
        <w:t>技术风险 </w:t>
      </w:r>
      <w:r>
        <w:rPr>
          <w:spacing w:val="-2"/>
        </w:rPr>
        <w:t>虽然公司目前具有核心技术优势，但信息安全市场、需求和应用环境的快速变化以及公司规模化扩张对公司保持持续的</w:t>
      </w:r>
    </w:p>
    <w:p>
      <w:pPr>
        <w:pStyle w:val="BodyText"/>
        <w:spacing w:line="316" w:lineRule="auto" w:before="19"/>
        <w:ind w:right="0"/>
        <w:jc w:val="left"/>
      </w:pPr>
      <w:r>
        <w:rPr>
          <w:spacing w:val="-2"/>
        </w:rPr>
        <w:t>技术领先提出了更高的要求，如何在研发模式、研发管理方面保持有效创新，如何保证产品快速满足市场，合理平衡标准化</w:t>
      </w:r>
      <w:r>
        <w:rPr>
          <w:spacing w:val="-66"/>
        </w:rPr>
        <w:t> </w:t>
      </w:r>
      <w:r>
        <w:rPr>
          <w:spacing w:val="-66"/>
        </w:rPr>
      </w:r>
      <w:r>
        <w:rPr/>
        <w:t>和定制化的矛盾，如何保持核心技术人员的稳定，均给公司带来较大的压力。</w:t>
      </w:r>
    </w:p>
    <w:p>
      <w:pPr>
        <w:pStyle w:val="BodyText"/>
        <w:spacing w:line="316" w:lineRule="auto" w:before="19"/>
        <w:ind w:left="513" w:right="1033"/>
        <w:jc w:val="left"/>
      </w:pPr>
      <w:r>
        <w:rPr>
          <w:rFonts w:ascii="宋体" w:hAnsi="宋体" w:cs="宋体" w:eastAsia="宋体" w:hint="default"/>
        </w:rPr>
        <w:t>d.</w:t>
      </w:r>
      <w:r>
        <w:rPr/>
        <w:t>财务风险 </w:t>
      </w:r>
      <w:r>
        <w:rPr>
          <w:spacing w:val="-4"/>
        </w:rPr>
        <w:t>目前公司客户以政府部门、金融企业与军工等大型企业集团为主，应收账款总体质量较好，但随着公司销售规模的扩大，</w:t>
      </w:r>
    </w:p>
    <w:p>
      <w:pPr>
        <w:pStyle w:val="BodyText"/>
        <w:spacing w:line="316" w:lineRule="auto" w:before="19"/>
        <w:ind w:right="0"/>
        <w:jc w:val="left"/>
      </w:pPr>
      <w:r>
        <w:rPr>
          <w:spacing w:val="-2"/>
        </w:rPr>
        <w:t>中小企业和家庭甚至个人用户的增加，应收账款管理的难度加大，应收账款发生坏账的风险加大。可能为公司的经营带来一</w:t>
      </w:r>
      <w:r>
        <w:rPr>
          <w:spacing w:val="-66"/>
        </w:rPr>
        <w:t> </w:t>
      </w:r>
      <w:r>
        <w:rPr>
          <w:spacing w:val="-66"/>
        </w:rPr>
      </w:r>
      <w:r>
        <w:rPr/>
        <w:t>定的风险因素。</w:t>
      </w:r>
    </w:p>
    <w:p>
      <w:pPr>
        <w:pStyle w:val="BodyText"/>
        <w:spacing w:line="316" w:lineRule="auto" w:before="19"/>
        <w:ind w:left="513" w:right="1118"/>
        <w:jc w:val="left"/>
      </w:pPr>
      <w:r>
        <w:rPr>
          <w:rFonts w:ascii="宋体" w:hAnsi="宋体" w:cs="宋体" w:eastAsia="宋体" w:hint="default"/>
        </w:rPr>
        <w:t>e.</w:t>
      </w:r>
      <w:r>
        <w:rPr/>
        <w:t>管理风险 </w:t>
      </w:r>
      <w:r>
        <w:rPr>
          <w:spacing w:val="-2"/>
        </w:rPr>
        <w:t>公司的业务领域不断拓展、经营规模持续增长，尽管公司已建立规范的经营管理体系，生产经营良好，但随着公司重组</w:t>
      </w:r>
    </w:p>
    <w:p>
      <w:pPr>
        <w:pStyle w:val="BodyText"/>
        <w:spacing w:line="316" w:lineRule="auto" w:before="19"/>
        <w:ind w:right="1133"/>
        <w:jc w:val="both"/>
      </w:pPr>
      <w:r>
        <w:rPr>
          <w:spacing w:val="-2"/>
        </w:rPr>
        <w:t>之后业务、资产、人员规模的不断扩大以及业务模式逐渐复杂，技术创新、管理优化的要求更高更快，对经营效率的要求进</w:t>
      </w:r>
      <w:r>
        <w:rPr>
          <w:spacing w:val="-66"/>
        </w:rPr>
        <w:t> </w:t>
      </w:r>
      <w:r>
        <w:rPr>
          <w:spacing w:val="-66"/>
        </w:rPr>
      </w:r>
      <w:r>
        <w:rPr>
          <w:spacing w:val="-2"/>
        </w:rPr>
        <w:t>一步提高，公司经营的决策、实施和风险控制难度将增加。如公司的管理运作体系和人力资源不能满足快速发展对管理运营</w:t>
      </w:r>
      <w:r>
        <w:rPr>
          <w:spacing w:val="-66"/>
        </w:rPr>
        <w:t> </w:t>
      </w:r>
      <w:r>
        <w:rPr>
          <w:spacing w:val="-66"/>
        </w:rPr>
      </w:r>
      <w:r>
        <w:rPr/>
        <w:t>和管理团队的要求，可能对公司的发展带来影响。</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八、与上年度财务报告相比，会计政策、会计估计和核算方法发生变化的情况说明" w:id="41"/>
      <w:bookmarkEnd w:id="41"/>
      <w:r>
        <w:rPr>
          <w:b w:val="0"/>
          <w:bCs w:val="0"/>
        </w:rPr>
      </w:r>
      <w:r>
        <w:rPr/>
        <w:t>八、与上年度财务报告相比，会计政策、会计估计和核算方法发生变化的情况说明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1"/>
        <w:ind w:right="1131" w:firstLine="360"/>
        <w:jc w:val="both"/>
      </w:pPr>
      <w:r>
        <w:rPr>
          <w:spacing w:val="-2"/>
        </w:rPr>
        <w:t>公司根据财政部</w:t>
      </w:r>
      <w:r>
        <w:rPr>
          <w:rFonts w:ascii="宋体" w:hAnsi="宋体" w:cs="宋体" w:eastAsia="宋体" w:hint="default"/>
          <w:spacing w:val="-2"/>
        </w:rPr>
        <w:t>2014</w:t>
      </w:r>
      <w:r>
        <w:rPr>
          <w:spacing w:val="-2"/>
        </w:rPr>
        <w:t>年发布的《企业会计准则第</w:t>
      </w:r>
      <w:r>
        <w:rPr>
          <w:rFonts w:ascii="宋体" w:hAnsi="宋体" w:cs="宋体" w:eastAsia="宋体" w:hint="default"/>
          <w:spacing w:val="-2"/>
        </w:rPr>
        <w:t>2</w:t>
      </w:r>
      <w:r>
        <w:rPr>
          <w:spacing w:val="-2"/>
        </w:rPr>
        <w:t>号</w:t>
      </w:r>
      <w:r>
        <w:rPr>
          <w:rFonts w:ascii="宋体" w:hAnsi="宋体" w:cs="宋体" w:eastAsia="宋体" w:hint="default"/>
          <w:spacing w:val="-2"/>
        </w:rPr>
        <w:t>--</w:t>
      </w:r>
      <w:r>
        <w:rPr>
          <w:spacing w:val="-2"/>
        </w:rPr>
        <w:t>长期股权投资》、《企业会计准则第</w:t>
      </w:r>
      <w:r>
        <w:rPr>
          <w:rFonts w:ascii="宋体" w:hAnsi="宋体" w:cs="宋体" w:eastAsia="宋体" w:hint="default"/>
          <w:spacing w:val="-2"/>
        </w:rPr>
        <w:t>9</w:t>
      </w:r>
      <w:r>
        <w:rPr>
          <w:spacing w:val="-2"/>
        </w:rPr>
        <w:t>号—职工薪酬》等八项会计</w:t>
      </w:r>
      <w:r>
        <w:rPr/>
        <w:t> </w:t>
      </w:r>
      <w:r>
        <w:rPr>
          <w:spacing w:val="-2"/>
        </w:rPr>
        <w:t>准则变更了相关会计政策并对比较财务报表进行了追溯调整，该八项新准则对本公司财务报表的影响如下：长期股权投资中</w:t>
      </w:r>
      <w:r>
        <w:rPr>
          <w:spacing w:val="-64"/>
        </w:rPr>
        <w:t> </w:t>
      </w:r>
      <w:r>
        <w:rPr>
          <w:spacing w:val="-64"/>
        </w:rPr>
      </w:r>
      <w:r>
        <w:rPr>
          <w:spacing w:val="-2"/>
        </w:rPr>
        <w:t>无控制、共同控制、重大影响的部分调整计入可供出售金融资产，金额为原值</w:t>
      </w:r>
      <w:r>
        <w:rPr>
          <w:rFonts w:ascii="宋体" w:hAnsi="宋体" w:cs="宋体" w:eastAsia="宋体" w:hint="default"/>
          <w:spacing w:val="-2"/>
        </w:rPr>
        <w:t>2,800,000.00</w:t>
      </w:r>
      <w:r>
        <w:rPr>
          <w:spacing w:val="-2"/>
        </w:rPr>
        <w:t>元，减值准备</w:t>
      </w:r>
      <w:r>
        <w:rPr>
          <w:rFonts w:ascii="宋体" w:hAnsi="宋体" w:cs="宋体" w:eastAsia="宋体" w:hint="default"/>
          <w:spacing w:val="-2"/>
        </w:rPr>
        <w:t>800,000.00</w:t>
      </w:r>
      <w:r>
        <w:rPr>
          <w:spacing w:val="-2"/>
        </w:rPr>
        <w:t>元，净</w:t>
      </w:r>
      <w:r>
        <w:rPr>
          <w:spacing w:val="-45"/>
        </w:rPr>
        <w:t> </w:t>
      </w:r>
      <w:r>
        <w:rPr>
          <w:spacing w:val="-45"/>
        </w:rPr>
      </w:r>
      <w:r>
        <w:rPr/>
        <w:t>值</w:t>
      </w:r>
      <w:r>
        <w:rPr>
          <w:rFonts w:ascii="宋体" w:hAnsi="宋体" w:cs="宋体" w:eastAsia="宋体" w:hint="default"/>
        </w:rPr>
        <w:t>2,000,000.00</w:t>
      </w:r>
      <w:r>
        <w:rPr/>
        <w:t>元；应付职工薪酬中养老保险、失业保险的发生额和余额列入离职后福利科目中，无长期应付职工薪酬。</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九、与上年度财务报告相比，合并报表范围发生变化的情况说明" w:id="42"/>
      <w:bookmarkEnd w:id="42"/>
      <w:r>
        <w:rPr>
          <w:b w:val="0"/>
          <w:bCs w:val="0"/>
        </w:rPr>
      </w:r>
      <w:r>
        <w:rPr/>
        <w:t>九、与上年度财务报告相比，合并报表范围发生变化的情况说明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2" w:firstLine="420"/>
        <w:jc w:val="both"/>
      </w:pPr>
      <w:r>
        <w:rPr/>
        <w:t>报告期由于发行新股收购原控股股东三十所子公司成都三零盛安信息系统有限公司</w:t>
      </w:r>
      <w:r>
        <w:rPr>
          <w:rFonts w:ascii="Times New Roman" w:hAnsi="Times New Roman" w:cs="Times New Roman" w:eastAsia="Times New Roman" w:hint="default"/>
        </w:rPr>
        <w:t>93.98%</w:t>
      </w:r>
      <w:r>
        <w:rPr/>
        <w:t>股权、成都三零瑞通移动通 信有限公司</w:t>
      </w:r>
      <w:r>
        <w:rPr>
          <w:rFonts w:ascii="Times New Roman" w:hAnsi="Times New Roman" w:cs="Times New Roman" w:eastAsia="Times New Roman" w:hint="default"/>
        </w:rPr>
        <w:t>94.41%</w:t>
      </w:r>
      <w:r>
        <w:rPr/>
        <w:t>股权、成都三零嘉微电子有限公司</w:t>
      </w:r>
      <w:r>
        <w:rPr>
          <w:rFonts w:ascii="Times New Roman" w:hAnsi="Times New Roman" w:cs="Times New Roman" w:eastAsia="Times New Roman" w:hint="default"/>
        </w:rPr>
        <w:t>85.74%</w:t>
      </w:r>
      <w:r>
        <w:rPr/>
        <w:t>股权，形成同一控制下的企业合并，本报告期合并报表范围新</w:t>
      </w:r>
      <w:r>
        <w:rPr>
          <w:spacing w:val="-35"/>
        </w:rPr>
        <w:t> </w:t>
      </w:r>
      <w:r>
        <w:rPr>
          <w:spacing w:val="-35"/>
        </w:rPr>
      </w:r>
      <w:r>
        <w:rPr/>
        <w:t>增该三家；由于放弃对成都摩宝网络科技有限公司的控制权，本报告期不再将其纳入合并范围。</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bookmarkStart w:name="十、公司利润分配及分红派息情况" w:id="43"/>
      <w:bookmarkEnd w:id="43"/>
      <w:r>
        <w:rPr>
          <w:b w:val="0"/>
          <w:bCs w:val="0"/>
        </w:rPr>
      </w:r>
      <w:r>
        <w:rPr/>
        <w:t>十、公司利润分配及分红派息情况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报告期内利润分配政策的制定、执行或调整情况</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1131" w:firstLine="420"/>
        <w:jc w:val="both"/>
      </w:pPr>
      <w:r>
        <w:rPr/>
        <w:t>报告期内，公司实施了</w:t>
      </w:r>
      <w:r>
        <w:rPr>
          <w:rFonts w:ascii="宋体" w:hAnsi="宋体" w:cs="宋体" w:eastAsia="宋体" w:hint="default"/>
        </w:rPr>
        <w:t>2013</w:t>
      </w:r>
      <w:r>
        <w:rPr/>
        <w:t>年度利润分配方案，对利润分配相关政策的执行情况良好。</w:t>
      </w:r>
      <w:r>
        <w:rPr>
          <w:rFonts w:ascii="宋体" w:hAnsi="宋体" w:cs="宋体" w:eastAsia="宋体" w:hint="default"/>
        </w:rPr>
        <w:t>2014</w:t>
      </w:r>
      <w:r>
        <w:rPr/>
        <w:t>年</w:t>
      </w:r>
      <w:r>
        <w:rPr>
          <w:rFonts w:ascii="宋体" w:hAnsi="宋体" w:cs="宋体" w:eastAsia="宋体" w:hint="default"/>
        </w:rPr>
        <w:t>3</w:t>
      </w:r>
      <w:r>
        <w:rPr/>
        <w:t>月</w:t>
      </w:r>
      <w:r>
        <w:rPr>
          <w:rFonts w:ascii="宋体" w:hAnsi="宋体" w:cs="宋体" w:eastAsia="宋体" w:hint="default"/>
        </w:rPr>
        <w:t>3</w:t>
      </w:r>
      <w:r>
        <w:rPr/>
        <w:t>日，公司第五届董 </w:t>
      </w:r>
      <w:r>
        <w:rPr>
          <w:spacing w:val="-2"/>
        </w:rPr>
        <w:t>事会第二十三次会议审议通过了《关于修改公司</w:t>
      </w:r>
      <w:r>
        <w:rPr>
          <w:rFonts w:ascii="宋体" w:hAnsi="宋体" w:cs="宋体" w:eastAsia="宋体" w:hint="default"/>
          <w:spacing w:val="-2"/>
        </w:rPr>
        <w:t>&lt;</w:t>
      </w:r>
      <w:r>
        <w:rPr>
          <w:spacing w:val="-2"/>
        </w:rPr>
        <w:t>章程</w:t>
      </w:r>
      <w:r>
        <w:rPr>
          <w:rFonts w:ascii="宋体" w:hAnsi="宋体" w:cs="宋体" w:eastAsia="宋体" w:hint="default"/>
          <w:spacing w:val="-2"/>
        </w:rPr>
        <w:t>&gt;</w:t>
      </w:r>
      <w:r>
        <w:rPr>
          <w:spacing w:val="-2"/>
        </w:rPr>
        <w:t>的议案》，对公司《章程》中关于利润分配条款进行了修订，进一步</w:t>
      </w:r>
      <w:r>
        <w:rPr>
          <w:spacing w:val="-67"/>
        </w:rPr>
        <w:t> </w:t>
      </w:r>
      <w:r>
        <w:rPr>
          <w:spacing w:val="-67"/>
        </w:rPr>
      </w:r>
      <w:r>
        <w:rPr>
          <w:spacing w:val="-2"/>
        </w:rPr>
        <w:t>完善现金分红政策，重点提出差异化的现金分红政策，明确了公司在不同发展阶段的现金分红标准和分红比例，并由独立董</w:t>
      </w:r>
      <w:r>
        <w:rPr>
          <w:spacing w:val="-66"/>
        </w:rPr>
        <w:t> </w:t>
      </w:r>
      <w:r>
        <w:rPr>
          <w:spacing w:val="-66"/>
        </w:rPr>
      </w:r>
      <w:r>
        <w:rPr>
          <w:spacing w:val="-2"/>
        </w:rPr>
        <w:t>事发表了独立意见，为公司制定更为科学合理的股东回报规划提供了指导，进一步推动公司建立科学、持续、稳定的分红决</w:t>
      </w:r>
      <w:r>
        <w:rPr>
          <w:spacing w:val="-66"/>
        </w:rPr>
        <w:t> </w:t>
      </w:r>
      <w:r>
        <w:rPr>
          <w:spacing w:val="-66"/>
        </w:rPr>
      </w:r>
      <w:r>
        <w:rPr/>
        <w:t>策和监督机制。</w:t>
      </w:r>
    </w:p>
    <w:tbl>
      <w:tblPr>
        <w:tblW w:w="0" w:type="auto"/>
        <w:jc w:val="left"/>
        <w:tblInd w:w="160" w:type="dxa"/>
        <w:tblLayout w:type="fixed"/>
        <w:tblCellMar>
          <w:top w:w="0" w:type="dxa"/>
          <w:left w:w="0" w:type="dxa"/>
          <w:bottom w:w="0" w:type="dxa"/>
          <w:right w:w="0" w:type="dxa"/>
        </w:tblCellMar>
        <w:tblLook w:val="01E0"/>
      </w:tblPr>
      <w:tblGrid>
        <w:gridCol w:w="6782"/>
        <w:gridCol w:w="2775"/>
      </w:tblGrid>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2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9"/>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316" w:lineRule="auto" w:before="101"/>
        <w:ind w:right="1115" w:firstLine="420"/>
        <w:jc w:val="left"/>
      </w:pPr>
      <w:r>
        <w:rPr/>
        <w:t>公司 </w:t>
      </w:r>
      <w:r>
        <w:rPr>
          <w:rFonts w:ascii="宋体" w:hAnsi="宋体" w:cs="宋体" w:eastAsia="宋体" w:hint="default"/>
        </w:rPr>
        <w:t>2014</w:t>
      </w:r>
      <w:r>
        <w:rPr/>
        <w:t>年度利润分配和资本公积金转增股本预案：以</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日总股本</w:t>
      </w:r>
      <w:r>
        <w:rPr>
          <w:spacing w:val="-52"/>
        </w:rPr>
        <w:t> </w:t>
      </w:r>
      <w:r>
        <w:rPr>
          <w:rFonts w:ascii="宋体" w:hAnsi="宋体" w:cs="宋体" w:eastAsia="宋体" w:hint="default"/>
        </w:rPr>
        <w:t>216,261,673</w:t>
      </w:r>
      <w:r>
        <w:rPr/>
        <w:t>为基数，向全体股东每</w:t>
      </w:r>
      <w:r>
        <w:rPr>
          <w:rFonts w:ascii="宋体" w:hAnsi="宋体" w:cs="宋体" w:eastAsia="宋体" w:hint="default"/>
        </w:rPr>
        <w:t>10 </w:t>
      </w:r>
      <w:r>
        <w:rPr/>
        <w:t>股派发现金股利</w:t>
      </w:r>
      <w:r>
        <w:rPr>
          <w:rFonts w:ascii="宋体" w:hAnsi="宋体" w:cs="宋体" w:eastAsia="宋体" w:hint="default"/>
        </w:rPr>
        <w:t>0.3</w:t>
      </w:r>
      <w:r>
        <w:rPr/>
        <w:t>元人民币（含税）；同时，以资本公积金转增股本方式向全体股东每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316" w:lineRule="auto" w:before="19"/>
        <w:ind w:right="1115" w:firstLine="420"/>
        <w:jc w:val="left"/>
      </w:pPr>
      <w:r>
        <w:rPr/>
        <w:t>公司 </w:t>
      </w:r>
      <w:r>
        <w:rPr>
          <w:rFonts w:ascii="宋体" w:hAnsi="宋体" w:cs="宋体" w:eastAsia="宋体" w:hint="default"/>
        </w:rPr>
        <w:t>2013</w:t>
      </w:r>
      <w:r>
        <w:rPr/>
        <w:t>年度利润分配和资本公积金转增股本方案：以</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31</w:t>
      </w:r>
      <w:r>
        <w:rPr/>
        <w:t>日总股本</w:t>
      </w:r>
      <w:r>
        <w:rPr>
          <w:spacing w:val="-52"/>
        </w:rPr>
        <w:t> </w:t>
      </w:r>
      <w:r>
        <w:rPr>
          <w:rFonts w:ascii="宋体" w:hAnsi="宋体" w:cs="宋体" w:eastAsia="宋体" w:hint="default"/>
        </w:rPr>
        <w:t>172,712,065</w:t>
      </w:r>
      <w:r>
        <w:rPr/>
        <w:t>为基数，向全体股东每</w:t>
      </w:r>
      <w:r>
        <w:rPr>
          <w:rFonts w:ascii="宋体" w:hAnsi="宋体" w:cs="宋体" w:eastAsia="宋体" w:hint="default"/>
        </w:rPr>
        <w:t>10 </w:t>
      </w:r>
      <w:r>
        <w:rPr/>
        <w:t>股派发现金红利</w:t>
      </w:r>
      <w:r>
        <w:rPr>
          <w:rFonts w:ascii="宋体" w:hAnsi="宋体" w:cs="宋体" w:eastAsia="宋体" w:hint="default"/>
        </w:rPr>
        <w:t>0.1</w:t>
      </w:r>
      <w:r>
        <w:rPr/>
        <w:t>元（含税）。</w:t>
      </w:r>
    </w:p>
    <w:p>
      <w:pPr>
        <w:pStyle w:val="BodyText"/>
        <w:spacing w:line="316" w:lineRule="auto" w:before="19"/>
        <w:ind w:right="1115" w:firstLine="420"/>
        <w:jc w:val="left"/>
      </w:pPr>
      <w:r>
        <w:rPr/>
        <w:t>公司 </w:t>
      </w:r>
      <w:r>
        <w:rPr>
          <w:rFonts w:ascii="宋体" w:hAnsi="宋体" w:cs="宋体" w:eastAsia="宋体" w:hint="default"/>
        </w:rPr>
        <w:t>2012</w:t>
      </w:r>
      <w:r>
        <w:rPr/>
        <w:t>年度利润分配和资本公积金转增股本方案：以</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日总股本</w:t>
      </w:r>
      <w:r>
        <w:rPr>
          <w:spacing w:val="-52"/>
        </w:rPr>
        <w:t> </w:t>
      </w:r>
      <w:r>
        <w:rPr>
          <w:rFonts w:ascii="宋体" w:hAnsi="宋体" w:cs="宋体" w:eastAsia="宋体" w:hint="default"/>
        </w:rPr>
        <w:t>172,712,065</w:t>
      </w:r>
      <w:r>
        <w:rPr/>
        <w:t>为基数，向全体股东每</w:t>
      </w:r>
      <w:r>
        <w:rPr>
          <w:rFonts w:ascii="宋体" w:hAnsi="宋体" w:cs="宋体" w:eastAsia="宋体" w:hint="default"/>
        </w:rPr>
        <w:t>10 </w:t>
      </w:r>
      <w:r>
        <w:rPr/>
        <w:t>股派发现金红利</w:t>
      </w:r>
      <w:r>
        <w:rPr>
          <w:rFonts w:ascii="宋体" w:hAnsi="宋体" w:cs="宋体" w:eastAsia="宋体" w:hint="default"/>
        </w:rPr>
        <w:t>0.1</w:t>
      </w:r>
      <w:r>
        <w:rPr/>
        <w:t>元（含税）。</w:t>
      </w:r>
    </w:p>
    <w:p>
      <w:pPr>
        <w:pStyle w:val="BodyText"/>
        <w:spacing w:line="240" w:lineRule="auto" w:before="60"/>
        <w:ind w:right="0"/>
        <w:jc w:val="left"/>
      </w:pPr>
      <w:r>
        <w:rPr/>
        <w:t>公司近三年现金分红情况表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2"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6,487,850.20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119,435,881.99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1,727,120.65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73,648,080.09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1,727,120.65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41,418,330.75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公司报告期内盈利且母公司未分配利润为正但未提出现金红利分配预案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本报告期利润分配及资本公积金转增股本预案" w:id="44"/>
      <w:bookmarkEnd w:id="44"/>
      <w:r>
        <w:rPr>
          <w:b w:val="0"/>
          <w:bCs w:val="0"/>
        </w:rPr>
      </w:r>
      <w:r>
        <w:rPr/>
        <w:t>十一、本报告期利润分配及资本公积金转增股本预案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216,261,673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3705"/>
        <w:gridCol w:w="5864"/>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6,487,850.20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158,730,250.10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经中天运会计师事务所有限公司审计，</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年度母公司实现净利润 </w:t>
            </w:r>
            <w:r>
              <w:rPr>
                <w:rFonts w:ascii="Times New Roman" w:hAnsi="Times New Roman" w:cs="Times New Roman" w:eastAsia="Times New Roman" w:hint="default"/>
                <w:sz w:val="18"/>
                <w:szCs w:val="18"/>
              </w:rPr>
              <w:t>20,673,417.54 </w:t>
            </w:r>
            <w:r>
              <w:rPr>
                <w:rFonts w:ascii="宋体" w:hAnsi="宋体" w:cs="宋体" w:eastAsia="宋体" w:hint="default"/>
                <w:sz w:val="18"/>
                <w:szCs w:val="18"/>
              </w:rPr>
              <w:t>元，提取的法定盈余公积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2,067,341.75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元后，加上上年度未分配利润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140,124,174.31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元，本年度可供分配的利润为</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158,730,250.10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元。根据公司实际情况，现就</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年度的利润分配提出如下预案：以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216,261,673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240" w:lineRule="auto" w:before="64"/>
              <w:ind w:left="22" w:right="-5"/>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6,487,8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0.20 </w:t>
            </w:r>
            <w:r>
              <w:rPr>
                <w:rFonts w:ascii="宋体" w:hAnsi="宋体" w:cs="宋体" w:eastAsia="宋体" w:hint="default"/>
                <w:sz w:val="18"/>
                <w:szCs w:val="18"/>
              </w:rPr>
              <w:t>元；同时，以资本公积金转增股本方式向全体股东每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r>
          </w:p>
        </w:tc>
      </w:tr>
    </w:tbl>
    <w:p>
      <w:pPr>
        <w:spacing w:line="240" w:lineRule="auto" w:before="2"/>
        <w:rPr>
          <w:rFonts w:ascii="宋体" w:hAnsi="宋体" w:cs="宋体" w:eastAsia="宋体" w:hint="default"/>
          <w:sz w:val="18"/>
          <w:szCs w:val="18"/>
        </w:rPr>
      </w:pPr>
    </w:p>
    <w:p>
      <w:pPr>
        <w:pStyle w:val="Heading2"/>
        <w:spacing w:line="240" w:lineRule="auto" w:before="26"/>
        <w:ind w:left="394" w:right="7333"/>
        <w:jc w:val="left"/>
        <w:rPr>
          <w:b w:val="0"/>
          <w:bCs w:val="0"/>
        </w:rPr>
      </w:pPr>
      <w:bookmarkStart w:name="十二、社会责任情况" w:id="45"/>
      <w:bookmarkEnd w:id="45"/>
      <w:r>
        <w:rPr>
          <w:b w:val="0"/>
          <w:bCs w:val="0"/>
        </w:rPr>
      </w:r>
      <w:r>
        <w:rPr/>
        <w:t>十二、社会责任情况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6" w:lineRule="auto" w:before="102"/>
        <w:ind w:left="393" w:right="0" w:firstLine="420"/>
        <w:jc w:val="left"/>
      </w:pPr>
      <w:r>
        <w:rPr>
          <w:spacing w:val="-2"/>
        </w:rPr>
        <w:t>公司积极履行企业公民应尽的义务，承担社会责任，在致力于生产经营、不断为股东创造价值的同时，充分尊重员工、</w:t>
      </w:r>
      <w:r>
        <w:rPr/>
        <w:t> </w:t>
      </w:r>
      <w:r>
        <w:rPr>
          <w:spacing w:val="-2"/>
        </w:rPr>
        <w:t>客户、供应商及其他利益相关者的合法权益，积极与各方合作，加强沟通与交流，实现股东、员工、上下游合作者、社会等</w:t>
      </w:r>
      <w:r>
        <w:rPr>
          <w:spacing w:val="-72"/>
        </w:rPr>
        <w:t> </w:t>
      </w:r>
      <w:r>
        <w:rPr>
          <w:spacing w:val="-72"/>
        </w:rPr>
      </w:r>
      <w:r>
        <w:rPr/>
        <w:t>各方力量的均衡，推动公司持续、稳定、健康发展。</w:t>
      </w:r>
    </w:p>
    <w:p>
      <w:pPr>
        <w:pStyle w:val="BodyText"/>
        <w:spacing w:line="319" w:lineRule="auto" w:before="19"/>
        <w:ind w:left="394" w:right="1130" w:firstLine="420"/>
        <w:jc w:val="both"/>
      </w:pPr>
      <w:r>
        <w:rPr>
          <w:rFonts w:ascii="宋体" w:hAnsi="宋体" w:cs="宋体" w:eastAsia="宋体" w:hint="default"/>
          <w:spacing w:val="-2"/>
        </w:rPr>
        <w:t>1</w:t>
      </w:r>
      <w:r>
        <w:rPr>
          <w:spacing w:val="-2"/>
        </w:rPr>
        <w:t>、公司采取积极方式回报投资者。报告期内，公司积极修订和完善《章程》中关于利润分配政策的相关条款，建立稳</w:t>
      </w:r>
      <w:r>
        <w:rPr/>
        <w:t> </w:t>
      </w:r>
      <w:r>
        <w:rPr>
          <w:spacing w:val="-2"/>
        </w:rPr>
        <w:t>定、长效的分红机制，并根据《章程》和股东回报规划制定和实施利润分配方案；进一步按照相关法律法规要求，及时、真</w:t>
      </w:r>
      <w:r>
        <w:rPr>
          <w:spacing w:val="-71"/>
        </w:rPr>
        <w:t> </w:t>
      </w:r>
      <w:r>
        <w:rPr>
          <w:spacing w:val="-71"/>
        </w:rPr>
      </w:r>
      <w:r>
        <w:rPr>
          <w:spacing w:val="-2"/>
        </w:rPr>
        <w:t>实、准确、完整地在指定平台进行信息披露；通过接待现场调研、接听电话咨询、网上答疑、网站设置专区等多种途径与投</w:t>
      </w:r>
      <w:r>
        <w:rPr>
          <w:spacing w:val="-68"/>
        </w:rPr>
        <w:t> </w:t>
      </w:r>
      <w:r>
        <w:rPr>
          <w:spacing w:val="-68"/>
        </w:rPr>
      </w:r>
      <w:r>
        <w:rPr>
          <w:spacing w:val="-2"/>
        </w:rPr>
        <w:t>资者进行沟通，增强了投资者对公司的了解；并通过公司网站平台宣传投资者权益保护相关法规，引导投资者正确行使和维</w:t>
      </w:r>
      <w:r>
        <w:rPr>
          <w:spacing w:val="-66"/>
        </w:rPr>
        <w:t> </w:t>
      </w:r>
      <w:r>
        <w:rPr>
          <w:spacing w:val="-66"/>
        </w:rPr>
      </w:r>
      <w:r>
        <w:rPr/>
        <w:t>护股东权益。</w:t>
      </w:r>
    </w:p>
    <w:p>
      <w:pPr>
        <w:pStyle w:val="BodyText"/>
        <w:spacing w:line="316" w:lineRule="auto" w:before="17"/>
        <w:ind w:left="394" w:right="1130" w:firstLine="420"/>
        <w:jc w:val="both"/>
      </w:pPr>
      <w:r>
        <w:rPr>
          <w:rFonts w:ascii="宋体" w:hAnsi="宋体" w:cs="宋体" w:eastAsia="宋体" w:hint="default"/>
          <w:spacing w:val="-2"/>
        </w:rPr>
        <w:t>2</w:t>
      </w:r>
      <w:r>
        <w:rPr>
          <w:spacing w:val="-2"/>
        </w:rPr>
        <w:t>、公司切实维护员工权益。报告期内，公司严格遵守《劳动法》、《劳动合同法》、《妇女权益保护法》等相关法律</w:t>
      </w:r>
      <w:r>
        <w:rPr/>
        <w:t> </w:t>
      </w:r>
      <w:r>
        <w:rPr>
          <w:spacing w:val="-2"/>
        </w:rPr>
        <w:t>法规，尊重和维护员工权益，为员工提供安全、整洁的工作环境，注重员工知识和技能提高，关心员工身心健康，加强对员</w:t>
      </w:r>
      <w:r>
        <w:rPr>
          <w:spacing w:val="-68"/>
        </w:rPr>
        <w:t> </w:t>
      </w:r>
      <w:r>
        <w:rPr>
          <w:spacing w:val="-68"/>
        </w:rPr>
      </w:r>
      <w:r>
        <w:rPr/>
        <w:t>工的人文关怀，努力提高员工满意度，实现企业和员工的同步成长与发展。</w:t>
      </w:r>
    </w:p>
    <w:p>
      <w:pPr>
        <w:pStyle w:val="BodyText"/>
        <w:spacing w:line="240" w:lineRule="auto" w:before="19"/>
        <w:ind w:left="813" w:right="0"/>
        <w:jc w:val="left"/>
      </w:pPr>
      <w:r>
        <w:rPr>
          <w:rFonts w:ascii="宋体" w:hAnsi="宋体" w:cs="宋体" w:eastAsia="宋体" w:hint="default"/>
        </w:rPr>
        <w:t>3</w:t>
      </w:r>
      <w:r>
        <w:rPr/>
        <w:t>、公司诚信经营，努力为客户提供合格的产品和优质的服务，建立良好的客户关系，完善售后服务，实现与用户的双</w:t>
      </w:r>
    </w:p>
    <w:p>
      <w:pPr>
        <w:pStyle w:val="BodyText"/>
        <w:spacing w:line="240" w:lineRule="auto" w:before="76"/>
        <w:ind w:left="393" w:right="7333"/>
        <w:jc w:val="left"/>
      </w:pPr>
      <w:r>
        <w:rPr/>
        <w:t>赢。</w:t>
      </w:r>
    </w:p>
    <w:p>
      <w:pPr>
        <w:pStyle w:val="BodyText"/>
        <w:spacing w:line="240" w:lineRule="auto" w:before="76"/>
        <w:ind w:left="814" w:right="0"/>
        <w:jc w:val="left"/>
      </w:pPr>
      <w:r>
        <w:rPr>
          <w:rFonts w:ascii="宋体" w:hAnsi="宋体" w:cs="宋体" w:eastAsia="宋体" w:hint="default"/>
        </w:rPr>
        <w:t>4</w:t>
      </w:r>
      <w:r>
        <w:rPr/>
        <w:t>、公司在追求经济效益的同时积极承担社会责任，履行纳税人职责，注重环境保护，倡导节约型和低碳化办公，同时</w:t>
      </w:r>
    </w:p>
    <w:p>
      <w:pPr>
        <w:pStyle w:val="BodyText"/>
        <w:spacing w:line="240" w:lineRule="auto" w:before="76"/>
        <w:ind w:left="394" w:right="0"/>
        <w:jc w:val="left"/>
      </w:pPr>
      <w:r>
        <w:rPr/>
        <w:t>积极组织员工参加各类公益活动，报告期内开展多项爱心捐款、冬衣捐赠、关爱城市贫困儿童等活动。</w:t>
      </w:r>
    </w:p>
    <w:p>
      <w:pPr>
        <w:spacing w:line="240" w:lineRule="auto" w:before="2"/>
        <w:rPr>
          <w:rFonts w:ascii="宋体" w:hAnsi="宋体" w:cs="宋体" w:eastAsia="宋体" w:hint="default"/>
          <w:sz w:val="25"/>
          <w:szCs w:val="25"/>
        </w:rPr>
      </w:pPr>
    </w:p>
    <w:p>
      <w:pPr>
        <w:pStyle w:val="Heading2"/>
        <w:spacing w:line="240" w:lineRule="auto"/>
        <w:ind w:left="393" w:right="0"/>
        <w:jc w:val="left"/>
        <w:rPr>
          <w:b w:val="0"/>
          <w:bCs w:val="0"/>
        </w:rPr>
      </w:pPr>
      <w:bookmarkStart w:name="十三、报告期内接待调研、沟通、采访等活动登记表" w:id="46"/>
      <w:bookmarkEnd w:id="46"/>
      <w:r>
        <w:rPr>
          <w:b w:val="0"/>
          <w:bCs w:val="0"/>
        </w:rPr>
      </w:r>
      <w:r>
        <w:rPr/>
        <w:t>十三、报告期内接待调研、沟通、采访等活动登记表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419"/>
        <w:gridCol w:w="1276"/>
        <w:gridCol w:w="992"/>
        <w:gridCol w:w="994"/>
        <w:gridCol w:w="1842"/>
        <w:gridCol w:w="3544"/>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1" w:right="41" w:hanging="361"/>
              <w:jc w:val="left"/>
              <w:rPr>
                <w:rFonts w:ascii="宋体" w:hAnsi="宋体" w:cs="宋体" w:eastAsia="宋体" w:hint="default"/>
                <w:sz w:val="18"/>
                <w:szCs w:val="18"/>
              </w:rPr>
            </w:pPr>
            <w:r>
              <w:rPr>
                <w:rFonts w:ascii="宋体" w:hAnsi="宋体" w:cs="宋体" w:eastAsia="宋体" w:hint="default"/>
                <w:sz w:val="18"/>
                <w:szCs w:val="18"/>
              </w:rPr>
              <w:t>接待对象类 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3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6"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204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97"/>
              <w:jc w:val="both"/>
              <w:rPr>
                <w:rFonts w:ascii="宋体" w:hAnsi="宋体" w:cs="宋体" w:eastAsia="宋体" w:hint="default"/>
                <w:sz w:val="18"/>
                <w:szCs w:val="18"/>
              </w:rPr>
            </w:pPr>
            <w:r>
              <w:rPr>
                <w:rFonts w:ascii="宋体" w:hAnsi="宋体" w:cs="宋体" w:eastAsia="宋体" w:hint="default"/>
                <w:sz w:val="18"/>
                <w:szCs w:val="18"/>
              </w:rPr>
              <w:t>西南证券 纵菲；国海 证券 孔令峰、李响； 银河证券 王娜；</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、请谈谈对信息安全行业的理解</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、公司主要涉足哪些行业</w:t>
            </w:r>
            <w:r>
              <w:rPr>
                <w:rFonts w:ascii="Times New Roman" w:hAnsi="Times New Roman" w:cs="Times New Roman" w:eastAsia="Times New Roman" w:hint="default"/>
                <w:sz w:val="18"/>
                <w:szCs w:val="18"/>
              </w:rPr>
              <w:t>?</w:t>
            </w:r>
          </w:p>
          <w:p>
            <w:pPr>
              <w:pStyle w:val="TableParagraph"/>
              <w:spacing w:line="302"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、信息安全如何在电力行业中运用？行业发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展空间如何？</w:t>
            </w:r>
          </w:p>
          <w:p>
            <w:pPr>
              <w:pStyle w:val="TableParagraph"/>
              <w:spacing w:line="302" w:lineRule="auto" w:before="68"/>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、公司如何看待启明星辰等行业内的竞争对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手？</w:t>
            </w:r>
          </w:p>
        </w:tc>
      </w:tr>
    </w:tbl>
    <w:p>
      <w:pPr>
        <w:spacing w:after="0" w:line="302"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9"/>
        <w:gridCol w:w="1276"/>
        <w:gridCol w:w="992"/>
        <w:gridCol w:w="994"/>
        <w:gridCol w:w="1842"/>
        <w:gridCol w:w="3544"/>
      </w:tblGrid>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国泰君安 郝彪、丁一 郎；财富证券 何晨； 国金证券 沈洪敏；申 银万国 赵诣、刘洋； 等</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、请谈谈对信息安全行业的理解</w:t>
            </w:r>
          </w:p>
          <w:p>
            <w:pPr>
              <w:pStyle w:val="TableParagraph"/>
              <w:spacing w:line="240" w:lineRule="auto" w:before="10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、公司主要涉足哪些行业</w:t>
            </w:r>
            <w:r>
              <w:rPr>
                <w:rFonts w:ascii="Times New Roman" w:hAnsi="Times New Roman" w:cs="Times New Roman" w:eastAsia="Times New Roman" w:hint="default"/>
                <w:sz w:val="18"/>
                <w:szCs w:val="18"/>
              </w:rPr>
              <w:t>?</w:t>
            </w:r>
          </w:p>
          <w:p>
            <w:pPr>
              <w:pStyle w:val="TableParagraph"/>
              <w:spacing w:line="302"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、信息安全产品在金融、电力行业中未来推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广情况如何？</w:t>
            </w:r>
          </w:p>
        </w:tc>
      </w:tr>
      <w:tr>
        <w:trPr>
          <w:trHeight w:val="102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7"/>
              <w:jc w:val="left"/>
              <w:rPr>
                <w:rFonts w:ascii="宋体" w:hAnsi="宋体" w:cs="宋体" w:eastAsia="宋体" w:hint="default"/>
                <w:sz w:val="18"/>
                <w:szCs w:val="18"/>
              </w:rPr>
            </w:pPr>
            <w:r>
              <w:rPr>
                <w:rFonts w:ascii="宋体" w:hAnsi="宋体" w:cs="宋体" w:eastAsia="宋体" w:hint="default"/>
                <w:sz w:val="18"/>
                <w:szCs w:val="18"/>
              </w:rPr>
              <w:t>齐鲁证券 陈衍鹏；金 泰共创 曹韌；</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、信息安全产品在金融、电力行业中未来推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广情况如何？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、未来瑞通生产的移动安全终端发展如何？</w:t>
            </w:r>
          </w:p>
        </w:tc>
      </w:tr>
      <w:tr>
        <w:trPr>
          <w:trHeight w:val="329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工银瑞信 修世宇</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、公司控股股东中国电子科技集团公司第三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十研究所对安全保密产品的技术体制进行升 级换代是否已完成，该升级是否为周期性行 为？</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、公司主要涉足哪些行业</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、请谈谈对信息安全行业的理解</w:t>
            </w:r>
          </w:p>
          <w:p>
            <w:pPr>
              <w:pStyle w:val="TableParagraph"/>
              <w:spacing w:line="312" w:lineRule="auto" w:before="10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、我个人认为工银瑞信所使用的信息系统有</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较多弊病，整个证券行业亦存在一些普遍性 的的弊病。公司是否能以我公司为试点提出 完整的安全解决方案？</w:t>
            </w:r>
          </w:p>
        </w:tc>
      </w:tr>
      <w:tr>
        <w:trPr>
          <w:trHeight w:val="106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汇添富基金 马翔</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、公司主要涉足哪些行业</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、公司未来将重点开拓哪些行业？</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、未来瑞通生产的移动安全终端发展如何？</w:t>
            </w:r>
          </w:p>
        </w:tc>
      </w:tr>
      <w:tr>
        <w:trPr>
          <w:trHeight w:val="289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工银瑞信 夏雨</w:t>
            </w:r>
            <w:r>
              <w:rPr>
                <w:rFonts w:ascii="Times New Roman" w:hAnsi="Times New Roman" w:cs="Times New Roman" w:eastAsia="Times New Roman" w:hint="default"/>
                <w:sz w:val="18"/>
                <w:szCs w:val="18"/>
              </w:rPr>
              <w:t>;</w:t>
            </w:r>
            <w:r>
              <w:rPr>
                <w:rFonts w:ascii="宋体" w:hAnsi="宋体" w:cs="宋体" w:eastAsia="宋体" w:hint="default"/>
                <w:sz w:val="18"/>
                <w:szCs w:val="18"/>
              </w:rPr>
              <w:t>天弘基 金 张陈乾</w:t>
            </w:r>
            <w:r>
              <w:rPr>
                <w:rFonts w:ascii="Times New Roman" w:hAnsi="Times New Roman" w:cs="Times New Roman" w:eastAsia="Times New Roman" w:hint="default"/>
                <w:sz w:val="18"/>
                <w:szCs w:val="18"/>
              </w:rPr>
              <w:t>;</w:t>
            </w:r>
            <w:r>
              <w:rPr>
                <w:rFonts w:ascii="宋体" w:hAnsi="宋体" w:cs="宋体" w:eastAsia="宋体" w:hint="default"/>
                <w:sz w:val="18"/>
                <w:szCs w:val="18"/>
              </w:rPr>
              <w:t>远策投资 孙洲</w:t>
            </w:r>
            <w:r>
              <w:rPr>
                <w:rFonts w:ascii="Times New Roman" w:hAnsi="Times New Roman" w:cs="Times New Roman" w:eastAsia="Times New Roman" w:hint="default"/>
                <w:sz w:val="18"/>
                <w:szCs w:val="18"/>
              </w:rPr>
              <w:t>;</w:t>
            </w:r>
            <w:r>
              <w:rPr>
                <w:rFonts w:ascii="宋体" w:hAnsi="宋体" w:cs="宋体" w:eastAsia="宋体" w:hint="default"/>
                <w:sz w:val="18"/>
                <w:szCs w:val="18"/>
              </w:rPr>
              <w:t>光大永明 郭华</w:t>
            </w:r>
            <w:r>
              <w:rPr>
                <w:rFonts w:ascii="Times New Roman" w:hAnsi="Times New Roman" w:cs="Times New Roman" w:eastAsia="Times New Roman" w:hint="default"/>
                <w:sz w:val="18"/>
                <w:szCs w:val="18"/>
              </w:rPr>
              <w:t>; </w:t>
            </w:r>
            <w:r>
              <w:rPr>
                <w:rFonts w:ascii="宋体" w:hAnsi="宋体" w:cs="宋体" w:eastAsia="宋体" w:hint="default"/>
                <w:sz w:val="18"/>
                <w:szCs w:val="18"/>
              </w:rPr>
              <w:t>日信证券 贾伟 焦东 伟</w:t>
            </w:r>
            <w:r>
              <w:rPr>
                <w:rFonts w:ascii="Times New Roman" w:hAnsi="Times New Roman" w:cs="Times New Roman" w:eastAsia="Times New Roman" w:hint="default"/>
                <w:sz w:val="18"/>
                <w:szCs w:val="18"/>
              </w:rPr>
              <w:t>;</w:t>
            </w:r>
            <w:r>
              <w:rPr>
                <w:rFonts w:ascii="宋体" w:hAnsi="宋体" w:cs="宋体" w:eastAsia="宋体" w:hint="default"/>
                <w:sz w:val="18"/>
                <w:szCs w:val="18"/>
              </w:rPr>
              <w:t>长江证券 郭雅丽</w:t>
            </w:r>
            <w:r>
              <w:rPr>
                <w:rFonts w:ascii="Times New Roman" w:hAnsi="Times New Roman" w:cs="Times New Roman" w:eastAsia="Times New Roman" w:hint="default"/>
                <w:sz w:val="18"/>
                <w:szCs w:val="18"/>
              </w:rPr>
              <w:t>; </w:t>
            </w:r>
            <w:r>
              <w:rPr>
                <w:rFonts w:ascii="宋体" w:hAnsi="宋体" w:cs="宋体" w:eastAsia="宋体" w:hint="default"/>
                <w:sz w:val="18"/>
                <w:szCs w:val="18"/>
              </w:rPr>
              <w:t>中信建投 杨雅静 余 晓畅</w:t>
            </w:r>
            <w:r>
              <w:rPr>
                <w:rFonts w:ascii="Times New Roman" w:hAnsi="Times New Roman" w:cs="Times New Roman" w:eastAsia="Times New Roman" w:hint="default"/>
                <w:sz w:val="18"/>
                <w:szCs w:val="18"/>
              </w:rPr>
              <w:t>;</w:t>
            </w:r>
            <w:r>
              <w:rPr>
                <w:rFonts w:ascii="宋体" w:hAnsi="宋体" w:cs="宋体" w:eastAsia="宋体" w:hint="default"/>
                <w:sz w:val="18"/>
                <w:szCs w:val="18"/>
              </w:rPr>
              <w:t>安邦资产 金拓</w:t>
            </w:r>
            <w:r>
              <w:rPr>
                <w:rFonts w:ascii="Times New Roman" w:hAnsi="Times New Roman" w:cs="Times New Roman" w:eastAsia="Times New Roman" w:hint="default"/>
                <w:sz w:val="18"/>
                <w:szCs w:val="18"/>
              </w:rPr>
              <w:t>; </w:t>
            </w:r>
            <w:r>
              <w:rPr>
                <w:rFonts w:ascii="宋体" w:hAnsi="宋体" w:cs="宋体" w:eastAsia="宋体" w:hint="default"/>
                <w:sz w:val="18"/>
                <w:szCs w:val="18"/>
              </w:rPr>
              <w:t>东方基金 李晓金</w:t>
            </w:r>
            <w:r>
              <w:rPr>
                <w:rFonts w:ascii="Times New Roman" w:hAnsi="Times New Roman" w:cs="Times New Roman" w:eastAsia="Times New Roman" w:hint="default"/>
                <w:sz w:val="18"/>
                <w:szCs w:val="18"/>
              </w:rPr>
              <w:t>;</w:t>
            </w:r>
            <w:r>
              <w:rPr>
                <w:rFonts w:ascii="宋体" w:hAnsi="宋体" w:cs="宋体" w:eastAsia="宋体" w:hint="default"/>
                <w:sz w:val="18"/>
                <w:szCs w:val="18"/>
              </w:rPr>
              <w:t>益民 基金 蒋俊国</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、请谈谈对信息安全行业的理解</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、公司利润是如何构成的？</w:t>
            </w:r>
          </w:p>
          <w:p>
            <w:pPr>
              <w:pStyle w:val="TableParagraph"/>
              <w:spacing w:line="302" w:lineRule="auto" w:before="63"/>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、国安会的成立对信息安全行业有什么影 响？</w:t>
            </w:r>
          </w:p>
        </w:tc>
      </w:tr>
      <w:tr>
        <w:trPr>
          <w:trHeight w:val="274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安信证券 吕伟</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、请谈谈对信息安全行业的理解</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、公司产品中单机、系统产品分别指什么？</w:t>
            </w:r>
          </w:p>
          <w:p>
            <w:pPr>
              <w:pStyle w:val="TableParagraph"/>
              <w:spacing w:line="302" w:lineRule="auto" w:before="63"/>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、国安会的成立对信息安全行业有什么影 响？</w:t>
            </w:r>
          </w:p>
          <w:p>
            <w:pPr>
              <w:pStyle w:val="TableParagraph"/>
              <w:spacing w:line="240" w:lineRule="auto" w:before="6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、公司主要涉足哪些行业</w:t>
            </w:r>
            <w:r>
              <w:rPr>
                <w:rFonts w:ascii="Times New Roman" w:hAnsi="Times New Roman" w:cs="Times New Roman" w:eastAsia="Times New Roman" w:hint="default"/>
                <w:sz w:val="18"/>
                <w:szCs w:val="18"/>
              </w:rPr>
              <w:t>?</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、公司未来将重点开拓哪些行业？</w:t>
            </w:r>
          </w:p>
          <w:p>
            <w:pPr>
              <w:pStyle w:val="TableParagraph"/>
              <w:spacing w:line="302" w:lineRule="auto" w:before="10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、在目前事业单位改制的趋势下，三十所将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会如何发展呢？</w:t>
            </w:r>
          </w:p>
        </w:tc>
      </w:tr>
      <w:tr>
        <w:trPr>
          <w:trHeight w:val="9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广发基金 费逸</w:t>
            </w:r>
            <w:r>
              <w:rPr>
                <w:rFonts w:ascii="Times New Roman" w:hAnsi="Times New Roman" w:cs="Times New Roman" w:eastAsia="Times New Roman" w:hint="default"/>
                <w:sz w:val="18"/>
                <w:szCs w:val="18"/>
              </w:rPr>
              <w:t>;</w:t>
            </w:r>
            <w:r>
              <w:rPr>
                <w:rFonts w:ascii="宋体" w:hAnsi="宋体" w:cs="宋体" w:eastAsia="宋体" w:hint="default"/>
                <w:sz w:val="18"/>
                <w:szCs w:val="18"/>
              </w:rPr>
              <w:t>南方基 金 霍竟春</w:t>
            </w:r>
            <w:r>
              <w:rPr>
                <w:rFonts w:ascii="Times New Roman" w:hAnsi="Times New Roman" w:cs="Times New Roman" w:eastAsia="Times New Roman" w:hint="default"/>
                <w:sz w:val="18"/>
                <w:szCs w:val="18"/>
              </w:rPr>
              <w:t>;</w:t>
            </w:r>
            <w:r>
              <w:rPr>
                <w:rFonts w:ascii="宋体" w:hAnsi="宋体" w:cs="宋体" w:eastAsia="宋体" w:hint="default"/>
                <w:sz w:val="18"/>
                <w:szCs w:val="18"/>
              </w:rPr>
              <w:t>华夏基金 顾鑫峰</w:t>
            </w:r>
            <w:r>
              <w:rPr>
                <w:rFonts w:ascii="Times New Roman" w:hAnsi="Times New Roman" w:cs="Times New Roman" w:eastAsia="Times New Roman" w:hint="default"/>
                <w:sz w:val="18"/>
                <w:szCs w:val="18"/>
              </w:rPr>
              <w:t>;</w:t>
            </w:r>
            <w:r>
              <w:rPr>
                <w:rFonts w:ascii="宋体" w:hAnsi="宋体" w:cs="宋体" w:eastAsia="宋体" w:hint="default"/>
                <w:sz w:val="18"/>
                <w:szCs w:val="18"/>
              </w:rPr>
              <w:t>招商证券 郝</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、是否有政策驱动信息安全领域的发展？</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、公司主要涉足哪些行业</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、公司未来将重点开拓哪些行业</w:t>
            </w:r>
            <w:r>
              <w:rPr>
                <w:rFonts w:ascii="Times New Roman" w:hAnsi="Times New Roman" w:cs="Times New Roman" w:eastAsia="Times New Roman" w:hint="default"/>
                <w:sz w:val="18"/>
                <w:szCs w:val="18"/>
              </w:rPr>
              <w:t>?4</w:t>
            </w:r>
            <w:r>
              <w:rPr>
                <w:rFonts w:ascii="宋体" w:hAnsi="宋体" w:cs="宋体" w:eastAsia="宋体" w:hint="default"/>
                <w:sz w:val="18"/>
                <w:szCs w:val="18"/>
              </w:rPr>
              <w:t>、电力行</w:t>
            </w:r>
          </w:p>
        </w:tc>
      </w:tr>
    </w:tbl>
    <w:p>
      <w:pPr>
        <w:spacing w:after="0" w:line="240"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9"/>
        <w:gridCol w:w="1276"/>
        <w:gridCol w:w="992"/>
        <w:gridCol w:w="994"/>
        <w:gridCol w:w="1842"/>
        <w:gridCol w:w="3544"/>
      </w:tblGrid>
      <w:tr>
        <w:trPr>
          <w:trHeight w:val="1611"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彪</w:t>
            </w:r>
            <w:r>
              <w:rPr>
                <w:rFonts w:ascii="Times New Roman" w:hAnsi="Times New Roman" w:cs="Times New Roman" w:eastAsia="Times New Roman" w:hint="default"/>
                <w:sz w:val="18"/>
                <w:szCs w:val="18"/>
              </w:rPr>
              <w:t>;</w:t>
            </w:r>
            <w:r>
              <w:rPr>
                <w:rFonts w:ascii="宋体" w:hAnsi="宋体" w:cs="宋体" w:eastAsia="宋体" w:hint="default"/>
                <w:sz w:val="18"/>
                <w:szCs w:val="18"/>
              </w:rPr>
              <w:t>银河基金 陈保春</w:t>
            </w:r>
            <w:r>
              <w:rPr>
                <w:rFonts w:ascii="Times New Roman" w:hAnsi="Times New Roman" w:cs="Times New Roman" w:eastAsia="Times New Roman" w:hint="default"/>
                <w:sz w:val="18"/>
                <w:szCs w:val="18"/>
              </w:rPr>
              <w:t>; </w:t>
            </w:r>
            <w:r>
              <w:rPr>
                <w:rFonts w:ascii="宋体" w:hAnsi="宋体" w:cs="宋体" w:eastAsia="宋体" w:hint="default"/>
                <w:sz w:val="18"/>
                <w:szCs w:val="18"/>
              </w:rPr>
              <w:t>圆信永丰 杨祺</w:t>
            </w:r>
            <w:r>
              <w:rPr>
                <w:rFonts w:ascii="Times New Roman" w:hAnsi="Times New Roman" w:cs="Times New Roman" w:eastAsia="Times New Roman" w:hint="default"/>
                <w:sz w:val="18"/>
                <w:szCs w:val="18"/>
              </w:rPr>
              <w:t>;</w:t>
            </w:r>
            <w:r>
              <w:rPr>
                <w:rFonts w:ascii="宋体" w:hAnsi="宋体" w:cs="宋体" w:eastAsia="宋体" w:hint="default"/>
                <w:sz w:val="18"/>
                <w:szCs w:val="18"/>
              </w:rPr>
              <w:t>申银万 国 韩红成</w:t>
            </w:r>
            <w:r>
              <w:rPr>
                <w:rFonts w:ascii="Times New Roman" w:hAnsi="Times New Roman" w:cs="Times New Roman" w:eastAsia="Times New Roman" w:hint="default"/>
                <w:sz w:val="18"/>
                <w:szCs w:val="18"/>
              </w:rPr>
              <w:t>;</w:t>
            </w:r>
            <w:r>
              <w:rPr>
                <w:rFonts w:ascii="宋体" w:hAnsi="宋体" w:cs="宋体" w:eastAsia="宋体" w:hint="default"/>
                <w:sz w:val="18"/>
                <w:szCs w:val="18"/>
              </w:rPr>
              <w:t>国投瑞银 刘智</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业主要涉及公司哪些产品</w:t>
            </w:r>
            <w:r>
              <w:rPr>
                <w:rFonts w:ascii="Times New Roman" w:hAnsi="Times New Roman" w:cs="Times New Roman" w:eastAsia="Times New Roman" w:hint="default"/>
                <w:sz w:val="18"/>
                <w:szCs w:val="18"/>
              </w:rPr>
              <w:t>? 5</w:t>
            </w:r>
            <w:r>
              <w:rPr>
                <w:rFonts w:ascii="宋体" w:hAnsi="宋体" w:cs="宋体" w:eastAsia="宋体" w:hint="default"/>
                <w:sz w:val="18"/>
                <w:szCs w:val="18"/>
              </w:rPr>
              <w:t>、公司未来的收入增量主要来源于哪些领 域？ </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、在目前事业单位改制的趋势下，三十所将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会如何发展呢？</w:t>
            </w:r>
          </w:p>
        </w:tc>
      </w:tr>
      <w:tr>
        <w:trPr>
          <w:trHeight w:val="32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中信建投 吕江峰 戴 春荣 原瑞政</w:t>
            </w:r>
            <w:r>
              <w:rPr>
                <w:rFonts w:ascii="Times New Roman" w:hAnsi="Times New Roman" w:cs="Times New Roman" w:eastAsia="Times New Roman" w:hint="default"/>
                <w:sz w:val="18"/>
                <w:szCs w:val="18"/>
              </w:rPr>
              <w:t>;</w:t>
            </w:r>
            <w:r>
              <w:rPr>
                <w:rFonts w:ascii="宋体" w:hAnsi="宋体" w:cs="宋体" w:eastAsia="宋体" w:hint="default"/>
                <w:sz w:val="18"/>
                <w:szCs w:val="18"/>
              </w:rPr>
              <w:t>华富基金 张亮 陈雷</w:t>
            </w:r>
            <w:r>
              <w:rPr>
                <w:rFonts w:ascii="Times New Roman" w:hAnsi="Times New Roman" w:cs="Times New Roman" w:eastAsia="Times New Roman" w:hint="default"/>
                <w:sz w:val="18"/>
                <w:szCs w:val="18"/>
              </w:rPr>
              <w:t>;</w:t>
            </w:r>
            <w:r>
              <w:rPr>
                <w:rFonts w:ascii="宋体" w:hAnsi="宋体" w:cs="宋体" w:eastAsia="宋体" w:hint="default"/>
                <w:sz w:val="18"/>
                <w:szCs w:val="18"/>
              </w:rPr>
              <w:t>上海大威德 投资有限公司 孟军 张亚北</w:t>
            </w:r>
            <w:r>
              <w:rPr>
                <w:rFonts w:ascii="Times New Roman" w:hAnsi="Times New Roman" w:cs="Times New Roman" w:eastAsia="Times New Roman" w:hint="default"/>
                <w:sz w:val="18"/>
                <w:szCs w:val="18"/>
              </w:rPr>
              <w:t>;</w:t>
            </w:r>
            <w:r>
              <w:rPr>
                <w:rFonts w:ascii="宋体" w:hAnsi="宋体" w:cs="宋体" w:eastAsia="宋体" w:hint="default"/>
                <w:sz w:val="18"/>
                <w:szCs w:val="18"/>
              </w:rPr>
              <w:t>华拓资产 张轶 乾</w:t>
            </w:r>
            <w:r>
              <w:rPr>
                <w:rFonts w:ascii="Times New Roman" w:hAnsi="Times New Roman" w:cs="Times New Roman" w:eastAsia="Times New Roman" w:hint="default"/>
                <w:sz w:val="18"/>
                <w:szCs w:val="18"/>
              </w:rPr>
              <w:t>;</w:t>
            </w:r>
            <w:r>
              <w:rPr>
                <w:rFonts w:ascii="宋体" w:hAnsi="宋体" w:cs="宋体" w:eastAsia="宋体" w:hint="default"/>
                <w:sz w:val="18"/>
                <w:szCs w:val="18"/>
              </w:rPr>
              <w:t>兴业证券 李健</w:t>
            </w:r>
            <w:r>
              <w:rPr>
                <w:rFonts w:ascii="Times New Roman" w:hAnsi="Times New Roman" w:cs="Times New Roman" w:eastAsia="Times New Roman" w:hint="default"/>
                <w:sz w:val="18"/>
                <w:szCs w:val="18"/>
              </w:rPr>
              <w:t>;</w:t>
            </w:r>
            <w:r>
              <w:rPr>
                <w:rFonts w:ascii="宋体" w:hAnsi="宋体" w:cs="宋体" w:eastAsia="宋体" w:hint="default"/>
                <w:sz w:val="18"/>
                <w:szCs w:val="18"/>
              </w:rPr>
              <w:t>华 商基金 陈雷 华通</w:t>
            </w:r>
            <w:r>
              <w:rPr>
                <w:rFonts w:ascii="Times New Roman" w:hAnsi="Times New Roman" w:cs="Times New Roman" w:eastAsia="Times New Roman" w:hint="default"/>
                <w:sz w:val="18"/>
                <w:szCs w:val="18"/>
              </w:rPr>
              <w:t>;</w:t>
            </w:r>
            <w:r>
              <w:rPr>
                <w:rFonts w:ascii="宋体" w:hAnsi="宋体" w:cs="宋体" w:eastAsia="宋体" w:hint="default"/>
                <w:sz w:val="18"/>
                <w:szCs w:val="18"/>
              </w:rPr>
              <w:t>广 发证券 黄维</w:t>
            </w:r>
            <w:r>
              <w:rPr>
                <w:rFonts w:ascii="Times New Roman" w:hAnsi="Times New Roman" w:cs="Times New Roman" w:eastAsia="Times New Roman" w:hint="default"/>
                <w:sz w:val="18"/>
                <w:szCs w:val="18"/>
              </w:rPr>
              <w:t>;</w:t>
            </w:r>
            <w:r>
              <w:rPr>
                <w:rFonts w:ascii="宋体" w:hAnsi="宋体" w:cs="宋体" w:eastAsia="宋体" w:hint="default"/>
                <w:sz w:val="18"/>
                <w:szCs w:val="18"/>
              </w:rPr>
              <w:t>澤熙投资 孟斯硕</w:t>
            </w:r>
            <w:r>
              <w:rPr>
                <w:rFonts w:ascii="Times New Roman" w:hAnsi="Times New Roman" w:cs="Times New Roman" w:eastAsia="Times New Roman" w:hint="default"/>
                <w:sz w:val="18"/>
                <w:szCs w:val="18"/>
              </w:rPr>
              <w:t>;</w:t>
            </w:r>
            <w:r>
              <w:rPr>
                <w:rFonts w:ascii="宋体" w:hAnsi="宋体" w:cs="宋体" w:eastAsia="宋体" w:hint="default"/>
                <w:sz w:val="18"/>
                <w:szCs w:val="18"/>
              </w:rPr>
              <w:t>广发证券 蔡红 辉</w:t>
            </w:r>
            <w:r>
              <w:rPr>
                <w:rFonts w:ascii="Times New Roman" w:hAnsi="Times New Roman" w:cs="Times New Roman" w:eastAsia="Times New Roman" w:hint="default"/>
                <w:sz w:val="18"/>
                <w:szCs w:val="18"/>
              </w:rPr>
              <w:t>;</w:t>
            </w:r>
            <w:r>
              <w:rPr>
                <w:rFonts w:ascii="宋体" w:hAnsi="宋体" w:cs="宋体" w:eastAsia="宋体" w:hint="default"/>
                <w:sz w:val="18"/>
                <w:szCs w:val="18"/>
              </w:rPr>
              <w:t>财务证券 何晨</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、请谈谈对信息安全行业的理解</w:t>
            </w:r>
          </w:p>
          <w:p>
            <w:pPr>
              <w:pStyle w:val="TableParagraph"/>
              <w:spacing w:line="307" w:lineRule="auto" w:before="102"/>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、信息安全产品在金融、电力行业中未来推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广情况如何？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、请问公司在国内主要的竞争对手是哪家？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公司在国内加密领域市场占有率有多少？</w:t>
            </w:r>
          </w:p>
        </w:tc>
      </w:tr>
      <w:tr>
        <w:trPr>
          <w:trHeight w:val="165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left"/>
              <w:rPr>
                <w:rFonts w:ascii="宋体" w:hAnsi="宋体" w:cs="宋体" w:eastAsia="宋体" w:hint="default"/>
                <w:sz w:val="18"/>
                <w:szCs w:val="18"/>
              </w:rPr>
            </w:pPr>
            <w:r>
              <w:rPr>
                <w:rFonts w:ascii="宋体" w:hAnsi="宋体" w:cs="宋体" w:eastAsia="宋体" w:hint="default"/>
                <w:sz w:val="18"/>
                <w:szCs w:val="18"/>
              </w:rPr>
              <w:t>海通证券 蒋科；万家 基金 刘荆 </w:t>
            </w:r>
            <w:r>
              <w:rPr>
                <w:rFonts w:ascii="宋体" w:hAnsi="宋体" w:cs="宋体" w:eastAsia="宋体" w:hint="default"/>
                <w:spacing w:val="-3"/>
                <w:sz w:val="18"/>
                <w:szCs w:val="18"/>
              </w:rPr>
              <w:t>耿嘉洲；上</w:t>
            </w:r>
            <w:r>
              <w:rPr>
                <w:rFonts w:ascii="宋体" w:hAnsi="宋体" w:cs="宋体" w:eastAsia="宋体" w:hint="default"/>
                <w:sz w:val="18"/>
                <w:szCs w:val="18"/>
              </w:rPr>
              <w:t> 海祥云海投资 施易成</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、公司产品中单机、系统产品分别指什么？</w:t>
            </w:r>
          </w:p>
          <w:p>
            <w:pPr>
              <w:pStyle w:val="TableParagraph"/>
              <w:spacing w:line="300" w:lineRule="auto" w:before="6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、国安会的成立对信息安全行业有什么影 响？</w:t>
            </w:r>
          </w:p>
          <w:p>
            <w:pPr>
              <w:pStyle w:val="TableParagraph"/>
              <w:spacing w:line="240" w:lineRule="auto" w:before="3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、公司主要涉足哪些行业</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、公司未来将重点开拓哪些行业？</w:t>
            </w:r>
          </w:p>
        </w:tc>
      </w:tr>
      <w:tr>
        <w:trPr>
          <w:trHeight w:val="2274"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华创证券 李虹蓉；英 大证券 王成 </w:t>
            </w:r>
            <w:r>
              <w:rPr>
                <w:rFonts w:ascii="宋体" w:hAnsi="宋体" w:cs="宋体" w:eastAsia="宋体" w:hint="default"/>
                <w:spacing w:val="-4"/>
                <w:sz w:val="18"/>
                <w:szCs w:val="18"/>
              </w:rPr>
              <w:t>；宏源证</w:t>
            </w:r>
            <w:r>
              <w:rPr>
                <w:rFonts w:ascii="宋体" w:hAnsi="宋体" w:cs="宋体" w:eastAsia="宋体" w:hint="default"/>
                <w:sz w:val="18"/>
                <w:szCs w:val="18"/>
              </w:rPr>
              <w:t> 券 王凤华</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、中央网络安全和信息化领导小组的成立， 对卫士通业务基本面有什么影响呢 ？ </w:t>
            </w:r>
            <w:r>
              <w:rPr>
                <w:rFonts w:ascii="Times New Roman" w:hAnsi="Times New Roman" w:cs="Times New Roman" w:eastAsia="Times New Roman" w:hint="default"/>
                <w:sz w:val="18"/>
                <w:szCs w:val="18"/>
              </w:rPr>
              <w:t>2</w:t>
            </w:r>
            <w:r>
              <w:rPr>
                <w:rFonts w:ascii="宋体" w:hAnsi="宋体" w:cs="宋体" w:eastAsia="宋体" w:hint="default"/>
                <w:sz w:val="18"/>
                <w:szCs w:val="18"/>
              </w:rPr>
              <w:t>、未来三十所下面几家公司，有没有进一步 的收购的打算？ </w:t>
            </w:r>
            <w:r>
              <w:rPr>
                <w:rFonts w:ascii="Times New Roman" w:hAnsi="Times New Roman" w:cs="Times New Roman" w:eastAsia="Times New Roman" w:hint="default"/>
                <w:sz w:val="18"/>
                <w:szCs w:val="18"/>
              </w:rPr>
              <w:t>3</w:t>
            </w:r>
            <w:r>
              <w:rPr>
                <w:rFonts w:ascii="宋体" w:hAnsi="宋体" w:cs="宋体" w:eastAsia="宋体" w:hint="default"/>
                <w:sz w:val="18"/>
                <w:szCs w:val="18"/>
              </w:rPr>
              <w:t>、卫士通重组事项进度如何？</w:t>
            </w:r>
          </w:p>
          <w:p>
            <w:pPr>
              <w:pStyle w:val="TableParagraph"/>
              <w:tabs>
                <w:tab w:pos="2712" w:val="left" w:leader="none"/>
              </w:tabs>
              <w:spacing w:line="302" w:lineRule="auto" w:before="5"/>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、公司半年度业绩预计如何？</w:t>
              <w:tab/>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、公司在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电力行业市场占有率情况？</w:t>
            </w:r>
          </w:p>
        </w:tc>
      </w:tr>
      <w:tr>
        <w:trPr>
          <w:trHeight w:val="352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47"/>
              <w:jc w:val="left"/>
              <w:rPr>
                <w:rFonts w:ascii="宋体" w:hAnsi="宋体" w:cs="宋体" w:eastAsia="宋体" w:hint="default"/>
                <w:sz w:val="18"/>
                <w:szCs w:val="18"/>
              </w:rPr>
            </w:pPr>
            <w:r>
              <w:rPr>
                <w:rFonts w:ascii="宋体" w:hAnsi="宋体" w:cs="宋体" w:eastAsia="宋体" w:hint="default"/>
                <w:sz w:val="18"/>
                <w:szCs w:val="18"/>
              </w:rPr>
              <w:t>光大证券 姜国平</w:t>
            </w:r>
            <w:r>
              <w:rPr>
                <w:rFonts w:ascii="Times New Roman" w:hAnsi="Times New Roman" w:cs="Times New Roman" w:eastAsia="Times New Roman" w:hint="default"/>
                <w:sz w:val="18"/>
                <w:szCs w:val="18"/>
              </w:rPr>
              <w:t>;</w:t>
            </w:r>
            <w:r>
              <w:rPr>
                <w:rFonts w:ascii="宋体" w:hAnsi="宋体" w:cs="宋体" w:eastAsia="宋体" w:hint="default"/>
                <w:sz w:val="18"/>
                <w:szCs w:val="18"/>
              </w:rPr>
              <w:t>安信 证券 胡珍</w:t>
            </w:r>
            <w:r>
              <w:rPr>
                <w:rFonts w:ascii="Times New Roman" w:hAnsi="Times New Roman" w:cs="Times New Roman" w:eastAsia="Times New Roman" w:hint="default"/>
                <w:sz w:val="18"/>
                <w:szCs w:val="18"/>
              </w:rPr>
              <w:t>;</w:t>
            </w:r>
            <w:r>
              <w:rPr>
                <w:rFonts w:ascii="宋体" w:hAnsi="宋体" w:cs="宋体" w:eastAsia="宋体" w:hint="default"/>
                <w:sz w:val="18"/>
                <w:szCs w:val="18"/>
              </w:rPr>
              <w:t>博时基金 叶彦斌 陈雷 苏永超</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、公司未来将重点开拓哪些行业？</w:t>
            </w:r>
            <w:r>
              <w:rPr>
                <w:rFonts w:ascii="Times New Roman" w:hAnsi="Times New Roman" w:cs="Times New Roman" w:eastAsia="Times New Roman" w:hint="default"/>
                <w:sz w:val="18"/>
                <w:szCs w:val="18"/>
              </w:rPr>
              <w:t>2</w:t>
            </w:r>
            <w:r>
              <w:rPr>
                <w:rFonts w:ascii="宋体" w:hAnsi="宋体" w:cs="宋体" w:eastAsia="宋体" w:hint="default"/>
                <w:sz w:val="18"/>
                <w:szCs w:val="18"/>
              </w:rPr>
              <w:t>、公司 主要涉足哪些行业</w:t>
            </w:r>
            <w:r>
              <w:rPr>
                <w:rFonts w:ascii="Times New Roman" w:hAnsi="Times New Roman" w:cs="Times New Roman" w:eastAsia="Times New Roman" w:hint="default"/>
                <w:sz w:val="18"/>
                <w:szCs w:val="18"/>
              </w:rPr>
              <w:t>?</w:t>
            </w:r>
          </w:p>
          <w:p>
            <w:pPr>
              <w:pStyle w:val="TableParagraph"/>
              <w:spacing w:line="300" w:lineRule="auto" w:before="13"/>
              <w:ind w:left="22" w:right="17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、国安会的成立对信息安全行业有什么影 响</w:t>
            </w:r>
            <w:r>
              <w:rPr>
                <w:rFonts w:ascii="Times New Roman" w:hAnsi="Times New Roman" w:cs="Times New Roman" w:eastAsia="Times New Roman" w:hint="default"/>
                <w:sz w:val="18"/>
                <w:szCs w:val="18"/>
              </w:rPr>
              <w:t>?</w:t>
            </w:r>
          </w:p>
          <w:p>
            <w:pPr>
              <w:pStyle w:val="TableParagraph"/>
              <w:spacing w:line="240" w:lineRule="auto" w:before="1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、公司产品中单机、系统产品分别指什么？</w:t>
            </w:r>
          </w:p>
          <w:p>
            <w:pPr>
              <w:pStyle w:val="TableParagraph"/>
              <w:spacing w:line="300" w:lineRule="auto" w:before="63"/>
              <w:ind w:left="22"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、请分析卫士通公司在信息安全行业中的地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位和实力。</w:t>
            </w:r>
          </w:p>
          <w:p>
            <w:pPr>
              <w:pStyle w:val="TableParagraph"/>
              <w:spacing w:line="240" w:lineRule="auto" w:before="3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、公司重组事项进展如何？</w:t>
            </w:r>
          </w:p>
          <w:p>
            <w:pPr>
              <w:pStyle w:val="TableParagraph"/>
              <w:spacing w:line="309" w:lineRule="auto" w:before="63"/>
              <w:ind w:left="22" w:right="44"/>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、重组事项对公司未来发展的影响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、本次 收购的公司三零嘉微生产的芯片市场情况如 何？</w:t>
            </w:r>
          </w:p>
        </w:tc>
      </w:tr>
      <w:tr>
        <w:trPr>
          <w:trHeight w:val="16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36"/>
              <w:ind w:left="22" w:right="47"/>
              <w:jc w:val="both"/>
              <w:rPr>
                <w:rFonts w:ascii="宋体" w:hAnsi="宋体" w:cs="宋体" w:eastAsia="宋体" w:hint="default"/>
                <w:sz w:val="18"/>
                <w:szCs w:val="18"/>
              </w:rPr>
            </w:pPr>
            <w:r>
              <w:rPr>
                <w:rFonts w:ascii="宋体" w:hAnsi="宋体" w:cs="宋体" w:eastAsia="宋体" w:hint="default"/>
                <w:sz w:val="18"/>
                <w:szCs w:val="18"/>
              </w:rPr>
              <w:t>国富基金 徐飞</w:t>
            </w:r>
            <w:r>
              <w:rPr>
                <w:rFonts w:ascii="Times New Roman" w:hAnsi="Times New Roman" w:cs="Times New Roman" w:eastAsia="Times New Roman" w:hint="default"/>
                <w:sz w:val="18"/>
                <w:szCs w:val="18"/>
              </w:rPr>
              <w:t>;</w:t>
            </w:r>
            <w:r>
              <w:rPr>
                <w:rFonts w:ascii="宋体" w:hAnsi="宋体" w:cs="宋体" w:eastAsia="宋体" w:hint="default"/>
                <w:sz w:val="18"/>
                <w:szCs w:val="18"/>
              </w:rPr>
              <w:t>银河证 券 朱劲松；诺安基金 罗延军 等</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、请分析卫士通公司在信息安全行业中的地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位和实力。</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、请介绍下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年上半年度经营状况。</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、公司重组事项进展如何？</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、重组事项对公司未来发展的影响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、本次</w:t>
            </w:r>
          </w:p>
        </w:tc>
      </w:tr>
    </w:tbl>
    <w:p>
      <w:pPr>
        <w:spacing w:after="0" w:line="240"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r>
        <w:rPr/>
        <w:pict>
          <v:shape style="position:absolute;margin-left:42.240002pt;margin-top:71.999985pt;width:504.1pt;height:696.4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276"/>
                    <w:gridCol w:w="992"/>
                    <w:gridCol w:w="994"/>
                    <w:gridCol w:w="1842"/>
                    <w:gridCol w:w="3544"/>
                  </w:tblGrid>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9"/>
                          <w:jc w:val="left"/>
                          <w:rPr>
                            <w:rFonts w:ascii="宋体" w:hAnsi="宋体" w:cs="宋体" w:eastAsia="宋体" w:hint="default"/>
                            <w:sz w:val="18"/>
                            <w:szCs w:val="18"/>
                          </w:rPr>
                        </w:pPr>
                        <w:r>
                          <w:rPr>
                            <w:rFonts w:ascii="宋体" w:hAnsi="宋体" w:cs="宋体" w:eastAsia="宋体" w:hint="default"/>
                            <w:sz w:val="18"/>
                            <w:szCs w:val="18"/>
                          </w:rPr>
                          <w:t>收购的公司三零瑞通的主要产品及服务的用 途情况。</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2" w:right="47"/>
                          <w:jc w:val="both"/>
                          <w:rPr>
                            <w:rFonts w:ascii="宋体" w:hAnsi="宋体" w:cs="宋体" w:eastAsia="宋体" w:hint="default"/>
                            <w:sz w:val="18"/>
                            <w:szCs w:val="18"/>
                          </w:rPr>
                        </w:pPr>
                        <w:r>
                          <w:rPr>
                            <w:rFonts w:ascii="宋体" w:hAnsi="宋体" w:cs="宋体" w:eastAsia="宋体" w:hint="default"/>
                            <w:sz w:val="18"/>
                            <w:szCs w:val="18"/>
                          </w:rPr>
                          <w:t>长城基金 李振兴</w:t>
                        </w:r>
                        <w:r>
                          <w:rPr>
                            <w:rFonts w:ascii="Times New Roman" w:hAnsi="Times New Roman" w:cs="Times New Roman" w:eastAsia="Times New Roman" w:hint="default"/>
                            <w:sz w:val="18"/>
                            <w:szCs w:val="18"/>
                          </w:rPr>
                          <w:t>;</w:t>
                        </w:r>
                        <w:r>
                          <w:rPr>
                            <w:rFonts w:ascii="宋体" w:hAnsi="宋体" w:cs="宋体" w:eastAsia="宋体" w:hint="default"/>
                            <w:sz w:val="18"/>
                            <w:szCs w:val="18"/>
                          </w:rPr>
                          <w:t>东方 基金 李晓金；宏利基 金 吕越超；安信证券 胡又文 吕伟；彤源投 资 张乐；交银施罗德 基金  胡云峰</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、网络信息安全产业园建设进展情况？</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、请介绍下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年上半年度经营状况。</w:t>
                        </w:r>
                      </w:p>
                      <w:p>
                        <w:pPr>
                          <w:pStyle w:val="TableParagraph"/>
                          <w:spacing w:line="307"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年半年报中，安全服务与集成收入大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幅增长，毛利率有上升，是受什么影响？ </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、本次收购的公司三零瑞通的主要产品及服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务的用途情况。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、中国电科的国企改革进程中，股权激励进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度如何？</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东方证券 蒲俊懿 徐 欣</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、网络信息安全产业园建设进展情况？</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、公司未来发展的趋势？</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、请介绍下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年上半年度经营状况。</w:t>
                        </w:r>
                      </w:p>
                      <w:p>
                        <w:pPr>
                          <w:pStyle w:val="TableParagraph"/>
                          <w:spacing w:line="309"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、本次收购的公司三零瑞通的主要产品及服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务的用途情况。 </w:t>
                        </w:r>
                        <w:r>
                          <w:rPr>
                            <w:rFonts w:ascii="Times New Roman" w:hAnsi="Times New Roman" w:cs="Times New Roman" w:eastAsia="Times New Roman" w:hint="default"/>
                            <w:sz w:val="18"/>
                            <w:szCs w:val="18"/>
                          </w:rPr>
                          <w:t>5</w:t>
                        </w:r>
                        <w:r>
                          <w:rPr>
                            <w:rFonts w:ascii="宋体" w:hAnsi="宋体" w:cs="宋体" w:eastAsia="宋体" w:hint="default"/>
                            <w:sz w:val="18"/>
                            <w:szCs w:val="18"/>
                          </w:rPr>
                          <w:t>、重组事项对公司未来发展的影响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、大股 东是否计划将其控制的其它资产注入卫士 通？</w:t>
                        </w:r>
                      </w:p>
                    </w:tc>
                  </w:tr>
                  <w:tr>
                    <w:trPr>
                      <w:trHeight w:val="2898"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47"/>
                          <w:jc w:val="left"/>
                          <w:rPr>
                            <w:rFonts w:ascii="宋体" w:hAnsi="宋体" w:cs="宋体" w:eastAsia="宋体" w:hint="default"/>
                            <w:sz w:val="18"/>
                            <w:szCs w:val="18"/>
                          </w:rPr>
                        </w:pPr>
                        <w:r>
                          <w:rPr>
                            <w:rFonts w:ascii="宋体" w:hAnsi="宋体" w:cs="宋体" w:eastAsia="宋体" w:hint="default"/>
                            <w:sz w:val="18"/>
                            <w:szCs w:val="18"/>
                          </w:rPr>
                          <w:t>长城证券 金炜 刘扬</w:t>
                        </w:r>
                        <w:r>
                          <w:rPr>
                            <w:rFonts w:ascii="Times New Roman" w:hAnsi="Times New Roman" w:cs="Times New Roman" w:eastAsia="Times New Roman" w:hint="default"/>
                            <w:sz w:val="18"/>
                            <w:szCs w:val="18"/>
                          </w:rPr>
                          <w:t>; </w:t>
                        </w:r>
                        <w:r>
                          <w:rPr>
                            <w:rFonts w:ascii="宋体" w:hAnsi="宋体" w:cs="宋体" w:eastAsia="宋体" w:hint="default"/>
                            <w:sz w:val="18"/>
                            <w:szCs w:val="18"/>
                          </w:rPr>
                          <w:t>信诚人寿保险 侯云哲</w:t>
                        </w:r>
                        <w:r>
                          <w:rPr>
                            <w:rFonts w:ascii="Times New Roman" w:hAnsi="Times New Roman" w:cs="Times New Roman" w:eastAsia="Times New Roman" w:hint="default"/>
                            <w:sz w:val="18"/>
                            <w:szCs w:val="18"/>
                          </w:rPr>
                          <w:t>; </w:t>
                        </w:r>
                        <w:r>
                          <w:rPr>
                            <w:rFonts w:ascii="宋体" w:hAnsi="宋体" w:cs="宋体" w:eastAsia="宋体" w:hint="default"/>
                            <w:sz w:val="18"/>
                            <w:szCs w:val="18"/>
                          </w:rPr>
                          <w:t>牡丹石投资 项光隆 赵云林</w:t>
                        </w:r>
                        <w:r>
                          <w:rPr>
                            <w:rFonts w:ascii="Times New Roman" w:hAnsi="Times New Roman" w:cs="Times New Roman" w:eastAsia="Times New Roman" w:hint="default"/>
                            <w:sz w:val="18"/>
                            <w:szCs w:val="18"/>
                          </w:rPr>
                          <w:t>;</w:t>
                        </w:r>
                        <w:r>
                          <w:rPr>
                            <w:rFonts w:ascii="宋体" w:hAnsi="宋体" w:cs="宋体" w:eastAsia="宋体" w:hint="default"/>
                            <w:sz w:val="18"/>
                            <w:szCs w:val="18"/>
                          </w:rPr>
                          <w:t>广发证券 王俊 爽</w:t>
                        </w:r>
                        <w:r>
                          <w:rPr>
                            <w:rFonts w:ascii="Times New Roman" w:hAnsi="Times New Roman" w:cs="Times New Roman" w:eastAsia="Times New Roman" w:hint="default"/>
                            <w:sz w:val="18"/>
                            <w:szCs w:val="18"/>
                          </w:rPr>
                          <w:t>;</w:t>
                        </w:r>
                        <w:r>
                          <w:rPr>
                            <w:rFonts w:ascii="宋体" w:hAnsi="宋体" w:cs="宋体" w:eastAsia="宋体" w:hint="default"/>
                            <w:sz w:val="18"/>
                            <w:szCs w:val="18"/>
                          </w:rPr>
                          <w:t>海富通基金 陆航</w:t>
                        </w:r>
                        <w:r>
                          <w:rPr>
                            <w:rFonts w:ascii="Times New Roman" w:hAnsi="Times New Roman" w:cs="Times New Roman" w:eastAsia="Times New Roman" w:hint="default"/>
                            <w:sz w:val="18"/>
                            <w:szCs w:val="18"/>
                          </w:rPr>
                          <w:t>; </w:t>
                        </w:r>
                        <w:r>
                          <w:rPr>
                            <w:rFonts w:ascii="宋体" w:hAnsi="宋体" w:cs="宋体" w:eastAsia="宋体" w:hint="default"/>
                            <w:sz w:val="18"/>
                            <w:szCs w:val="18"/>
                          </w:rPr>
                          <w:t>中银国际 宋方云</w:t>
                        </w:r>
                        <w:r>
                          <w:rPr>
                            <w:rFonts w:ascii="Times New Roman" w:hAnsi="Times New Roman" w:cs="Times New Roman" w:eastAsia="Times New Roman" w:hint="default"/>
                            <w:sz w:val="18"/>
                            <w:szCs w:val="18"/>
                          </w:rPr>
                          <w:t>;</w:t>
                        </w:r>
                        <w:r>
                          <w:rPr>
                            <w:rFonts w:ascii="宋体" w:hAnsi="宋体" w:cs="宋体" w:eastAsia="宋体" w:hint="default"/>
                            <w:sz w:val="18"/>
                            <w:szCs w:val="18"/>
                          </w:rPr>
                          <w:t>个人 投资者 王川柏</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、网络信息安全产业园建设进展情况？</w:t>
                        </w:r>
                      </w:p>
                      <w:p>
                        <w:pPr>
                          <w:pStyle w:val="TableParagraph"/>
                          <w:spacing w:line="309" w:lineRule="auto" w:before="61"/>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、本次收购的公司三零瑞通的主要产品及服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务的用途情况。 </w:t>
                        </w:r>
                        <w:r>
                          <w:rPr>
                            <w:rFonts w:ascii="Times New Roman" w:hAnsi="Times New Roman" w:cs="Times New Roman" w:eastAsia="Times New Roman" w:hint="default"/>
                            <w:sz w:val="18"/>
                            <w:szCs w:val="18"/>
                          </w:rPr>
                          <w:t>3</w:t>
                        </w:r>
                        <w:r>
                          <w:rPr>
                            <w:rFonts w:ascii="宋体" w:hAnsi="宋体" w:cs="宋体" w:eastAsia="宋体" w:hint="default"/>
                            <w:sz w:val="18"/>
                            <w:szCs w:val="18"/>
                          </w:rPr>
                          <w:t>、重组事项对公司未来发展的影响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、中央 网络安全和信息化领导小组的成立对信息安 全行业有什么影响？</w:t>
                        </w:r>
                      </w:p>
                      <w:p>
                        <w:pPr>
                          <w:pStyle w:val="TableParagraph"/>
                          <w:tabs>
                            <w:tab w:pos="3420" w:val="right" w:leader="none"/>
                          </w:tabs>
                          <w:spacing w:line="240" w:lineRule="auto" w:before="2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如何看待去</w:t>
                        </w:r>
                        <w:r>
                          <w:rPr>
                            <w:rFonts w:ascii="宋体" w:hAnsi="宋体" w:cs="宋体" w:eastAsia="宋体" w:hint="default"/>
                            <w:spacing w:val="-66"/>
                            <w:sz w:val="18"/>
                            <w:szCs w:val="18"/>
                          </w:rPr>
                          <w:t> </w:t>
                        </w:r>
                        <w:r>
                          <w:rPr>
                            <w:rFonts w:ascii="Times New Roman" w:hAnsi="Times New Roman" w:cs="Times New Roman" w:eastAsia="Times New Roman" w:hint="default"/>
                            <w:w w:val="99"/>
                            <w:sz w:val="18"/>
                            <w:szCs w:val="18"/>
                          </w:rPr>
                          <w:t>IOE</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与信息安全</w:t>
                        </w:r>
                        <w:r>
                          <w:rPr>
                            <w:rFonts w:ascii="Times New Roman" w:hAnsi="Times New Roman" w:cs="Times New Roman" w:eastAsia="Times New Roman" w:hint="default"/>
                            <w:sz w:val="18"/>
                            <w:szCs w:val="18"/>
                          </w:rPr>
                          <w:t>? </w:t>
                          <w:tab/>
                          <w:t>6</w:t>
                        </w:r>
                      </w:p>
                      <w:p>
                        <w:pPr>
                          <w:pStyle w:val="TableParagraph"/>
                          <w:spacing w:line="319" w:lineRule="auto" w:before="63"/>
                          <w:ind w:left="22" w:right="89"/>
                          <w:jc w:val="left"/>
                          <w:rPr>
                            <w:rFonts w:ascii="宋体" w:hAnsi="宋体" w:cs="宋体" w:eastAsia="宋体" w:hint="default"/>
                            <w:sz w:val="18"/>
                            <w:szCs w:val="18"/>
                          </w:rPr>
                        </w:pPr>
                        <w:r>
                          <w:rPr>
                            <w:rFonts w:ascii="宋体" w:hAnsi="宋体" w:cs="宋体" w:eastAsia="宋体" w:hint="default"/>
                            <w:sz w:val="18"/>
                            <w:szCs w:val="18"/>
                          </w:rPr>
                          <w:t>面对信息安全市场发展的机遇，公司有什么 发展策略？</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中金基金 王曳</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tabs>
                            <w:tab w:pos="2352" w:val="left" w:leader="none"/>
                          </w:tabs>
                          <w:spacing w:line="30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、本次收购的公司三零瑞通的主要产品及服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务的用途情况。</w:t>
                          <w:tab/>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、重组事项对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公司未来发展的影响</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、中央网络安全和信息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化领导小组的成立对信息安全行业有什么影 响？</w:t>
                        </w:r>
                      </w:p>
                      <w:p>
                        <w:pPr>
                          <w:pStyle w:val="TableParagraph"/>
                          <w:spacing w:line="309" w:lineRule="auto" w:before="28"/>
                          <w:ind w:left="22" w:right="68"/>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、如何看待去 </w:t>
                        </w:r>
                        <w:r>
                          <w:rPr>
                            <w:rFonts w:ascii="Times New Roman" w:hAnsi="Times New Roman" w:cs="Times New Roman" w:eastAsia="Times New Roman" w:hint="default"/>
                            <w:sz w:val="18"/>
                            <w:szCs w:val="18"/>
                          </w:rPr>
                          <w:t>IOE </w:t>
                        </w:r>
                        <w:r>
                          <w:rPr>
                            <w:rFonts w:ascii="宋体" w:hAnsi="宋体" w:cs="宋体" w:eastAsia="宋体" w:hint="default"/>
                            <w:sz w:val="18"/>
                            <w:szCs w:val="18"/>
                          </w:rPr>
                          <w:t>与信息安全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、面对 信息安全市场发展的机遇，公司有什么发展 策略？</w:t>
                        </w:r>
                      </w:p>
                    </w:tc>
                  </w:tr>
                  <w:tr>
                    <w:trPr>
                      <w:trHeight w:val="2586"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西藏银帆 李志新</w:t>
                        </w:r>
                        <w:r>
                          <w:rPr>
                            <w:rFonts w:ascii="Times New Roman" w:hAnsi="Times New Roman" w:cs="Times New Roman" w:eastAsia="Times New Roman" w:hint="default"/>
                            <w:sz w:val="18"/>
                            <w:szCs w:val="18"/>
                          </w:rPr>
                          <w:t>;</w:t>
                        </w:r>
                        <w:r>
                          <w:rPr>
                            <w:rFonts w:ascii="宋体" w:hAnsi="宋体" w:cs="宋体" w:eastAsia="宋体" w:hint="default"/>
                            <w:sz w:val="18"/>
                            <w:szCs w:val="18"/>
                          </w:rPr>
                          <w:t>国投 瑞银 孟亮</w:t>
                        </w:r>
                        <w:r>
                          <w:rPr>
                            <w:rFonts w:ascii="Times New Roman" w:hAnsi="Times New Roman" w:cs="Times New Roman" w:eastAsia="Times New Roman" w:hint="default"/>
                            <w:sz w:val="18"/>
                            <w:szCs w:val="18"/>
                          </w:rPr>
                          <w:t>;</w:t>
                        </w:r>
                        <w:r>
                          <w:rPr>
                            <w:rFonts w:ascii="宋体" w:hAnsi="宋体" w:cs="宋体" w:eastAsia="宋体" w:hint="default"/>
                            <w:sz w:val="18"/>
                            <w:szCs w:val="18"/>
                          </w:rPr>
                          <w:t>东兴证券 蒋佳霖</w:t>
                        </w:r>
                        <w:r>
                          <w:rPr>
                            <w:rFonts w:ascii="Times New Roman" w:hAnsi="Times New Roman" w:cs="Times New Roman" w:eastAsia="Times New Roman" w:hint="default"/>
                            <w:sz w:val="18"/>
                            <w:szCs w:val="18"/>
                          </w:rPr>
                          <w:t>;</w:t>
                        </w:r>
                        <w:r>
                          <w:rPr>
                            <w:rFonts w:ascii="宋体" w:hAnsi="宋体" w:cs="宋体" w:eastAsia="宋体" w:hint="default"/>
                            <w:sz w:val="18"/>
                            <w:szCs w:val="18"/>
                          </w:rPr>
                          <w:t>银华基金 王利 刚</w:t>
                        </w:r>
                        <w:r>
                          <w:rPr>
                            <w:rFonts w:ascii="Times New Roman" w:hAnsi="Times New Roman" w:cs="Times New Roman" w:eastAsia="Times New Roman" w:hint="default"/>
                            <w:sz w:val="18"/>
                            <w:szCs w:val="18"/>
                          </w:rPr>
                          <w:t>;</w:t>
                        </w:r>
                        <w:r>
                          <w:rPr>
                            <w:rFonts w:ascii="宋体" w:hAnsi="宋体" w:cs="宋体" w:eastAsia="宋体" w:hint="default"/>
                            <w:sz w:val="18"/>
                            <w:szCs w:val="18"/>
                          </w:rPr>
                          <w:t>方正富邦基金 赵群 翊</w:t>
                        </w:r>
                        <w:r>
                          <w:rPr>
                            <w:rFonts w:ascii="Times New Roman" w:hAnsi="Times New Roman" w:cs="Times New Roman" w:eastAsia="Times New Roman" w:hint="default"/>
                            <w:sz w:val="18"/>
                            <w:szCs w:val="18"/>
                          </w:rPr>
                          <w:t>;</w:t>
                        </w:r>
                        <w:r>
                          <w:rPr>
                            <w:rFonts w:ascii="宋体" w:hAnsi="宋体" w:cs="宋体" w:eastAsia="宋体" w:hint="default"/>
                            <w:sz w:val="18"/>
                            <w:szCs w:val="18"/>
                          </w:rPr>
                          <w:t>睿谷投资 陈德义</w:t>
                        </w:r>
                        <w:r>
                          <w:rPr>
                            <w:rFonts w:ascii="Times New Roman" w:hAnsi="Times New Roman" w:cs="Times New Roman" w:eastAsia="Times New Roman" w:hint="default"/>
                            <w:sz w:val="18"/>
                            <w:szCs w:val="18"/>
                          </w:rPr>
                          <w:t>; </w:t>
                        </w:r>
                        <w:r>
                          <w:rPr>
                            <w:rFonts w:ascii="宋体" w:hAnsi="宋体" w:cs="宋体" w:eastAsia="宋体" w:hint="default"/>
                            <w:sz w:val="18"/>
                            <w:szCs w:val="18"/>
                          </w:rPr>
                          <w:t>海富通基金 陈甄璞</w:t>
                        </w:r>
                        <w:r>
                          <w:rPr>
                            <w:rFonts w:ascii="Times New Roman" w:hAnsi="Times New Roman" w:cs="Times New Roman" w:eastAsia="Times New Roman" w:hint="default"/>
                            <w:sz w:val="18"/>
                            <w:szCs w:val="18"/>
                          </w:rPr>
                          <w:t>;</w:t>
                        </w:r>
                        <w:r>
                          <w:rPr>
                            <w:rFonts w:ascii="宋体" w:hAnsi="宋体" w:cs="宋体" w:eastAsia="宋体" w:hint="default"/>
                            <w:sz w:val="18"/>
                            <w:szCs w:val="18"/>
                          </w:rPr>
                          <w:t>锦 泰保险 胡国志</w:t>
                        </w:r>
                        <w:r>
                          <w:rPr>
                            <w:rFonts w:ascii="Times New Roman" w:hAnsi="Times New Roman" w:cs="Times New Roman" w:eastAsia="Times New Roman" w:hint="default"/>
                            <w:sz w:val="18"/>
                            <w:szCs w:val="18"/>
                          </w:rPr>
                          <w:t>;</w:t>
                        </w:r>
                        <w:r>
                          <w:rPr>
                            <w:rFonts w:ascii="宋体" w:hAnsi="宋体" w:cs="宋体" w:eastAsia="宋体" w:hint="default"/>
                            <w:sz w:val="18"/>
                            <w:szCs w:val="18"/>
                          </w:rPr>
                          <w:t>银河证 券 傅楚雄</w:t>
                        </w:r>
                        <w:r>
                          <w:rPr>
                            <w:rFonts w:ascii="Times New Roman" w:hAnsi="Times New Roman" w:cs="Times New Roman" w:eastAsia="Times New Roman" w:hint="default"/>
                            <w:sz w:val="18"/>
                            <w:szCs w:val="18"/>
                          </w:rPr>
                          <w:t>;</w:t>
                        </w:r>
                        <w:r>
                          <w:rPr>
                            <w:rFonts w:ascii="宋体" w:hAnsi="宋体" w:cs="宋体" w:eastAsia="宋体" w:hint="default"/>
                            <w:sz w:val="18"/>
                            <w:szCs w:val="18"/>
                          </w:rPr>
                          <w:t>等</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、请介绍公司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年前三季度的经营情况</w:t>
                        </w:r>
                      </w:p>
                      <w:p>
                        <w:pPr>
                          <w:pStyle w:val="TableParagraph"/>
                          <w:tabs>
                            <w:tab w:pos="2352" w:val="left" w:leader="none"/>
                            <w:tab w:pos="2543" w:val="left" w:leader="none"/>
                          </w:tabs>
                          <w:spacing w:line="307"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、本次收购的公司三零瑞通的主要产品及服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务的用途情况。</w:t>
                          <w:tab/>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、重组事项对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公司未来发展的影响</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、中央网络安全和信息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化领导小组的成立对信息安全行业有什么影 响？ </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、面对信息安全市场发展的机遇，公司有什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么发展策略？</w:t>
                          <w:tab/>
                          <w:tab/>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、请分析卫</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BodyText"/>
        <w:spacing w:line="240" w:lineRule="auto" w:before="44"/>
        <w:ind w:left="0" w:right="92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65"/>
        <w:ind w:left="0" w:right="926"/>
        <w:jc w:val="right"/>
      </w:pPr>
      <w:r>
        <w:rPr/>
        <w:t>。</w:t>
      </w:r>
    </w:p>
    <w:p>
      <w:pPr>
        <w:spacing w:after="0" w:line="240" w:lineRule="auto"/>
        <w:jc w:val="right"/>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419"/>
        <w:gridCol w:w="1276"/>
        <w:gridCol w:w="992"/>
        <w:gridCol w:w="994"/>
        <w:gridCol w:w="1842"/>
        <w:gridCol w:w="3544"/>
      </w:tblGrid>
      <w:tr>
        <w:trPr>
          <w:trHeight w:val="674"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士通公司在信息安全行业中的地位和实力。</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、网络信息安全产业园建设进展情况？</w:t>
            </w:r>
          </w:p>
        </w:tc>
      </w:tr>
      <w:tr>
        <w:trPr>
          <w:trHeight w:val="1962"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公司办公室</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87"/>
              <w:jc w:val="left"/>
              <w:rPr>
                <w:rFonts w:ascii="宋体" w:hAnsi="宋体" w:cs="宋体" w:eastAsia="宋体" w:hint="default"/>
                <w:sz w:val="18"/>
                <w:szCs w:val="18"/>
              </w:rPr>
            </w:pPr>
            <w:r>
              <w:rPr>
                <w:rFonts w:ascii="宋体" w:hAnsi="宋体" w:cs="宋体" w:eastAsia="宋体" w:hint="default"/>
                <w:sz w:val="18"/>
                <w:szCs w:val="18"/>
              </w:rPr>
              <w:t>中银国际证券 宋方 之</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tabs>
                <w:tab w:pos="2363" w:val="left" w:leader="none"/>
              </w:tabs>
              <w:spacing w:line="307"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、本次收购的公司三零瑞通的主要产品及服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务的用途情况？</w:t>
              <w:tab/>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、面对信息安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全市场发展的机遇，公司有什么发展策略？ </w:t>
            </w:r>
            <w:r>
              <w:rPr>
                <w:rFonts w:ascii="Times New Roman" w:hAnsi="Times New Roman" w:cs="Times New Roman" w:eastAsia="Times New Roman" w:hint="default"/>
                <w:sz w:val="18"/>
                <w:szCs w:val="18"/>
              </w:rPr>
              <w:t>3</w:t>
            </w:r>
            <w:r>
              <w:rPr>
                <w:rFonts w:ascii="宋体" w:hAnsi="宋体" w:cs="宋体" w:eastAsia="宋体" w:hint="default"/>
                <w:sz w:val="18"/>
                <w:szCs w:val="18"/>
              </w:rPr>
              <w:t>、网络信息安全产业园建设进展情况？</w:t>
            </w:r>
          </w:p>
          <w:p>
            <w:pPr>
              <w:pStyle w:val="TableParagraph"/>
              <w:spacing w:line="240" w:lineRule="auto" w:before="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、重组事项对公司未来发展的影响。</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、信息安全法对行业未来发展的影响。</w:t>
            </w:r>
          </w:p>
        </w:tc>
      </w:tr>
    </w:tbl>
    <w:p>
      <w:pPr>
        <w:spacing w:after="0" w:line="240"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991" w:right="4729"/>
        <w:jc w:val="center"/>
        <w:rPr>
          <w:b w:val="0"/>
          <w:bCs w:val="0"/>
        </w:rPr>
      </w:pPr>
      <w:bookmarkStart w:name="第五节 重要事项" w:id="47"/>
      <w:bookmarkEnd w:id="47"/>
      <w:r>
        <w:rPr>
          <w:b w:val="0"/>
          <w:bCs w:val="0"/>
        </w:rPr>
      </w:r>
      <w:bookmarkStart w:name="_bookmark4" w:id="48"/>
      <w:bookmarkEnd w:id="48"/>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393" w:right="0"/>
        <w:jc w:val="left"/>
        <w:rPr>
          <w:b w:val="0"/>
          <w:bCs w:val="0"/>
        </w:rPr>
      </w:pPr>
      <w:bookmarkStart w:name="一、控股股东及其关联方对上市公司的非经营性占用资金情况" w:id="49"/>
      <w:bookmarkEnd w:id="49"/>
      <w:r>
        <w:rPr>
          <w:b w:val="0"/>
          <w:bCs w:val="0"/>
        </w:rPr>
      </w:r>
      <w:r>
        <w:rPr/>
        <w:t>一、控股股东及其关联方对上市公司的非经营性占用资金情况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left="393"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left="393" w:right="7333"/>
        <w:jc w:val="left"/>
        <w:rPr>
          <w:b w:val="0"/>
          <w:bCs w:val="0"/>
        </w:rPr>
      </w:pPr>
      <w:bookmarkStart w:name="二、资产交易事项" w:id="50"/>
      <w:bookmarkEnd w:id="50"/>
      <w:r>
        <w:rPr>
          <w:b w:val="0"/>
          <w:bCs w:val="0"/>
        </w:rPr>
      </w:r>
      <w:r>
        <w:rPr/>
        <w:t>二、资产交易事项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393" w:right="7333"/>
        <w:jc w:val="left"/>
        <w:rPr>
          <w:b w:val="0"/>
          <w:bCs w:val="0"/>
        </w:rPr>
      </w:pPr>
      <w:bookmarkStart w:name="1、收购资产情况" w:id="51"/>
      <w:bookmarkEnd w:id="51"/>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994"/>
        <w:gridCol w:w="3119"/>
        <w:gridCol w:w="850"/>
        <w:gridCol w:w="1418"/>
        <w:gridCol w:w="1418"/>
        <w:gridCol w:w="1418"/>
      </w:tblGrid>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 w:right="40"/>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3" w:right="0"/>
              <w:jc w:val="left"/>
              <w:rPr>
                <w:rFonts w:ascii="宋体" w:hAnsi="宋体" w:cs="宋体" w:eastAsia="宋体" w:hint="default"/>
                <w:sz w:val="18"/>
                <w:szCs w:val="18"/>
              </w:rPr>
            </w:pPr>
            <w:r>
              <w:rPr>
                <w:rFonts w:ascii="宋体" w:hAnsi="宋体" w:cs="宋体" w:eastAsia="宋体" w:hint="default"/>
                <w:sz w:val="18"/>
                <w:szCs w:val="18"/>
              </w:rPr>
              <w:t>被收购或置入资产</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0" w:right="59"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20" w:hanging="2"/>
              <w:jc w:val="center"/>
              <w:rPr>
                <w:rFonts w:ascii="宋体" w:hAnsi="宋体" w:cs="宋体" w:eastAsia="宋体" w:hint="default"/>
                <w:sz w:val="18"/>
                <w:szCs w:val="18"/>
              </w:rPr>
            </w:pPr>
            <w:r>
              <w:rPr>
                <w:rFonts w:ascii="宋体" w:hAnsi="宋体" w:cs="宋体" w:eastAsia="宋体" w:hint="default"/>
                <w:sz w:val="18"/>
                <w:szCs w:val="18"/>
              </w:rPr>
              <w:t>与交易对方的关 </w:t>
            </w:r>
            <w:r>
              <w:rPr>
                <w:rFonts w:ascii="宋体" w:hAnsi="宋体" w:cs="宋体" w:eastAsia="宋体" w:hint="default"/>
                <w:spacing w:val="-10"/>
                <w:sz w:val="18"/>
                <w:szCs w:val="18"/>
              </w:rPr>
              <w:t>联关系（适用关联</w:t>
            </w:r>
            <w:r>
              <w:rPr>
                <w:rFonts w:ascii="宋体" w:hAnsi="宋体" w:cs="宋体" w:eastAsia="宋体" w:hint="default"/>
                <w:sz w:val="18"/>
                <w:szCs w:val="18"/>
              </w:rPr>
              <w:t> 交易情形</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10"/>
              <w:jc w:val="left"/>
              <w:rPr>
                <w:rFonts w:ascii="宋体" w:hAnsi="宋体" w:cs="宋体" w:eastAsia="宋体" w:hint="default"/>
                <w:sz w:val="18"/>
                <w:szCs w:val="18"/>
              </w:rPr>
            </w:pPr>
            <w:r>
              <w:rPr>
                <w:rFonts w:ascii="宋体" w:hAnsi="宋体" w:cs="宋体" w:eastAsia="宋体" w:hint="default"/>
                <w:sz w:val="18"/>
                <w:szCs w:val="18"/>
              </w:rPr>
              <w:t>披露日期（注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中国电子科 技集团公司 第三十研究 所</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 </w:t>
            </w:r>
            <w:r>
              <w:rPr>
                <w:rFonts w:ascii="Times New Roman" w:hAnsi="Times New Roman" w:cs="Times New Roman" w:eastAsia="Times New Roman" w:hint="default"/>
                <w:spacing w:val="-1"/>
                <w:sz w:val="18"/>
                <w:szCs w:val="18"/>
              </w:rPr>
              <w:t>56.04%</w:t>
            </w:r>
            <w:r>
              <w:rPr>
                <w:rFonts w:ascii="宋体" w:hAnsi="宋体" w:cs="宋体" w:eastAsia="宋体" w:hint="default"/>
                <w:spacing w:val="-1"/>
                <w:sz w:val="18"/>
                <w:szCs w:val="18"/>
              </w:rPr>
              <w:t>股权、成都三零瑞通移动通信有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51.06%</w:t>
            </w:r>
            <w:r>
              <w:rPr>
                <w:rFonts w:ascii="宋体" w:hAnsi="宋体" w:cs="宋体" w:eastAsia="宋体" w:hint="default"/>
                <w:spacing w:val="-4"/>
                <w:sz w:val="18"/>
                <w:szCs w:val="18"/>
              </w:rPr>
              <w:t>股权、成都三零嘉微电子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70.22%</w:t>
            </w:r>
            <w:r>
              <w:rPr>
                <w:rFonts w:ascii="宋体" w:hAnsi="宋体" w:cs="宋体" w:eastAsia="宋体" w:hint="default"/>
                <w:spacing w:val="-4"/>
                <w:sz w:val="18"/>
                <w:szCs w:val="18"/>
              </w:rPr>
              <w:t>股权、三十所北京房产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2" w:right="4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成都国信安 信息产业基 地有限公司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 </w:t>
            </w:r>
            <w:r>
              <w:rPr>
                <w:rFonts w:ascii="Times New Roman" w:hAnsi="Times New Roman" w:cs="Times New Roman" w:eastAsia="Times New Roman" w:hint="default"/>
                <w:spacing w:val="-1"/>
                <w:sz w:val="18"/>
                <w:szCs w:val="18"/>
              </w:rPr>
              <w:t>11.07%</w:t>
            </w:r>
            <w:r>
              <w:rPr>
                <w:rFonts w:ascii="宋体" w:hAnsi="宋体" w:cs="宋体" w:eastAsia="宋体" w:hint="default"/>
                <w:spacing w:val="-1"/>
                <w:sz w:val="18"/>
                <w:szCs w:val="18"/>
              </w:rPr>
              <w:t>股权、成都三零瑞通移动通信有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6.07%</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2" w:right="4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w:t>
            </w:r>
          </w:p>
        </w:tc>
      </w:tr>
      <w:tr>
        <w:trPr>
          <w:trHeight w:val="196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四川发展投 资有限公司</w:t>
            </w:r>
          </w:p>
          <w:p>
            <w:pPr>
              <w:pStyle w:val="TableParagraph"/>
              <w:spacing w:line="312" w:lineRule="auto" w:before="19"/>
              <w:ind w:left="24" w:right="58"/>
              <w:jc w:val="left"/>
              <w:rPr>
                <w:rFonts w:ascii="宋体" w:hAnsi="宋体" w:cs="宋体" w:eastAsia="宋体" w:hint="default"/>
                <w:sz w:val="18"/>
                <w:szCs w:val="18"/>
              </w:rPr>
            </w:pPr>
            <w:r>
              <w:rPr>
                <w:rFonts w:ascii="宋体" w:hAnsi="宋体" w:cs="宋体" w:eastAsia="宋体" w:hint="default"/>
                <w:sz w:val="18"/>
                <w:szCs w:val="18"/>
              </w:rPr>
              <w:t>（原名</w:t>
            </w:r>
            <w:r>
              <w:rPr>
                <w:rFonts w:ascii="Times New Roman" w:hAnsi="Times New Roman" w:cs="Times New Roman" w:eastAsia="Times New Roman" w:hint="default"/>
                <w:sz w:val="18"/>
                <w:szCs w:val="18"/>
              </w:rPr>
              <w:t>:</w:t>
            </w:r>
            <w:r>
              <w:rPr>
                <w:rFonts w:ascii="宋体" w:hAnsi="宋体" w:cs="宋体" w:eastAsia="宋体" w:hint="default"/>
                <w:sz w:val="18"/>
                <w:szCs w:val="18"/>
              </w:rPr>
              <w:t>四 川蜀祥创业 投资有限公 司）</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22" w:right="21"/>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 </w:t>
            </w:r>
            <w:r>
              <w:rPr>
                <w:rFonts w:ascii="Times New Roman" w:hAnsi="Times New Roman" w:cs="Times New Roman" w:eastAsia="Times New Roman" w:hint="default"/>
                <w:spacing w:val="-1"/>
                <w:sz w:val="18"/>
                <w:szCs w:val="18"/>
              </w:rPr>
              <w:t>26.88%</w:t>
            </w:r>
            <w:r>
              <w:rPr>
                <w:rFonts w:ascii="宋体" w:hAnsi="宋体" w:cs="宋体" w:eastAsia="宋体" w:hint="default"/>
                <w:spacing w:val="-1"/>
                <w:sz w:val="18"/>
                <w:szCs w:val="18"/>
              </w:rPr>
              <w:t>股权、成都三零瑞通移动通信有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37.27%</w:t>
            </w:r>
            <w:r>
              <w:rPr>
                <w:rFonts w:ascii="宋体" w:hAnsi="宋体" w:cs="宋体" w:eastAsia="宋体" w:hint="default"/>
                <w:spacing w:val="-4"/>
                <w:sz w:val="18"/>
                <w:szCs w:val="18"/>
              </w:rPr>
              <w:t>股权、成都三零嘉微电子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15.52%</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2" w:lineRule="auto" w:before="76"/>
              <w:ind w:left="22" w:right="4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http://www.cnin</w:t>
            </w:r>
            <w:r>
              <w:rPr>
                <w:rFonts w:ascii="Times New Roman" w:hAnsi="Times New Roman" w:cs="Times New Roman" w:eastAsia="Times New Roman" w:hint="default"/>
                <w:sz w:val="18"/>
                <w:szCs w:val="18"/>
              </w:rPr>
              <w:t> fo.com.cn</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394" w:right="7333"/>
        <w:jc w:val="left"/>
        <w:rPr>
          <w:b w:val="0"/>
          <w:bCs w:val="0"/>
        </w:rPr>
      </w:pPr>
      <w:bookmarkStart w:name="2、出售资产情况" w:id="52"/>
      <w:bookmarkEnd w:id="52"/>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left="393" w:right="87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12"/>
        <w:rPr>
          <w:rFonts w:ascii="宋体" w:hAnsi="宋体" w:cs="宋体" w:eastAsia="宋体" w:hint="default"/>
          <w:sz w:val="20"/>
          <w:szCs w:val="20"/>
        </w:rPr>
      </w:pPr>
    </w:p>
    <w:p>
      <w:pPr>
        <w:pStyle w:val="Heading3"/>
        <w:spacing w:line="240" w:lineRule="auto"/>
        <w:ind w:left="393" w:right="7333"/>
        <w:jc w:val="left"/>
        <w:rPr>
          <w:b w:val="0"/>
          <w:bCs w:val="0"/>
        </w:rPr>
      </w:pPr>
      <w:bookmarkStart w:name="3、企业合并情况" w:id="53"/>
      <w:bookmarkEnd w:id="53"/>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39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报告期内，公司通过成功实施重大资产重组，取得原由控股股东三十所控股的成都三零盛安信息系统有限公司</w:t>
      </w:r>
      <w:r>
        <w:rPr>
          <w:rFonts w:ascii="Times New Roman" w:hAnsi="Times New Roman" w:cs="Times New Roman" w:eastAsia="Times New Roman" w:hint="default"/>
          <w:spacing w:val="-1"/>
        </w:rPr>
        <w:t>93.98%</w:t>
      </w:r>
      <w:r>
        <w:rPr>
          <w:spacing w:val="-1"/>
        </w:rPr>
        <w:t>股权、</w:t>
      </w:r>
      <w:r>
        <w:rPr>
          <w:spacing w:val="-41"/>
        </w:rPr>
        <w:t> </w:t>
      </w:r>
      <w:r>
        <w:rPr/>
        <w:t>成都三零瑞通移动通信有限公司</w:t>
      </w:r>
      <w:r>
        <w:rPr>
          <w:rFonts w:ascii="Times New Roman" w:hAnsi="Times New Roman" w:cs="Times New Roman" w:eastAsia="Times New Roman" w:hint="default"/>
        </w:rPr>
        <w:t>94.41%</w:t>
      </w:r>
      <w:r>
        <w:rPr/>
        <w:t>股权和成都三零嘉微电子有限公司</w:t>
      </w:r>
      <w:r>
        <w:rPr>
          <w:rFonts w:ascii="Times New Roman" w:hAnsi="Times New Roman" w:cs="Times New Roman" w:eastAsia="Times New Roman" w:hint="default"/>
        </w:rPr>
        <w:t>75.74%</w:t>
      </w:r>
      <w:r>
        <w:rPr/>
        <w:t>股权。相关情况详见公司披露于巨潮资讯</w:t>
      </w:r>
    </w:p>
    <w:p>
      <w:pPr>
        <w:pStyle w:val="BodyText"/>
        <w:spacing w:line="246" w:lineRule="exact"/>
        <w:ind w:left="393" w:right="0"/>
        <w:jc w:val="left"/>
      </w:pPr>
      <w:r>
        <w:rPr/>
        <w:t>网（</w:t>
      </w:r>
      <w:hyperlink r:id="rId12">
        <w:r>
          <w:rPr>
            <w:rFonts w:ascii="Times New Roman" w:hAnsi="Times New Roman" w:cs="Times New Roman" w:eastAsia="Times New Roman" w:hint="default"/>
          </w:rPr>
          <w:t>http://www.cninfo.com.cn</w:t>
        </w:r>
      </w:hyperlink>
      <w:r>
        <w:rPr/>
        <w:t>）上的公告文件。</w:t>
      </w:r>
    </w:p>
    <w:p>
      <w:pPr>
        <w:spacing w:after="0" w:line="246" w:lineRule="exact"/>
        <w:jc w:val="left"/>
        <w:sectPr>
          <w:pgSz w:w="11910" w:h="16840"/>
          <w:pgMar w:header="747" w:footer="979" w:top="1060" w:bottom="1160" w:left="740" w:right="0"/>
        </w:sectPr>
      </w:pPr>
    </w:p>
    <w:p>
      <w:pPr>
        <w:spacing w:line="240" w:lineRule="auto" w:before="9"/>
        <w:rPr>
          <w:rFonts w:ascii="宋体" w:hAnsi="宋体" w:cs="宋体" w:eastAsia="宋体" w:hint="default"/>
          <w:sz w:val="23"/>
          <w:szCs w:val="23"/>
        </w:rPr>
      </w:pPr>
    </w:p>
    <w:p>
      <w:pPr>
        <w:pStyle w:val="Heading2"/>
        <w:spacing w:line="240" w:lineRule="auto" w:before="26"/>
        <w:ind w:left="393" w:right="7333"/>
        <w:jc w:val="left"/>
        <w:rPr>
          <w:b w:val="0"/>
          <w:bCs w:val="0"/>
        </w:rPr>
      </w:pPr>
      <w:bookmarkStart w:name="三、重大关联交易" w:id="54"/>
      <w:bookmarkEnd w:id="54"/>
      <w:r>
        <w:rPr>
          <w:b w:val="0"/>
          <w:bCs w:val="0"/>
        </w:rPr>
      </w:r>
      <w:r>
        <w:rPr/>
        <w:t>三、重大关联交易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393" w:right="7333"/>
        <w:jc w:val="left"/>
        <w:rPr>
          <w:b w:val="0"/>
          <w:bCs w:val="0"/>
        </w:rPr>
      </w:pPr>
      <w:bookmarkStart w:name="1、与日常经营相关的关联交易" w:id="55"/>
      <w:bookmarkEnd w:id="55"/>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3"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560"/>
        <w:gridCol w:w="1134"/>
        <w:gridCol w:w="852"/>
        <w:gridCol w:w="1275"/>
        <w:gridCol w:w="851"/>
        <w:gridCol w:w="851"/>
        <w:gridCol w:w="993"/>
        <w:gridCol w:w="850"/>
        <w:gridCol w:w="992"/>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5"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9"/>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1" w:right="5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0" w:right="59"/>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0" w:right="40"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成都国信安信息产 业基地有限公司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成都三零凯天通信 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成都三零普瑞科技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174.93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安徽四创电子股份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杭州海康威视数字 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上海华东电脑股份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2,396.58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z w:val="18"/>
                <w:szCs w:val="18"/>
              </w:rPr>
              <w:t>太极计算机股份有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中电集团华北计算 技术研究所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中电科技国际贸易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中电科技国际贸易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3"/>
                <w:sz w:val="18"/>
              </w:rPr>
              <w:t>111.13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中国电子科技财务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实际控制人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3,765.04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公司第二十八研究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公司第二十九研究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公司第二十三研究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560"/>
        <w:gridCol w:w="1134"/>
        <w:gridCol w:w="852"/>
        <w:gridCol w:w="1275"/>
        <w:gridCol w:w="851"/>
        <w:gridCol w:w="851"/>
        <w:gridCol w:w="993"/>
        <w:gridCol w:w="850"/>
        <w:gridCol w:w="992"/>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所</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公司第二十四研究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公司第二十研究所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公司第二十一研究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公司第二研究所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公司第七研究所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公司第三十二研究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公司第三十三研究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11,880.65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公司第十八研究所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公司第四十八研究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230.37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公司第四十九研究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公司第四十六研究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公司第四十七研究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公司第四十五研究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560"/>
        <w:gridCol w:w="1134"/>
        <w:gridCol w:w="852"/>
        <w:gridCol w:w="1275"/>
        <w:gridCol w:w="851"/>
        <w:gridCol w:w="851"/>
        <w:gridCol w:w="993"/>
        <w:gridCol w:w="850"/>
        <w:gridCol w:w="99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公司第四十研究所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公司第四十一研究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公司第五十三研究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公司第五十四研究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公司第五十一研究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公司电子科学研究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公司信息化工程总 体研究中心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销售商品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安全产品及集 成等</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成都三零普瑞科技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77.92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上海三零卫士信息 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中国电子科技财务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787.65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33.26%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公司第四十一研究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提供劳务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成都国信安信息产 业基地有限公司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成都三零凯天通信 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广州杰赛科技股份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bl>
    <w:p>
      <w:pPr>
        <w:spacing w:after="0" w:line="319"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560"/>
        <w:gridCol w:w="1134"/>
        <w:gridCol w:w="852"/>
        <w:gridCol w:w="1275"/>
        <w:gridCol w:w="851"/>
        <w:gridCol w:w="851"/>
        <w:gridCol w:w="993"/>
        <w:gridCol w:w="850"/>
        <w:gridCol w:w="99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上海华东电脑股份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3,927.98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上海三零卫士信息 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杭州海康威视数字 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1,032.91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公司第二十九研究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2,034.19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公司第三十三研究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采购元器件及 集成设备</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成都国信安信息产 业基地有限公司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463.1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成都三零凯天通信 实业有限公司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上海三零卫士信息 安全有限公司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受同一母公 司控制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中国电子科技集团 公司第五十八研究 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受同一最终 控制人控制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房屋租赁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130.76</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中国电子科技集团 公司第三十研究所</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设备租赁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设备租赁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成都摩宝网络科技 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房屋、设备</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房屋、设 备租赁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房屋、设备租赁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w:t>
            </w:r>
          </w:p>
        </w:tc>
        <w:tc>
          <w:tcPr>
            <w:tcW w:w="851"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转账结算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6"/>
              <w:jc w:val="left"/>
              <w:rPr>
                <w:rFonts w:ascii="宋体" w:hAnsi="宋体" w:cs="宋体" w:eastAsia="宋体" w:hint="default"/>
                <w:sz w:val="18"/>
                <w:szCs w:val="18"/>
              </w:rPr>
            </w:pPr>
            <w:r>
              <w:rPr>
                <w:rFonts w:ascii="宋体" w:hAnsi="宋体" w:cs="宋体" w:eastAsia="宋体" w:hint="default"/>
                <w:sz w:val="18"/>
                <w:szCs w:val="18"/>
              </w:rPr>
              <w:t>证券时报， 巨潮资讯网</w:t>
            </w:r>
          </w:p>
        </w:tc>
      </w:tr>
      <w:tr>
        <w:trPr>
          <w:trHeight w:val="402" w:hRule="exact"/>
        </w:trPr>
        <w:tc>
          <w:tcPr>
            <w:tcW w:w="482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35,096.29</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394" w:right="7333"/>
        <w:jc w:val="left"/>
        <w:rPr>
          <w:b w:val="0"/>
          <w:bCs w:val="0"/>
        </w:rPr>
      </w:pPr>
      <w:bookmarkStart w:name="2、资产收购、出售发生的关联交易" w:id="56"/>
      <w:bookmarkEnd w:id="56"/>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94"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389" w:type="dxa"/>
        <w:tblLayout w:type="fixed"/>
        <w:tblCellMar>
          <w:top w:w="0" w:type="dxa"/>
          <w:left w:w="0" w:type="dxa"/>
          <w:bottom w:w="0" w:type="dxa"/>
          <w:right w:w="0" w:type="dxa"/>
        </w:tblCellMar>
        <w:tblLook w:val="01E0"/>
      </w:tblPr>
      <w:tblGrid>
        <w:gridCol w:w="737"/>
        <w:gridCol w:w="748"/>
        <w:gridCol w:w="736"/>
        <w:gridCol w:w="736"/>
        <w:gridCol w:w="738"/>
        <w:gridCol w:w="734"/>
        <w:gridCol w:w="736"/>
        <w:gridCol w:w="734"/>
        <w:gridCol w:w="736"/>
        <w:gridCol w:w="735"/>
        <w:gridCol w:w="738"/>
        <w:gridCol w:w="738"/>
        <w:gridCol w:w="722"/>
      </w:tblGrid>
      <w:tr>
        <w:trPr>
          <w:trHeight w:val="1338"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8" w:right="9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19"/>
              <w:jc w:val="left"/>
              <w:rPr>
                <w:rFonts w:ascii="宋体" w:hAnsi="宋体" w:cs="宋体" w:eastAsia="宋体" w:hint="default"/>
                <w:sz w:val="18"/>
                <w:szCs w:val="18"/>
              </w:rPr>
            </w:pPr>
            <w:r>
              <w:rPr>
                <w:rFonts w:ascii="宋体" w:hAnsi="宋体" w:cs="宋体" w:eastAsia="宋体" w:hint="default"/>
                <w:sz w:val="18"/>
                <w:szCs w:val="18"/>
              </w:rPr>
              <w:t>（万元）</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5" w:right="8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7" w:footer="979" w:top="1060" w:bottom="1160" w:left="74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40"/>
        <w:gridCol w:w="748"/>
        <w:gridCol w:w="736"/>
        <w:gridCol w:w="736"/>
        <w:gridCol w:w="738"/>
        <w:gridCol w:w="734"/>
        <w:gridCol w:w="736"/>
        <w:gridCol w:w="734"/>
        <w:gridCol w:w="736"/>
        <w:gridCol w:w="735"/>
        <w:gridCol w:w="738"/>
        <w:gridCol w:w="738"/>
        <w:gridCol w:w="722"/>
      </w:tblGrid>
      <w:tr>
        <w:trPr>
          <w:trHeight w:val="1962"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中国电 子科技 集团公 司第三 十研究 所</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发行股 份</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共同对外投资的关联交易" w:id="57"/>
      <w:bookmarkEnd w:id="57"/>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4、关联债权债务往来" w:id="58"/>
      <w:bookmarkEnd w:id="58"/>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36"/>
        <w:gridCol w:w="1118"/>
        <w:gridCol w:w="1120"/>
        <w:gridCol w:w="1118"/>
        <w:gridCol w:w="1120"/>
        <w:gridCol w:w="1119"/>
        <w:gridCol w:w="1120"/>
        <w:gridCol w:w="1118"/>
      </w:tblGrid>
      <w:tr>
        <w:trPr>
          <w:trHeight w:val="1026"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1"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7"/>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4"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中国电子科技财务有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受同一最终 控制方控制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84"/>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70,000,000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-10,000,000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Times New Roman"/>
                <w:sz w:val="18"/>
              </w:rPr>
              <w:t>60,000,000</w:t>
            </w:r>
          </w:p>
        </w:tc>
      </w:tr>
      <w:tr>
        <w:trPr>
          <w:trHeight w:val="1338" w:hRule="exact"/>
        </w:trPr>
        <w:tc>
          <w:tcPr>
            <w:tcW w:w="2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5" w:type="dxa"/>
            <w:gridSpan w:val="6"/>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本公司下属子公司成都三零盛安信息系统有限公司和成都三零瑞通移动通信有限公 司报告期初有向中国电子科技财务有限公司贷款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万元，报告期内归还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2" w:lineRule="auto"/>
              <w:ind w:left="24" w:right="65"/>
              <w:jc w:val="left"/>
              <w:rPr>
                <w:rFonts w:ascii="宋体" w:hAnsi="宋体" w:cs="宋体" w:eastAsia="宋体" w:hint="default"/>
                <w:sz w:val="18"/>
                <w:szCs w:val="18"/>
              </w:rPr>
            </w:pPr>
            <w:r>
              <w:rPr>
                <w:rFonts w:ascii="宋体" w:hAnsi="宋体" w:cs="宋体" w:eastAsia="宋体" w:hint="default"/>
                <w:sz w:val="18"/>
                <w:szCs w:val="18"/>
              </w:rPr>
              <w:t>贷款并向中国电子科技财务有限公司贷款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万元，报告期支付利息费用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其他关联交易" w:id="59"/>
      <w:bookmarkEnd w:id="59"/>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left="154"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w:t>
      </w:r>
      <w:r>
        <w:rPr>
          <w:rFonts w:ascii="Times New Roman" w:hAnsi="Times New Roman" w:cs="Times New Roman" w:eastAsia="Times New Roman" w:hint="default"/>
        </w:rPr>
        <w:t>1</w:t>
      </w:r>
      <w:r>
        <w:rPr/>
        <w:t>）关联担保情况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7"/>
        </w:rPr>
        <w:t> </w:t>
      </w:r>
      <w:r>
        <w:rPr/>
        <w:t>元</w:t>
      </w:r>
    </w:p>
    <w:p>
      <w:pPr>
        <w:spacing w:after="0" w:line="240" w:lineRule="auto"/>
        <w:jc w:val="left"/>
        <w:sectPr>
          <w:type w:val="continuous"/>
          <w:pgSz w:w="11910" w:h="16840"/>
          <w:pgMar w:top="1060" w:bottom="1160" w:left="980" w:right="0"/>
          <w:cols w:num="2" w:equalWidth="0">
            <w:col w:w="1685" w:space="6826"/>
            <w:col w:w="2419"/>
          </w:cols>
        </w:sectPr>
      </w:pP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2694"/>
        <w:gridCol w:w="1276"/>
        <w:gridCol w:w="1772"/>
        <w:gridCol w:w="1914"/>
        <w:gridCol w:w="1914"/>
      </w:tblGrid>
      <w:tr>
        <w:trPr>
          <w:trHeight w:val="426" w:hRule="exact"/>
        </w:trPr>
        <w:tc>
          <w:tcPr>
            <w:tcW w:w="26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2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6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28"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99"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9"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55"/>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 究所</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Times New Roman" w:hAnsi="Times New Roman" w:cs="Times New Roman" w:eastAsia="Times New Roman" w:hint="default"/>
                <w:sz w:val="18"/>
                <w:szCs w:val="18"/>
              </w:rPr>
            </w:pPr>
            <w:r>
              <w:rPr>
                <w:rFonts w:ascii="Times New Roman"/>
                <w:sz w:val="18"/>
              </w:rPr>
              <w:t>20,000,000.00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5"/>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 究所</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Times New Roman" w:hAnsi="Times New Roman" w:cs="Times New Roman" w:eastAsia="Times New Roman" w:hint="default"/>
                <w:sz w:val="18"/>
                <w:szCs w:val="18"/>
              </w:rPr>
            </w:pPr>
            <w:r>
              <w:rPr>
                <w:rFonts w:ascii="Times New Roman"/>
                <w:sz w:val="18"/>
              </w:rPr>
              <w:t>30,000,000.00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5"/>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 究所</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Times New Roman" w:hAnsi="Times New Roman" w:cs="Times New Roman" w:eastAsia="Times New Roman" w:hint="default"/>
                <w:sz w:val="18"/>
                <w:szCs w:val="18"/>
              </w:rPr>
            </w:pPr>
            <w:r>
              <w:rPr>
                <w:rFonts w:ascii="Times New Roman"/>
                <w:sz w:val="18"/>
              </w:rPr>
              <w:t>10,000,000.00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Times New Roman" w:hAnsi="Times New Roman" w:cs="Times New Roman" w:eastAsia="Times New Roman" w:hint="default"/>
                <w:sz w:val="18"/>
                <w:szCs w:val="18"/>
              </w:rPr>
            </w:pPr>
            <w:r>
              <w:rPr>
                <w:rFonts w:ascii="Times New Roman"/>
                <w:sz w:val="18"/>
              </w:rPr>
              <w:t>20,000,000.00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6"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Times New Roman" w:hAnsi="Times New Roman" w:cs="Times New Roman" w:eastAsia="Times New Roman" w:hint="default"/>
                <w:sz w:val="18"/>
                <w:szCs w:val="18"/>
              </w:rPr>
            </w:pPr>
            <w:r>
              <w:rPr>
                <w:rFonts w:ascii="Times New Roman"/>
                <w:sz w:val="18"/>
              </w:rPr>
              <w:t>30,000,000.00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2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3" w:right="0"/>
              <w:jc w:val="left"/>
              <w:rPr>
                <w:rFonts w:ascii="Times New Roman" w:hAnsi="Times New Roman" w:cs="Times New Roman" w:eastAsia="Times New Roman" w:hint="default"/>
                <w:sz w:val="18"/>
                <w:szCs w:val="18"/>
              </w:rPr>
            </w:pPr>
            <w:r>
              <w:rPr>
                <w:rFonts w:ascii="Times New Roman"/>
                <w:sz w:val="18"/>
              </w:rPr>
              <w:t>10,000,000.00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关联担保情况说明</w:t>
      </w:r>
    </w:p>
    <w:p>
      <w:pPr>
        <w:pStyle w:val="Heading4"/>
        <w:spacing w:line="273" w:lineRule="auto" w:before="89"/>
        <w:ind w:right="1130" w:firstLine="294"/>
        <w:jc w:val="both"/>
      </w:pPr>
      <w:r>
        <w:rPr/>
        <w:t>注①：三十所为本公司下属子公司向中国电子科技财务有限公司借款提供担保，金额分别为成都三零</w:t>
      </w:r>
      <w:r>
        <w:rPr>
          <w:spacing w:val="2"/>
        </w:rPr>
        <w:t> </w:t>
      </w:r>
      <w:r>
        <w:rPr/>
        <w:t>瑞通移动通信有限公司</w:t>
      </w:r>
      <w:r>
        <w:rPr>
          <w:rFonts w:ascii="Times New Roman" w:hAnsi="Times New Roman" w:cs="Times New Roman" w:eastAsia="Times New Roman" w:hint="default"/>
        </w:rPr>
        <w:t>20,000,000.00</w:t>
      </w:r>
      <w:r>
        <w:rPr/>
        <w:t>元和成都三零盛安信息系统有限公司</w:t>
      </w:r>
      <w:r>
        <w:rPr>
          <w:rFonts w:ascii="Times New Roman" w:hAnsi="Times New Roman" w:cs="Times New Roman" w:eastAsia="Times New Roman" w:hint="default"/>
        </w:rPr>
        <w:t>40,000,000.00</w:t>
      </w:r>
      <w:r>
        <w:rPr/>
        <w:t>元；</w:t>
      </w:r>
    </w:p>
    <w:p>
      <w:pPr>
        <w:pStyle w:val="Heading4"/>
        <w:spacing w:line="266" w:lineRule="auto" w:before="60"/>
        <w:ind w:right="1132" w:firstLine="336"/>
        <w:jc w:val="both"/>
      </w:pPr>
      <w:r>
        <w:rPr/>
        <w:t>注②：本公司下属子公司成都三零瑞通移动通信有限公司就注①担保事项与三十所签订反担保合同， </w:t>
      </w:r>
      <w:r>
        <w:rPr>
          <w:spacing w:val="-1"/>
        </w:rPr>
        <w:t>将其位于成都市高新区云华路</w:t>
      </w:r>
      <w:r>
        <w:rPr>
          <w:rFonts w:ascii="Times New Roman" w:hAnsi="Times New Roman" w:cs="Times New Roman" w:eastAsia="Times New Roman" w:hint="default"/>
          <w:spacing w:val="-1"/>
        </w:rPr>
        <w:t>333</w:t>
      </w:r>
      <w:r>
        <w:rPr>
          <w:spacing w:val="-1"/>
        </w:rPr>
        <w:t>号国家西部信息安全产业园</w:t>
      </w:r>
      <w:r>
        <w:rPr>
          <w:rFonts w:ascii="Times New Roman" w:hAnsi="Times New Roman" w:cs="Times New Roman" w:eastAsia="Times New Roman" w:hint="default"/>
          <w:spacing w:val="-1"/>
        </w:rPr>
        <w:t>3</w:t>
      </w:r>
      <w:r>
        <w:rPr>
          <w:spacing w:val="-1"/>
        </w:rPr>
        <w:t>栋办公楼作为抵押财产抵押给三十所，该办</w:t>
      </w:r>
      <w:r>
        <w:rPr>
          <w:spacing w:val="-83"/>
        </w:rPr>
        <w:t> </w:t>
      </w:r>
      <w:r>
        <w:rPr>
          <w:spacing w:val="-83"/>
        </w:rPr>
      </w:r>
      <w:r>
        <w:rPr/>
        <w:t>公楼面积为</w:t>
      </w:r>
      <w:r>
        <w:rPr>
          <w:rFonts w:ascii="Times New Roman" w:hAnsi="Times New Roman" w:cs="Times New Roman" w:eastAsia="Times New Roman" w:hint="default"/>
        </w:rPr>
        <w:t>6715.78</w:t>
      </w:r>
      <w:r>
        <w:rPr/>
        <w:t>平方米；</w:t>
      </w:r>
    </w:p>
    <w:p>
      <w:pPr>
        <w:pStyle w:val="Heading4"/>
        <w:spacing w:line="264" w:lineRule="auto" w:before="67"/>
        <w:ind w:right="1130" w:firstLine="345"/>
        <w:jc w:val="both"/>
      </w:pPr>
      <w:r>
        <w:rPr/>
        <w:t>注③：本公司下属子公司成都三零盛安信息系统有限公司就注①担保事项与三十所签订反担保合同，</w:t>
      </w:r>
      <w:r>
        <w:rPr>
          <w:spacing w:val="1"/>
        </w:rPr>
        <w:t> </w:t>
      </w:r>
      <w:r>
        <w:rPr>
          <w:spacing w:val="-2"/>
        </w:rPr>
        <w:t>将其位于成都高新区云华路</w:t>
      </w:r>
      <w:r>
        <w:rPr>
          <w:rFonts w:ascii="Times New Roman" w:hAnsi="Times New Roman" w:cs="Times New Roman" w:eastAsia="Times New Roman" w:hint="default"/>
          <w:spacing w:val="-2"/>
        </w:rPr>
        <w:t>333</w:t>
      </w:r>
      <w:r>
        <w:rPr>
          <w:spacing w:val="-2"/>
        </w:rPr>
        <w:t>号国家西部信息安全产业园</w:t>
      </w:r>
      <w:r>
        <w:rPr>
          <w:rFonts w:ascii="Times New Roman" w:hAnsi="Times New Roman" w:cs="Times New Roman" w:eastAsia="Times New Roman" w:hint="default"/>
          <w:spacing w:val="-2"/>
        </w:rPr>
        <w:t>2</w:t>
      </w:r>
      <w:r>
        <w:rPr>
          <w:spacing w:val="-2"/>
        </w:rPr>
        <w:t>栋</w:t>
      </w:r>
      <w:r>
        <w:rPr>
          <w:rFonts w:ascii="Times New Roman" w:hAnsi="Times New Roman" w:cs="Times New Roman" w:eastAsia="Times New Roman" w:hint="default"/>
          <w:spacing w:val="-2"/>
        </w:rPr>
        <w:t>6-7</w:t>
      </w:r>
      <w:r>
        <w:rPr>
          <w:spacing w:val="-2"/>
        </w:rPr>
        <w:t>层办公楼作为抵押财产抵押给三十所，该</w:t>
      </w:r>
      <w:r>
        <w:rPr>
          <w:spacing w:val="-103"/>
        </w:rPr>
        <w:t> </w:t>
      </w:r>
      <w:r>
        <w:rPr>
          <w:spacing w:val="-103"/>
        </w:rPr>
      </w:r>
      <w:r>
        <w:rPr/>
        <w:t>办公楼面积为</w:t>
      </w:r>
      <w:r>
        <w:rPr>
          <w:rFonts w:ascii="Times New Roman" w:hAnsi="Times New Roman" w:cs="Times New Roman" w:eastAsia="Times New Roman" w:hint="default"/>
        </w:rPr>
        <w:t>1598.02</w:t>
      </w:r>
      <w:r>
        <w:rPr/>
        <w:t>平方米。</w:t>
      </w:r>
    </w:p>
    <w:p>
      <w:pPr>
        <w:spacing w:line="240" w:lineRule="auto" w:before="0"/>
        <w:rPr>
          <w:rFonts w:ascii="宋体" w:hAnsi="宋体" w:cs="宋体" w:eastAsia="宋体" w:hint="default"/>
          <w:sz w:val="20"/>
          <w:szCs w:val="20"/>
        </w:rPr>
      </w:pPr>
    </w:p>
    <w:p>
      <w:pPr>
        <w:pStyle w:val="Heading4"/>
        <w:spacing w:line="240" w:lineRule="auto" w:before="192"/>
        <w:ind w:left="154" w:right="0"/>
        <w:jc w:val="left"/>
      </w:pPr>
      <w:r>
        <w:rPr/>
        <w:t>（</w:t>
      </w:r>
      <w:r>
        <w:rPr>
          <w:rFonts w:ascii="Times New Roman" w:hAnsi="Times New Roman" w:cs="Times New Roman" w:eastAsia="Times New Roman" w:hint="default"/>
        </w:rPr>
        <w:t>2</w:t>
      </w:r>
      <w:r>
        <w:rPr/>
        <w:t>）关联资金拆借</w:t>
      </w:r>
    </w:p>
    <w:p>
      <w:pPr>
        <w:pStyle w:val="Heading4"/>
        <w:spacing w:line="240" w:lineRule="auto" w:before="93"/>
        <w:ind w:left="0" w:right="1662"/>
        <w:jc w:val="right"/>
      </w:pPr>
      <w:r>
        <w:rPr/>
        <w:t>单位：</w:t>
      </w:r>
      <w:r>
        <w:rPr>
          <w:spacing w:val="-21"/>
        </w:rPr>
        <w:t> </w:t>
      </w:r>
      <w:r>
        <w:rPr/>
        <w:t>元</w:t>
      </w:r>
    </w:p>
    <w:p>
      <w:pPr>
        <w:spacing w:line="240" w:lineRule="auto" w:before="11"/>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410"/>
        <w:gridCol w:w="1418"/>
        <w:gridCol w:w="1915"/>
        <w:gridCol w:w="1914"/>
        <w:gridCol w:w="1914"/>
      </w:tblGrid>
      <w:tr>
        <w:trPr>
          <w:trHeight w:val="409" w:hRule="exact"/>
        </w:trPr>
        <w:tc>
          <w:tcPr>
            <w:tcW w:w="24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78"/>
              <w:jc w:val="right"/>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78"/>
              <w:jc w:val="right"/>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27" w:hRule="exact"/>
        </w:trPr>
        <w:tc>
          <w:tcPr>
            <w:tcW w:w="9571"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6" w:right="0"/>
              <w:jc w:val="lef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担保方为三十所</w:t>
            </w:r>
          </w:p>
        </w:tc>
      </w:tr>
      <w:tr>
        <w:trPr>
          <w:trHeight w:val="427"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66" w:right="0"/>
              <w:jc w:val="left"/>
              <w:rPr>
                <w:rFonts w:ascii="Times New Roman" w:hAnsi="Times New Roman" w:cs="Times New Roman" w:eastAsia="Times New Roman" w:hint="default"/>
                <w:sz w:val="18"/>
                <w:szCs w:val="18"/>
              </w:rPr>
            </w:pPr>
            <w:r>
              <w:rPr>
                <w:rFonts w:ascii="Times New Roman"/>
                <w:sz w:val="18"/>
              </w:rPr>
              <w:t>30,000,000.00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04</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03</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担保方为三十所</w:t>
            </w:r>
          </w:p>
        </w:tc>
      </w:tr>
      <w:tr>
        <w:trPr>
          <w:trHeight w:val="42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66" w:right="0"/>
              <w:jc w:val="left"/>
              <w:rPr>
                <w:rFonts w:ascii="Times New Roman" w:hAnsi="Times New Roman" w:cs="Times New Roman" w:eastAsia="Times New Roman" w:hint="default"/>
                <w:sz w:val="18"/>
                <w:szCs w:val="18"/>
              </w:rPr>
            </w:pPr>
            <w:r>
              <w:rPr>
                <w:rFonts w:ascii="Times New Roman"/>
                <w:sz w:val="18"/>
              </w:rPr>
              <w:t>10,000,000.00</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35"/>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06</w:t>
            </w:r>
            <w:r>
              <w:rPr>
                <w:rFonts w:ascii="宋体" w:hAnsi="宋体" w:cs="宋体" w:eastAsia="宋体" w:hint="default"/>
                <w:sz w:val="18"/>
                <w:szCs w:val="18"/>
              </w:rPr>
              <w:t>日</w:t>
            </w:r>
          </w:p>
        </w:tc>
        <w:tc>
          <w:tcPr>
            <w:tcW w:w="1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担保方为三十所</w:t>
            </w:r>
          </w:p>
        </w:tc>
      </w:tr>
      <w:tr>
        <w:trPr>
          <w:trHeight w:val="428" w:hRule="exact"/>
        </w:trPr>
        <w:tc>
          <w:tcPr>
            <w:tcW w:w="9571"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2"/>
        <w:rPr>
          <w:rFonts w:ascii="宋体" w:hAnsi="宋体" w:cs="宋体" w:eastAsia="宋体" w:hint="default"/>
          <w:sz w:val="26"/>
          <w:szCs w:val="26"/>
        </w:rPr>
      </w:pPr>
    </w:p>
    <w:p>
      <w:pPr>
        <w:pStyle w:val="BodyText"/>
        <w:spacing w:line="240" w:lineRule="auto" w:before="44"/>
        <w:ind w:left="154" w:right="0"/>
        <w:jc w:val="left"/>
      </w:pPr>
      <w:r>
        <w:rPr/>
        <w:t>关联交易临时报告披露网站相关查询</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发行股份购买资产并募集配套资金暨关联 交易报告书</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bl>
    <w:p>
      <w:pPr>
        <w:pStyle w:val="BodyText"/>
        <w:spacing w:line="240" w:lineRule="auto" w:before="51"/>
        <w:ind w:left="154" w:right="0"/>
        <w:jc w:val="left"/>
      </w:pPr>
      <w:r>
        <w:rPr/>
        <w:t>公司报告期无其他关联交易。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2"/>
        <w:spacing w:line="240" w:lineRule="auto"/>
        <w:ind w:left="154" w:right="0"/>
        <w:jc w:val="left"/>
        <w:rPr>
          <w:b w:val="0"/>
          <w:bCs w:val="0"/>
        </w:rPr>
      </w:pPr>
      <w:bookmarkStart w:name="四、承诺事项履行情况" w:id="60"/>
      <w:bookmarkEnd w:id="60"/>
      <w:r>
        <w:rPr>
          <w:b w:val="0"/>
          <w:bCs w:val="0"/>
        </w:rPr>
      </w:r>
      <w:r>
        <w:rPr/>
        <w:t>四、承诺事项履行情况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或持股5%以上股东在报告期内发生或以前期间发生但持续到报告期内的承诺事项" w:id="61"/>
      <w:bookmarkEnd w:id="61"/>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38"/>
        <w:gridCol w:w="1429"/>
        <w:gridCol w:w="4395"/>
        <w:gridCol w:w="708"/>
        <w:gridCol w:w="709"/>
        <w:gridCol w:w="779"/>
      </w:tblGrid>
      <w:tr>
        <w:trPr>
          <w:trHeight w:val="161"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9" w:type="dxa"/>
            <w:tcBorders>
              <w:top w:val="single" w:sz="4" w:space="0" w:color="000000"/>
              <w:left w:val="single" w:sz="4" w:space="0" w:color="000000"/>
              <w:bottom w:val="nil" w:sz="6" w:space="0" w:color="auto"/>
              <w:right w:val="single" w:sz="4" w:space="0" w:color="000000"/>
            </w:tcBorders>
            <w:shd w:val="clear" w:color="auto" w:fill="D2D2D2"/>
          </w:tcPr>
          <w:p>
            <w:pPr/>
          </w:p>
        </w:tc>
        <w:tc>
          <w:tcPr>
            <w:tcW w:w="4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59" w:right="77"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8"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tcBorders>
              <w:top w:val="nil" w:sz="6" w:space="0" w:color="auto"/>
              <w:left w:val="single" w:sz="4" w:space="0" w:color="000000"/>
              <w:bottom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29" w:type="dxa"/>
            <w:tcBorders>
              <w:top w:val="single" w:sz="4" w:space="0" w:color="000000"/>
              <w:left w:val="single" w:sz="9" w:space="0" w:color="D2D2D2"/>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4"/>
              <w:jc w:val="both"/>
              <w:rPr>
                <w:rFonts w:ascii="宋体" w:hAnsi="宋体" w:cs="宋体" w:eastAsia="宋体" w:hint="default"/>
                <w:sz w:val="18"/>
                <w:szCs w:val="18"/>
              </w:rPr>
            </w:pPr>
            <w:r>
              <w:rPr>
                <w:rFonts w:ascii="宋体" w:hAnsi="宋体" w:cs="宋体" w:eastAsia="宋体" w:hint="default"/>
                <w:sz w:val="18"/>
                <w:szCs w:val="18"/>
              </w:rPr>
              <w:t>收购报告书或权益 变动报告书中所作 承诺</w:t>
            </w:r>
          </w:p>
        </w:tc>
        <w:tc>
          <w:tcPr>
            <w:tcW w:w="1429" w:type="dxa"/>
            <w:tcBorders>
              <w:top w:val="single" w:sz="4" w:space="0" w:color="000000"/>
              <w:left w:val="single" w:sz="9" w:space="0" w:color="D2D2D2"/>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西南通信研究所</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pacing w:val="-3"/>
                <w:sz w:val="18"/>
                <w:szCs w:val="18"/>
              </w:rPr>
              <w:t>关于股份锁定承诺：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、三十所承诺，于本次交易中取得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2014-12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0.360016pt;margin-top:651.940002pt;width:140.15pt;height:116pt;mso-position-horizontal-relative:page;mso-position-vertical-relative:page;z-index:-975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ind w:left="0" w:right="0"/>
                    <w:jc w:val="left"/>
                  </w:pPr>
                  <w:r>
                    <w:rPr/>
                    <w:t>将与卫士通签订书面协议，</w:t>
                  </w:r>
                </w:p>
              </w:txbxContent>
            </v:textbox>
            <w10:wrap type="none"/>
          </v:shape>
        </w:pict>
      </w:r>
      <w:r>
        <w:rPr/>
        <w:pict>
          <v:group style="position:absolute;margin-left:425.579987pt;margin-top:651.940002pt;width:34.950pt;height:116pt;mso-position-horizontal-relative:page;mso-position-vertical-relative:page;z-index:-975328" coordorigin="8512,13039" coordsize="699,2320">
            <v:shape style="position:absolute;left:8512;top:13039;width:699;height:2320" coordorigin="8512,13039" coordsize="699,2320" path="m8512,15359l9210,15359,9210,13039,8512,13039,8512,153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4395"/>
        <w:gridCol w:w="708"/>
        <w:gridCol w:w="709"/>
        <w:gridCol w:w="779"/>
      </w:tblGrid>
      <w:tr>
        <w:trPr>
          <w:trHeight w:val="2235"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（中国电子科技 集团公司第三十 </w:t>
            </w:r>
            <w:r>
              <w:rPr>
                <w:rFonts w:ascii="宋体" w:hAnsi="宋体" w:cs="宋体" w:eastAsia="宋体" w:hint="default"/>
                <w:spacing w:val="-12"/>
                <w:sz w:val="18"/>
                <w:szCs w:val="18"/>
              </w:rPr>
              <w:t>研究所）、成都国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信安信息产业基 </w:t>
            </w:r>
            <w:r>
              <w:rPr>
                <w:rFonts w:ascii="宋体" w:hAnsi="宋体" w:cs="宋体" w:eastAsia="宋体" w:hint="default"/>
                <w:spacing w:val="-10"/>
                <w:sz w:val="18"/>
                <w:szCs w:val="18"/>
              </w:rPr>
              <w:t>地有限公司、四川</w:t>
            </w:r>
            <w:r>
              <w:rPr>
                <w:rFonts w:ascii="宋体" w:hAnsi="宋体" w:cs="宋体" w:eastAsia="宋体" w:hint="default"/>
                <w:sz w:val="18"/>
                <w:szCs w:val="18"/>
              </w:rPr>
              <w:t> 发展投资有限公 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的卫士通向其发行的股份，自股份发行结束之日起三个 </w:t>
            </w:r>
            <w:r>
              <w:rPr>
                <w:rFonts w:ascii="宋体" w:hAnsi="宋体" w:cs="宋体" w:eastAsia="宋体" w:hint="default"/>
                <w:spacing w:val="-3"/>
                <w:sz w:val="18"/>
                <w:szCs w:val="18"/>
              </w:rPr>
              <w:t>完整会计年度内不以任何方式转让。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、国信安承诺，于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本次交易中取得的卫士通向其发行的股份，自股份发行 </w:t>
            </w:r>
            <w:r>
              <w:rPr>
                <w:rFonts w:ascii="宋体" w:hAnsi="宋体" w:cs="宋体" w:eastAsia="宋体" w:hint="default"/>
                <w:spacing w:val="-3"/>
                <w:sz w:val="18"/>
                <w:szCs w:val="18"/>
              </w:rPr>
              <w:t>结束之日起三十六个月内不以任何方式转让。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、蜀祥创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投承诺，于本次交易中取得的卫士通向其发行的股份， 自股份发行结束之日起三十六个月内不以任何方式转 让。</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2018-01</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告出具 日，承诺 人严格履 行了上述 承诺。</w:t>
            </w:r>
          </w:p>
        </w:tc>
      </w:tr>
      <w:tr>
        <w:trPr>
          <w:trHeight w:val="6018"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西南通信研究所</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（中国电子科技 集团公司第三十 </w:t>
            </w:r>
            <w:r>
              <w:rPr>
                <w:rFonts w:ascii="宋体" w:hAnsi="宋体" w:cs="宋体" w:eastAsia="宋体" w:hint="default"/>
                <w:spacing w:val="-12"/>
                <w:sz w:val="18"/>
                <w:szCs w:val="18"/>
              </w:rPr>
              <w:t>研究所）、成都国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信安信息产业基 </w:t>
            </w:r>
            <w:r>
              <w:rPr>
                <w:rFonts w:ascii="宋体" w:hAnsi="宋体" w:cs="宋体" w:eastAsia="宋体" w:hint="default"/>
                <w:spacing w:val="-10"/>
                <w:sz w:val="18"/>
                <w:szCs w:val="18"/>
              </w:rPr>
              <w:t>地有限公司、四川</w:t>
            </w:r>
            <w:r>
              <w:rPr>
                <w:rFonts w:ascii="宋体" w:hAnsi="宋体" w:cs="宋体" w:eastAsia="宋体" w:hint="default"/>
                <w:sz w:val="18"/>
                <w:szCs w:val="18"/>
              </w:rPr>
              <w:t> 发展投资有限公 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关于标的公司的业绩承诺：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、三零盛安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年（即利润补偿期间）的预测扣除非经常性损 益的净利润数额分别为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2,226.72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 </w:t>
            </w:r>
            <w:r>
              <w:rPr>
                <w:rFonts w:ascii="Times New Roman" w:hAnsi="Times New Roman" w:cs="Times New Roman" w:eastAsia="Times New Roman" w:hint="default"/>
                <w:sz w:val="18"/>
                <w:szCs w:val="18"/>
              </w:rPr>
              <w:t>2,739.61 </w:t>
            </w:r>
            <w:r>
              <w:rPr>
                <w:rFonts w:ascii="宋体" w:hAnsi="宋体" w:cs="宋体" w:eastAsia="宋体" w:hint="default"/>
                <w:spacing w:val="-5"/>
                <w:sz w:val="18"/>
                <w:szCs w:val="18"/>
              </w:rPr>
              <w:t>万元，三零瑞通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年（即</w:t>
            </w:r>
            <w:r>
              <w:rPr>
                <w:rFonts w:ascii="宋体" w:hAnsi="宋体" w:cs="宋体" w:eastAsia="宋体" w:hint="default"/>
                <w:sz w:val="18"/>
                <w:szCs w:val="18"/>
              </w:rPr>
              <w:t> 利润补偿期间）的预测扣除非经常性损益净利润数额分 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1,499.70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2,197.96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3,076.19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万元，三 零嘉微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年（即利润补偿期间） 的预测扣除非经常性损益净利润数额分别为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1,223.99 </w:t>
            </w:r>
            <w:r>
              <w:rPr>
                <w:rFonts w:ascii="宋体" w:hAnsi="宋体" w:cs="宋体" w:eastAsia="宋体" w:hint="default"/>
                <w:sz w:val="18"/>
                <w:szCs w:val="18"/>
              </w:rPr>
              <w:t>万</w:t>
            </w:r>
          </w:p>
          <w:p>
            <w:pPr>
              <w:pStyle w:val="TableParagraph"/>
              <w:tabs>
                <w:tab w:pos="3169" w:val="left" w:leader="none"/>
                <w:tab w:pos="3353" w:val="left" w:leader="none"/>
              </w:tabs>
              <w:spacing w:line="312" w:lineRule="auto" w:before="11"/>
              <w:ind w:left="22" w:right="22"/>
              <w:jc w:val="left"/>
              <w:rPr>
                <w:rFonts w:ascii="宋体" w:hAnsi="宋体" w:cs="宋体" w:eastAsia="宋体" w:hint="default"/>
                <w:sz w:val="18"/>
                <w:szCs w:val="18"/>
              </w:rPr>
            </w:pP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1,749.65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2,519.67 </w:t>
            </w:r>
            <w:r>
              <w:rPr>
                <w:rFonts w:ascii="宋体" w:hAnsi="宋体" w:cs="宋体" w:eastAsia="宋体" w:hint="default"/>
                <w:sz w:val="18"/>
                <w:szCs w:val="18"/>
              </w:rPr>
              <w:t>万元。</w:t>
              <w:tab/>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、同意在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年度审计时对三零盛安、三零 瑞通、三零嘉微扣除非经常性损益后的实际盈利数与承 诺净利润数差异情况进行审查，并由会计师事务所分别 </w:t>
            </w:r>
            <w:r>
              <w:rPr>
                <w:rFonts w:ascii="宋体" w:hAnsi="宋体" w:cs="宋体" w:eastAsia="宋体" w:hint="default"/>
                <w:spacing w:val="-3"/>
                <w:sz w:val="18"/>
                <w:szCs w:val="18"/>
              </w:rPr>
              <w:t>出具专项审核意见。</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、若在上述利润补偿期间，经具有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证券从业资格的会计师事务所审计后，某标的公司实际 盈利数不足上述承诺的，交易对方将用股份补偿方式进 行补偿，具体补偿方式如下：</w:t>
              <w:tab/>
              <w:tab/>
            </w:r>
            <w:r>
              <w:rPr>
                <w:rFonts w:ascii="Times New Roman" w:hAnsi="Times New Roman" w:cs="Times New Roman" w:eastAsia="Times New Roman" w:hint="default"/>
                <w:sz w:val="18"/>
                <w:szCs w:val="18"/>
              </w:rPr>
              <w:t>4</w:t>
            </w:r>
            <w:r>
              <w:rPr>
                <w:rFonts w:ascii="宋体" w:hAnsi="宋体" w:cs="宋体" w:eastAsia="宋体" w:hint="default"/>
                <w:sz w:val="18"/>
                <w:szCs w:val="18"/>
              </w:rPr>
              <w:t>、交易对手 方各主体需要补偿的股份数量根据其各自在本次重大资 产重组中用于认购卫士通非公开发行的股票数量的标的 公司股权的相对比例分摊确定。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2014-01</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2017-01</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566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中国电子科技集 </w:t>
            </w:r>
            <w:r>
              <w:rPr>
                <w:rFonts w:ascii="宋体" w:hAnsi="宋体" w:cs="宋体" w:eastAsia="宋体" w:hint="default"/>
                <w:spacing w:val="-10"/>
                <w:sz w:val="18"/>
                <w:szCs w:val="18"/>
              </w:rPr>
              <w:t>团公司、西南通信</w:t>
            </w:r>
            <w:r>
              <w:rPr>
                <w:rFonts w:ascii="宋体" w:hAnsi="宋体" w:cs="宋体" w:eastAsia="宋体" w:hint="default"/>
                <w:sz w:val="18"/>
                <w:szCs w:val="18"/>
              </w:rPr>
              <w:t> </w:t>
            </w:r>
            <w:r>
              <w:rPr>
                <w:rFonts w:ascii="宋体" w:hAnsi="宋体" w:cs="宋体" w:eastAsia="宋体" w:hint="default"/>
                <w:spacing w:val="-10"/>
                <w:sz w:val="18"/>
                <w:szCs w:val="18"/>
              </w:rPr>
              <w:t>研究所（中国电子</w:t>
            </w:r>
            <w:r>
              <w:rPr>
                <w:rFonts w:ascii="宋体" w:hAnsi="宋体" w:cs="宋体" w:eastAsia="宋体" w:hint="default"/>
                <w:sz w:val="18"/>
                <w:szCs w:val="18"/>
              </w:rPr>
              <w:t> 科技集团公司第 </w:t>
            </w:r>
            <w:r>
              <w:rPr>
                <w:rFonts w:ascii="宋体" w:hAnsi="宋体" w:cs="宋体" w:eastAsia="宋体" w:hint="default"/>
                <w:spacing w:val="-12"/>
                <w:sz w:val="18"/>
                <w:szCs w:val="18"/>
              </w:rPr>
              <w:t>三十研究所）、四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川发展投资有限 </w:t>
            </w:r>
            <w:r>
              <w:rPr>
                <w:rFonts w:ascii="宋体" w:hAnsi="宋体" w:cs="宋体" w:eastAsia="宋体" w:hint="default"/>
                <w:spacing w:val="-10"/>
                <w:sz w:val="18"/>
                <w:szCs w:val="18"/>
              </w:rPr>
              <w:t>公司、成都国信安</w:t>
            </w:r>
            <w:r>
              <w:rPr>
                <w:rFonts w:ascii="宋体" w:hAnsi="宋体" w:cs="宋体" w:eastAsia="宋体" w:hint="default"/>
                <w:sz w:val="18"/>
                <w:szCs w:val="18"/>
              </w:rPr>
              <w:t> 信息产业基地有 限公司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关于避免同业竞争和规范关联交易的承诺 </w:t>
            </w:r>
            <w:r>
              <w:rPr>
                <w:rFonts w:ascii="Times New Roman" w:hAnsi="Times New Roman" w:cs="Times New Roman" w:eastAsia="Times New Roman" w:hint="default"/>
                <w:sz w:val="18"/>
                <w:szCs w:val="18"/>
              </w:rPr>
              <w:t>: </w:t>
            </w:r>
            <w:r>
              <w:rPr>
                <w:rFonts w:ascii="宋体" w:hAnsi="宋体" w:cs="宋体" w:eastAsia="宋体" w:hint="default"/>
                <w:sz w:val="18"/>
                <w:szCs w:val="18"/>
              </w:rPr>
              <w:t>三十所</w:t>
            </w:r>
            <w:r>
              <w:rPr>
                <w:rFonts w:ascii="Times New Roman" w:hAnsi="Times New Roman" w:cs="Times New Roman" w:eastAsia="Times New Roman" w:hint="default"/>
                <w:sz w:val="18"/>
                <w:szCs w:val="18"/>
              </w:rPr>
              <w:t>/</w:t>
            </w:r>
            <w:r>
              <w:rPr>
                <w:rFonts w:ascii="宋体" w:hAnsi="宋体" w:cs="宋体" w:eastAsia="宋体" w:hint="default"/>
                <w:sz w:val="18"/>
                <w:szCs w:val="18"/>
              </w:rPr>
              <w:t>国信安</w:t>
            </w:r>
            <w:r>
              <w:rPr>
                <w:rFonts w:ascii="Times New Roman" w:hAnsi="Times New Roman" w:cs="Times New Roman" w:eastAsia="Times New Roman" w:hint="default"/>
                <w:sz w:val="18"/>
                <w:szCs w:val="18"/>
              </w:rPr>
              <w:t>/</w:t>
            </w:r>
            <w:r>
              <w:rPr>
                <w:rFonts w:ascii="宋体" w:hAnsi="宋体" w:cs="宋体" w:eastAsia="宋体" w:hint="default"/>
                <w:sz w:val="18"/>
                <w:szCs w:val="18"/>
              </w:rPr>
              <w:t>蜀祥创投承诺：本所</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本公司保证本次卫 士通重大资产重组后，除持有卫士通的股份外，本所</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本公司不直接或间接地从事任何与卫士通及其下属子公 司营业执照上所列明经营范围内的业务存在竞争的业务 活动。在本所</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本公司作为卫士通股东的事实改变之前， </w:t>
            </w:r>
            <w:r>
              <w:rPr>
                <w:rFonts w:ascii="宋体" w:hAnsi="宋体" w:cs="宋体" w:eastAsia="宋体" w:hint="default"/>
                <w:spacing w:val="-2"/>
                <w:sz w:val="18"/>
                <w:szCs w:val="18"/>
              </w:rPr>
              <w:t>除持有卫士通的股份外，本所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本公司将不会直接或间接</w:t>
            </w:r>
            <w:r>
              <w:rPr>
                <w:rFonts w:ascii="宋体" w:hAnsi="宋体" w:cs="宋体" w:eastAsia="宋体" w:hint="default"/>
                <w:spacing w:val="-73"/>
                <w:sz w:val="18"/>
                <w:szCs w:val="18"/>
              </w:rPr>
              <w:t> </w:t>
            </w:r>
            <w:r>
              <w:rPr>
                <w:rFonts w:ascii="宋体" w:hAnsi="宋体" w:cs="宋体" w:eastAsia="宋体" w:hint="default"/>
                <w:spacing w:val="-2"/>
                <w:sz w:val="18"/>
                <w:szCs w:val="18"/>
              </w:rPr>
              <w:t>地以任何方式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包括但不限于独自经营，合资经营或拥有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其他公司或企业的股票或权益〉从事与卫士通及其下属 子公司的业务有竞争或可能构成竞争的业务或活动。 三十所承诺：本所保证尽量避免和减少目前和将来与卫 士通之间发生不必要的关联交易。对于无法避免或者有 合理原因而发生的关联交易， 遵循公正、公开、公平的原则，关联交易的定价原则上 应遵循市场化原则，不偏离独立第三方的标准，对于难 以比较市场价格或定价受到限制的关联交易，应通过合 同明确有关成本和利润的标准，并按照有关法律法规、 规范性文件以及卫士通《公司章程》的规定，履行卫士</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3" w:right="13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9.360016pt;margin-top:72.47998pt;width:131.15pt;height:610.5pt;mso-position-horizontal-relative:page;mso-position-vertical-relative:page;z-index:-9752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0"/>
                    <w:jc w:val="left"/>
                  </w:pPr>
                  <w:r>
                    <w:rPr/>
                    <w:t>将维护卫士通的独立性，</w:t>
                  </w:r>
                </w:p>
                <w:p>
                  <w:pPr>
                    <w:pStyle w:val="BodyText"/>
                    <w:spacing w:line="240" w:lineRule="auto" w:before="76"/>
                    <w:ind w:left="1080" w:right="0"/>
                    <w:jc w:val="left"/>
                  </w:pPr>
                  <w:r>
                    <w:rPr/>
                    <w:t>机构独立、</w:t>
                  </w:r>
                </w:p>
              </w:txbxContent>
            </v:textbox>
            <w10:wrap type="none"/>
          </v:shape>
        </w:pict>
      </w:r>
      <w:r>
        <w:rPr/>
        <w:pict>
          <v:group style="position:absolute;margin-left:206.960007pt;margin-top:747.839966pt;width:216.95pt;height:17.650pt;mso-position-horizontal-relative:page;mso-position-vertical-relative:page;z-index:-975256" coordorigin="4139,14957" coordsize="4339,353">
            <v:shape style="position:absolute;left:4139;top:14957;width:4339;height:353" coordorigin="4139,14957" coordsize="4339,353" path="m4139,15310l8478,15310,8478,14957,4139,14957,4139,15310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4395"/>
        <w:gridCol w:w="708"/>
        <w:gridCol w:w="709"/>
        <w:gridCol w:w="781"/>
      </w:tblGrid>
      <w:tr>
        <w:trPr>
          <w:trHeight w:val="12219"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通股东大会或董事会批准决策程序和信息披露义务，保 证不通过关联交易损害卫士通及其他股东的合法权益。 三十所有关规范关联交易的承诺，将同样适用于三十所 控制的下属单位。三十所将在合法权限范围内促成三十 所控制的下属单位履行规范与卫士通之间已经存在或可 能发生的关联交易的义务。三十所在本次交易完成后， 将维护卫士通的独立性，保证卫士通人员独立、资产独 立、财务独立、机构独立、业务独立。中国电科承诺： 本集团是中国电子科技集团公司第三十研究所</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w:t>
            </w:r>
            <w:r>
              <w:rPr>
                <w:rFonts w:ascii="宋体" w:hAnsi="宋体" w:cs="宋体" w:eastAsia="宋体" w:hint="default"/>
                <w:spacing w:val="-3"/>
                <w:sz w:val="18"/>
                <w:szCs w:val="18"/>
              </w:rPr>
              <w:t>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三十所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、成都卫士通信息产业股份有限公司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w:t>
            </w:r>
            <w:r>
              <w:rPr>
                <w:rFonts w:ascii="宋体" w:hAnsi="宋体" w:cs="宋体" w:eastAsia="宋体" w:hint="default"/>
                <w:spacing w:val="-81"/>
                <w:sz w:val="18"/>
                <w:szCs w:val="18"/>
              </w:rPr>
              <w:t> </w:t>
            </w:r>
            <w:r>
              <w:rPr>
                <w:rFonts w:ascii="宋体" w:hAnsi="宋体" w:cs="宋体" w:eastAsia="宋体" w:hint="default"/>
                <w:spacing w:val="-3"/>
                <w:sz w:val="18"/>
                <w:szCs w:val="18"/>
              </w:rPr>
              <w:t>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卫士通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、成都三零盛安信息系统有限公司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w:t>
            </w:r>
            <w:r>
              <w:rPr>
                <w:rFonts w:ascii="宋体" w:hAnsi="宋体" w:cs="宋体" w:eastAsia="宋体" w:hint="default"/>
                <w:spacing w:val="-81"/>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三零盛安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、成都三零瑞通移动通信有限公司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以下简称</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三零瑞通</w:t>
            </w:r>
            <w:r>
              <w:rPr>
                <w:rFonts w:ascii="Times New Roman" w:hAnsi="Times New Roman" w:cs="Times New Roman" w:eastAsia="Times New Roman" w:hint="default"/>
                <w:sz w:val="18"/>
                <w:szCs w:val="18"/>
              </w:rPr>
              <w:t>")</w:t>
            </w:r>
            <w:r>
              <w:rPr>
                <w:rFonts w:ascii="宋体" w:hAnsi="宋体" w:cs="宋体" w:eastAsia="宋体" w:hint="default"/>
                <w:sz w:val="18"/>
                <w:szCs w:val="18"/>
              </w:rPr>
              <w:t>及成都三零嘉微电子有限公司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三 零嘉微</w:t>
            </w:r>
            <w:r>
              <w:rPr>
                <w:rFonts w:ascii="Times New Roman" w:hAnsi="Times New Roman" w:cs="Times New Roman" w:eastAsia="Times New Roman" w:hint="default"/>
                <w:sz w:val="18"/>
                <w:szCs w:val="18"/>
              </w:rPr>
              <w:t>")</w:t>
            </w:r>
            <w:r>
              <w:rPr>
                <w:rFonts w:ascii="宋体" w:hAnsi="宋体" w:cs="宋体" w:eastAsia="宋体" w:hint="default"/>
                <w:sz w:val="18"/>
                <w:szCs w:val="18"/>
              </w:rPr>
              <w:t>的实际控制人，本集团直接或间接持有的上述 五家法人单位的产权权属合法清晰。为维护卫士通及其 </w:t>
            </w:r>
            <w:r>
              <w:rPr>
                <w:rFonts w:ascii="宋体" w:hAnsi="宋体" w:cs="宋体" w:eastAsia="宋体" w:hint="default"/>
                <w:spacing w:val="-3"/>
                <w:sz w:val="18"/>
                <w:szCs w:val="18"/>
              </w:rPr>
              <w:t>他股东的合法权益，本集团出具此承诺。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、本着保护卫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士通全体股东利益的原则，将公允地对待各被投资企业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单位，不会利用国有资产管理者地位，做出不利于卫士 通而有利于其它企业</w:t>
            </w:r>
            <w:r>
              <w:rPr>
                <w:rFonts w:ascii="Times New Roman" w:hAnsi="Times New Roman" w:cs="Times New Roman" w:eastAsia="Times New Roman" w:hint="default"/>
                <w:sz w:val="18"/>
                <w:szCs w:val="18"/>
              </w:rPr>
              <w:t>/</w:t>
            </w:r>
            <w:r>
              <w:rPr>
                <w:rFonts w:ascii="宋体" w:hAnsi="宋体" w:cs="宋体" w:eastAsia="宋体" w:hint="default"/>
                <w:sz w:val="18"/>
                <w:szCs w:val="18"/>
              </w:rPr>
              <w:t>单位的业务安排或决定</w:t>
            </w:r>
            <w:r>
              <w:rPr>
                <w:rFonts w:ascii="Times New Roman" w:hAnsi="Times New Roman" w:cs="Times New Roman" w:eastAsia="Times New Roman" w:hint="default"/>
                <w:sz w:val="18"/>
                <w:szCs w:val="18"/>
              </w:rPr>
              <w:t>;</w:t>
            </w:r>
            <w:r>
              <w:rPr>
                <w:rFonts w:ascii="宋体" w:hAnsi="宋体" w:cs="宋体" w:eastAsia="宋体" w:hint="default"/>
                <w:sz w:val="18"/>
                <w:szCs w:val="18"/>
              </w:rPr>
              <w:t>如因直接 干预有关下属单位的具体生产经营活动而导致同业竞 </w:t>
            </w:r>
            <w:r>
              <w:rPr>
                <w:rFonts w:ascii="宋体" w:hAnsi="宋体" w:cs="宋体" w:eastAsia="宋体" w:hint="default"/>
                <w:spacing w:val="-4"/>
                <w:sz w:val="18"/>
                <w:szCs w:val="18"/>
              </w:rPr>
              <w:t>争，并致使卫士通受到损失的，将承担相关责任。</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、尽</w:t>
            </w:r>
            <w:r>
              <w:rPr>
                <w:rFonts w:ascii="宋体" w:hAnsi="宋体" w:cs="宋体" w:eastAsia="宋体" w:hint="default"/>
                <w:spacing w:val="-80"/>
                <w:sz w:val="18"/>
                <w:szCs w:val="18"/>
              </w:rPr>
              <w:t> </w:t>
            </w:r>
            <w:r>
              <w:rPr>
                <w:rFonts w:ascii="宋体" w:hAnsi="宋体" w:cs="宋体" w:eastAsia="宋体" w:hint="default"/>
                <w:sz w:val="18"/>
                <w:szCs w:val="18"/>
              </w:rPr>
              <w:t>量避免和减少目前和将来与卫士通之间发生不必要的关</w:t>
            </w:r>
            <w:r>
              <w:rPr>
                <w:rFonts w:ascii="宋体" w:hAnsi="宋体" w:cs="宋体" w:eastAsia="宋体" w:hint="default"/>
                <w:sz w:val="18"/>
                <w:szCs w:val="18"/>
              </w:rPr>
              <w:t> 联交易。对于无法避免或者有合理原因而发生的关联交 易，将与卫士通签订书面协议，遵循公正、公开、公平 的原则，关联交易的定价原则上应遵循市场化原则，不 偏离独立第三方的标准，对于难以比较市场价格或定价 受到限制的关联交易，应通过合同明确有关成本和利润 的标准，并按照有关法律法规、规范性文件以及卫士通</w:t>
            </w:r>
          </w:p>
          <w:p>
            <w:pPr>
              <w:pStyle w:val="TableParagraph"/>
              <w:spacing w:line="316"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《公司章程》的规定，履行卫士通股东大会或董事会批 准决策程序和信息披露义务，保证不通过关联交易损害 卫士通及其他股东的合法权益。本集团有关规范关联交 易的承诺，将同样适用于本集团控制的下属单位。本集 团将在合法权限范围内促成本集团控制的下属单位履行 规范与卫士通之间已经存在或可能发生的关联交易的义 </w:t>
            </w:r>
            <w:r>
              <w:rPr>
                <w:rFonts w:ascii="宋体" w:hAnsi="宋体" w:cs="宋体" w:eastAsia="宋体" w:hint="default"/>
                <w:spacing w:val="-3"/>
                <w:sz w:val="18"/>
                <w:szCs w:val="18"/>
              </w:rPr>
              <w:t>务。本集团在本次交易完成后，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保证卫士通人员独立、资产独立、财务独立、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业务独立。</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、自本说明出具之日起，赔偿卫士通因本集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团违反本说明任何条款而遭受或产生的任何损失或开 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22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3"/>
                <w:sz w:val="20"/>
                <w:szCs w:val="20"/>
              </w:rPr>
              <w:pict>
                <v:group style="width:34.950pt;height:610.5pt;mso-position-horizontal-relative:char;mso-position-vertical-relative:line" coordorigin="0,0" coordsize="699,12210">
                  <v:group style="position:absolute;left:0;top:0;width:699;height:12210" coordorigin="0,0" coordsize="699,12210">
                    <v:shape style="position:absolute;left:0;top:0;width:699;height:12210" coordorigin="0,0" coordsize="699,12210" path="m0,12210l698,12210,698,0,0,0,0,12210xe" filled="true" fillcolor="#ffffff" stroked="false">
                      <v:path arrowok="t"/>
                      <v:fill type="solid"/>
                    </v:shape>
                  </v:group>
                </v:group>
              </w:pict>
            </w:r>
            <w:r>
              <w:rPr>
                <w:rFonts w:ascii="Times New Roman" w:hAnsi="Times New Roman" w:cs="Times New Roman" w:eastAsia="Times New Roman" w:hint="default"/>
                <w:position w:val="-243"/>
                <w:sz w:val="20"/>
                <w:szCs w:val="20"/>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西南通信研究所</w:t>
            </w:r>
          </w:p>
          <w:p>
            <w:pPr>
              <w:pStyle w:val="TableParagraph"/>
              <w:spacing w:line="316" w:lineRule="auto" w:before="75"/>
              <w:ind w:left="22" w:right="-44"/>
              <w:jc w:val="left"/>
              <w:rPr>
                <w:rFonts w:ascii="宋体" w:hAnsi="宋体" w:cs="宋体" w:eastAsia="宋体" w:hint="default"/>
                <w:sz w:val="18"/>
                <w:szCs w:val="18"/>
              </w:rPr>
            </w:pPr>
            <w:r>
              <w:rPr>
                <w:rFonts w:ascii="宋体" w:hAnsi="宋体" w:cs="宋体" w:eastAsia="宋体" w:hint="default"/>
                <w:sz w:val="18"/>
                <w:szCs w:val="18"/>
              </w:rPr>
              <w:t>（中国电子科技 集团公司第三十 </w:t>
            </w:r>
            <w:r>
              <w:rPr>
                <w:rFonts w:ascii="宋体" w:hAnsi="宋体" w:cs="宋体" w:eastAsia="宋体" w:hint="default"/>
                <w:spacing w:val="-12"/>
                <w:sz w:val="18"/>
                <w:szCs w:val="18"/>
              </w:rPr>
              <w:t>研究所）、四川发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展投资有限公司、</w:t>
            </w:r>
            <w:r>
              <w:rPr>
                <w:rFonts w:ascii="宋体" w:hAnsi="宋体" w:cs="宋体" w:eastAsia="宋体" w:hint="default"/>
                <w:sz w:val="18"/>
                <w:szCs w:val="18"/>
              </w:rPr>
            </w:r>
          </w:p>
        </w:tc>
        <w:tc>
          <w:tcPr>
            <w:tcW w:w="4395"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1" w:right="20"/>
              <w:jc w:val="both"/>
              <w:rPr>
                <w:rFonts w:ascii="宋体" w:hAnsi="宋体" w:cs="宋体" w:eastAsia="宋体" w:hint="default"/>
                <w:sz w:val="18"/>
                <w:szCs w:val="18"/>
              </w:rPr>
            </w:pPr>
            <w:r>
              <w:rPr>
                <w:rFonts w:ascii="宋体" w:hAnsi="宋体" w:cs="宋体" w:eastAsia="宋体" w:hint="default"/>
                <w:sz w:val="18"/>
                <w:szCs w:val="18"/>
              </w:rPr>
              <w:t>关于合法经营和资信情况的承诺：交易对方三十所、国 </w:t>
            </w:r>
            <w:r>
              <w:rPr>
                <w:rFonts w:ascii="宋体" w:hAnsi="宋体" w:cs="宋体" w:eastAsia="宋体" w:hint="default"/>
                <w:spacing w:val="-4"/>
                <w:sz w:val="18"/>
                <w:szCs w:val="18"/>
              </w:rPr>
              <w:t>信安、蜀祥创投分别出具承诺：本所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本公司及本所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w:t>
            </w:r>
            <w:r>
              <w:rPr>
                <w:rFonts w:ascii="宋体" w:hAnsi="宋体" w:cs="宋体" w:eastAsia="宋体" w:hint="default"/>
                <w:spacing w:val="-68"/>
                <w:sz w:val="18"/>
                <w:szCs w:val="18"/>
              </w:rPr>
              <w:t> </w:t>
            </w:r>
            <w:r>
              <w:rPr>
                <w:rFonts w:ascii="宋体" w:hAnsi="宋体" w:cs="宋体" w:eastAsia="宋体" w:hint="default"/>
                <w:sz w:val="18"/>
                <w:szCs w:val="18"/>
              </w:rPr>
              <w:t>司主要管理人员最近五年内未受过与证券市场相关的行 政处罚、刑事处罚，没有涉及与经济纠纷有关的重大民 事诉讼或者仲裁。</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3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6"/>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39.360001pt;margin-top:360.319977pt;width:221.15pt;height:78.05pt;mso-position-horizontal-relative:page;mso-position-vertical-relative:page;z-index:-975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将来若因三家标的公司代持股权清理产生纠纷，</w:t>
                  </w:r>
                </w:p>
              </w:txbxContent>
            </v:textbox>
            <w10:wrap type="none"/>
          </v:shape>
        </w:pict>
      </w:r>
      <w:r>
        <w:rPr/>
        <w:pict>
          <v:shape style="position:absolute;margin-left:239.360001pt;margin-top:567.639954pt;width:221.15pt;height:69.2pt;mso-position-horizontal-relative:page;mso-position-vertical-relative:page;z-index:-9751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该房产的房屋所有权已变更登记至卫士通名下，</w:t>
                  </w:r>
                </w:p>
              </w:txbxContent>
            </v:textbox>
            <w10:wrap type="none"/>
          </v:shape>
        </w:pict>
      </w:r>
      <w:r>
        <w:rPr/>
        <w:pict>
          <v:group style="position:absolute;margin-left:206.960007pt;margin-top:232.999985pt;width:216.95pt;height:31.2pt;mso-position-horizontal-relative:page;mso-position-vertical-relative:page;z-index:-975136" coordorigin="4139,4660" coordsize="4339,624">
            <v:group style="position:absolute;left:4139;top:4660;width:4339;height:312" coordorigin="4139,4660" coordsize="4339,312">
              <v:shape style="position:absolute;left:4139;top:4660;width:4339;height:312" coordorigin="4139,4660" coordsize="4339,312" path="m4139,4972l8478,4972,8478,4660,4139,4660,4139,4972xe" filled="true" fillcolor="#ffffff" stroked="false">
                <v:path arrowok="t"/>
                <v:fill type="solid"/>
              </v:shape>
            </v:group>
            <v:group style="position:absolute;left:4139;top:4972;width:4339;height:312" coordorigin="4139,4972" coordsize="4339,312">
              <v:shape style="position:absolute;left:4139;top:4972;width:4339;height:312" coordorigin="4139,4972" coordsize="4339,312" path="m4139,5284l8478,5284,8478,4972,4139,4972,4139,528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4395"/>
        <w:gridCol w:w="708"/>
        <w:gridCol w:w="709"/>
        <w:gridCol w:w="779"/>
      </w:tblGrid>
      <w:tr>
        <w:trPr>
          <w:trHeight w:val="986"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2"/>
              <w:jc w:val="both"/>
              <w:rPr>
                <w:rFonts w:ascii="宋体" w:hAnsi="宋体" w:cs="宋体" w:eastAsia="宋体" w:hint="default"/>
                <w:sz w:val="18"/>
                <w:szCs w:val="18"/>
              </w:rPr>
            </w:pPr>
            <w:r>
              <w:rPr>
                <w:rFonts w:ascii="宋体" w:hAnsi="宋体" w:cs="宋体" w:eastAsia="宋体" w:hint="default"/>
                <w:sz w:val="18"/>
                <w:szCs w:val="18"/>
              </w:rPr>
              <w:t>成都国信安信息 产业基地有限公 司</w:t>
            </w:r>
          </w:p>
        </w:tc>
        <w:tc>
          <w:tcPr>
            <w:tcW w:w="439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4770"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西南通信研究所</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（中国电子科技 集团公司第三十 </w:t>
            </w:r>
            <w:r>
              <w:rPr>
                <w:rFonts w:ascii="宋体" w:hAnsi="宋体" w:cs="宋体" w:eastAsia="宋体" w:hint="default"/>
                <w:spacing w:val="-12"/>
                <w:sz w:val="18"/>
                <w:szCs w:val="18"/>
              </w:rPr>
              <w:t>研究所）、四川发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展投资有限公司 成都国信安信息 产业基地有限公 司</w:t>
            </w:r>
          </w:p>
        </w:tc>
        <w:tc>
          <w:tcPr>
            <w:tcW w:w="4395"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1" w:right="21"/>
              <w:jc w:val="both"/>
              <w:rPr>
                <w:rFonts w:ascii="宋体" w:hAnsi="宋体" w:cs="宋体" w:eastAsia="宋体" w:hint="default"/>
                <w:sz w:val="18"/>
                <w:szCs w:val="18"/>
              </w:rPr>
            </w:pPr>
            <w:r>
              <w:rPr>
                <w:rFonts w:ascii="宋体" w:hAnsi="宋体" w:cs="宋体" w:eastAsia="宋体" w:hint="default"/>
                <w:sz w:val="18"/>
                <w:szCs w:val="18"/>
              </w:rPr>
              <w:t>关于交易标的资产权属清晰的承诺：三十所、蜀祥、国 </w:t>
            </w:r>
            <w:r>
              <w:rPr>
                <w:rFonts w:ascii="宋体" w:hAnsi="宋体" w:cs="宋体" w:eastAsia="宋体" w:hint="default"/>
                <w:spacing w:val="-2"/>
                <w:sz w:val="18"/>
                <w:szCs w:val="18"/>
              </w:rPr>
              <w:t>信安承诺，本所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本公司保证所持有的三零盛安、三零瑞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通、三零嘉微股权权属清晰、完整，不存在任何权属纠 纷，不存在质押、抵押、其他担保或第三方权益或限制 情形，也不存在法院或其他有权机关冻结、查封、拍卖 本所持有上述股权之情形。本所依法享有上述股权的占 有、使用、收益及处分权，股权过户或者转移不存在法</w:t>
            </w:r>
          </w:p>
          <w:p>
            <w:pPr>
              <w:pStyle w:val="TableParagraph"/>
              <w:spacing w:line="196" w:lineRule="exact" w:before="20"/>
              <w:ind w:left="11" w:right="0"/>
              <w:jc w:val="both"/>
              <w:rPr>
                <w:rFonts w:ascii="宋体" w:hAnsi="宋体" w:cs="宋体" w:eastAsia="宋体" w:hint="default"/>
                <w:sz w:val="18"/>
                <w:szCs w:val="18"/>
              </w:rPr>
            </w:pPr>
            <w:r>
              <w:rPr>
                <w:rFonts w:ascii="宋体" w:hAnsi="宋体" w:cs="宋体" w:eastAsia="宋体" w:hint="default"/>
                <w:sz w:val="18"/>
                <w:szCs w:val="18"/>
              </w:rPr>
              <w:t>律障碍。三十所承诺：本所保证本次交易拟转让的坐落</w:t>
            </w:r>
          </w:p>
          <w:p>
            <w:pPr>
              <w:pStyle w:val="TableParagraph"/>
              <w:spacing w:line="156"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1" w:right="0"/>
              <w:jc w:val="both"/>
              <w:rPr>
                <w:rFonts w:ascii="宋体" w:hAnsi="宋体" w:cs="宋体" w:eastAsia="宋体" w:hint="default"/>
                <w:sz w:val="18"/>
                <w:szCs w:val="18"/>
              </w:rPr>
            </w:pPr>
            <w:r>
              <w:rPr>
                <w:rFonts w:ascii="宋体" w:hAnsi="宋体" w:cs="宋体" w:eastAsia="宋体" w:hint="default"/>
                <w:sz w:val="18"/>
                <w:szCs w:val="18"/>
              </w:rPr>
              <w:t>于北京市丰台区南四环西路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号的房产（房屋坐落：</w:t>
            </w:r>
          </w:p>
          <w:p>
            <w:pPr>
              <w:pStyle w:val="TableParagraph"/>
              <w:spacing w:line="312" w:lineRule="auto" w:before="63"/>
              <w:ind w:left="11" w:right="22"/>
              <w:jc w:val="both"/>
              <w:rPr>
                <w:rFonts w:ascii="宋体" w:hAnsi="宋体" w:cs="宋体" w:eastAsia="宋体" w:hint="default"/>
                <w:sz w:val="18"/>
                <w:szCs w:val="18"/>
              </w:rPr>
            </w:pPr>
            <w:r>
              <w:rPr>
                <w:rFonts w:ascii="宋体" w:hAnsi="宋体" w:cs="宋体" w:eastAsia="宋体" w:hint="default"/>
                <w:sz w:val="18"/>
                <w:szCs w:val="18"/>
              </w:rPr>
              <w:t>丰台区南四环西路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号十八区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层，产权 </w:t>
            </w:r>
            <w:r>
              <w:rPr>
                <w:rFonts w:ascii="宋体" w:hAnsi="宋体" w:cs="宋体" w:eastAsia="宋体" w:hint="default"/>
                <w:spacing w:val="-10"/>
                <w:sz w:val="18"/>
                <w:szCs w:val="18"/>
              </w:rPr>
              <w:t>证号：</w:t>
            </w:r>
            <w:r>
              <w:rPr>
                <w:rFonts w:ascii="Times New Roman" w:hAnsi="Times New Roman" w:cs="Times New Roman" w:eastAsia="Times New Roman" w:hint="default"/>
                <w:spacing w:val="-10"/>
                <w:sz w:val="18"/>
                <w:szCs w:val="18"/>
              </w:rPr>
              <w:t>X </w:t>
            </w:r>
            <w:r>
              <w:rPr>
                <w:rFonts w:ascii="宋体" w:hAnsi="宋体" w:cs="宋体" w:eastAsia="宋体" w:hint="default"/>
                <w:sz w:val="18"/>
                <w:szCs w:val="18"/>
              </w:rPr>
              <w:t>京房权证丰字第 </w:t>
            </w:r>
            <w:r>
              <w:rPr>
                <w:rFonts w:ascii="Times New Roman" w:hAnsi="Times New Roman" w:cs="Times New Roman" w:eastAsia="Times New Roman" w:hint="default"/>
                <w:sz w:val="18"/>
                <w:szCs w:val="18"/>
              </w:rPr>
              <w:t>365486</w:t>
            </w:r>
            <w:r>
              <w:rPr>
                <w:rFonts w:ascii="Times New Roman" w:hAnsi="Times New Roman" w:cs="Times New Roman" w:eastAsia="Times New Roman" w:hint="default"/>
                <w:spacing w:val="-29"/>
                <w:sz w:val="18"/>
                <w:szCs w:val="18"/>
              </w:rPr>
              <w:t> </w:t>
            </w:r>
            <w:r>
              <w:rPr>
                <w:rFonts w:ascii="宋体" w:hAnsi="宋体" w:cs="宋体" w:eastAsia="宋体" w:hint="default"/>
                <w:spacing w:val="-6"/>
                <w:sz w:val="18"/>
                <w:szCs w:val="18"/>
              </w:rPr>
              <w:t>号，建筑面积：</w:t>
            </w:r>
            <w:r>
              <w:rPr>
                <w:rFonts w:ascii="Times New Roman" w:hAnsi="Times New Roman" w:cs="Times New Roman" w:eastAsia="Times New Roman" w:hint="default"/>
                <w:spacing w:val="-6"/>
                <w:sz w:val="18"/>
                <w:szCs w:val="18"/>
              </w:rPr>
              <w:t>4144.66</w:t>
            </w:r>
            <w:r>
              <w:rPr>
                <w:rFonts w:ascii="Times New Roman" w:hAnsi="Times New Roman" w:cs="Times New Roman" w:eastAsia="Times New Roman" w:hint="default"/>
                <w:sz w:val="18"/>
                <w:szCs w:val="18"/>
              </w:rPr>
              <w:t> </w:t>
            </w:r>
            <w:r>
              <w:rPr>
                <w:rFonts w:ascii="宋体" w:hAnsi="宋体" w:cs="宋体" w:eastAsia="宋体" w:hint="default"/>
                <w:sz w:val="18"/>
                <w:szCs w:val="18"/>
              </w:rPr>
              <w:t>平米）为本所所有，权属不存在争议。上述房产亦不存 在抵押、质押或担保等权利受到限制的事项，不涉及诉 讼、仲裁、司法强制执行等重大争议或存在妨碍权属转 移的情况。</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4146"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西南通信研究所</w:t>
            </w:r>
          </w:p>
          <w:p>
            <w:pPr>
              <w:pStyle w:val="TableParagraph"/>
              <w:spacing w:line="319" w:lineRule="auto" w:before="75"/>
              <w:ind w:left="22" w:right="122"/>
              <w:jc w:val="both"/>
              <w:rPr>
                <w:rFonts w:ascii="宋体" w:hAnsi="宋体" w:cs="宋体" w:eastAsia="宋体" w:hint="default"/>
                <w:sz w:val="18"/>
                <w:szCs w:val="18"/>
              </w:rPr>
            </w:pPr>
            <w:r>
              <w:rPr>
                <w:rFonts w:ascii="宋体" w:hAnsi="宋体" w:cs="宋体" w:eastAsia="宋体" w:hint="default"/>
                <w:sz w:val="18"/>
                <w:szCs w:val="18"/>
              </w:rPr>
              <w:t>（中国电子科技 集团公司第三十 研究所）</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关于标的公司股权清理的承诺：三十所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 具承诺： 对卫士通造成的一切损失，由三十所承担赔偿责任。三 十所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月出具承诺：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、若因任何实际出资人主 张其出资人权益受到损害，并被依法认定三家标的公司 或卫士通应向其承担赔偿责任，因此对卫士通或三家标 </w:t>
            </w:r>
            <w:r>
              <w:rPr>
                <w:rFonts w:ascii="宋体" w:hAnsi="宋体" w:cs="宋体" w:eastAsia="宋体" w:hint="default"/>
                <w:spacing w:val="-3"/>
                <w:sz w:val="18"/>
                <w:szCs w:val="18"/>
              </w:rPr>
              <w:t>的公司造成损失的，由三十所承担赔偿责任。</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、若因三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家标的公司部分股东将股权转让给蜀祥创投产生纠纷而 给卫士通或三家标的公司造成损失的，由三十所承担赔 </w:t>
            </w:r>
            <w:r>
              <w:rPr>
                <w:rFonts w:ascii="宋体" w:hAnsi="宋体" w:cs="宋体" w:eastAsia="宋体" w:hint="default"/>
                <w:spacing w:val="-3"/>
                <w:sz w:val="18"/>
                <w:szCs w:val="18"/>
              </w:rPr>
              <w:t>偿责任。</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、若因三家标的公司自设立以来存在股权代持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情况或因本次股权代持清理产生的其他任何纠纷，对卫 士通或三家标的公司造成损失的，由三十所承担赔偿责 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5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34.950pt;height:78.05pt;mso-position-horizontal-relative:char;mso-position-vertical-relative:line" coordorigin="0,0" coordsize="699,1561">
                  <v:group style="position:absolute;left:0;top:0;width:699;height:1561" coordorigin="0,0" coordsize="699,1561">
                    <v:shape style="position:absolute;left:0;top:0;width:699;height:1561" coordorigin="0,0" coordsize="699,1561" path="m0,1560l698,1560,698,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9"/>
                <w:szCs w:val="19"/>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3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24"/>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3795"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西南通信研究所</w:t>
            </w:r>
          </w:p>
          <w:p>
            <w:pPr>
              <w:pStyle w:val="TableParagraph"/>
              <w:spacing w:line="319" w:lineRule="auto" w:before="76"/>
              <w:ind w:left="22" w:right="122"/>
              <w:jc w:val="both"/>
              <w:rPr>
                <w:rFonts w:ascii="宋体" w:hAnsi="宋体" w:cs="宋体" w:eastAsia="宋体" w:hint="default"/>
                <w:sz w:val="18"/>
                <w:szCs w:val="18"/>
              </w:rPr>
            </w:pPr>
            <w:r>
              <w:rPr>
                <w:rFonts w:ascii="宋体" w:hAnsi="宋体" w:cs="宋体" w:eastAsia="宋体" w:hint="default"/>
                <w:sz w:val="18"/>
                <w:szCs w:val="18"/>
              </w:rPr>
              <w:t>（中国电子科技 集团公司第三十 研究所）</w:t>
            </w:r>
          </w:p>
        </w:tc>
        <w:tc>
          <w:tcPr>
            <w:tcW w:w="4395" w:type="dxa"/>
            <w:tcBorders>
              <w:top w:val="single" w:sz="4" w:space="0" w:color="000000"/>
              <w:left w:val="single" w:sz="4" w:space="0" w:color="000000"/>
              <w:bottom w:val="single" w:sz="4" w:space="0" w:color="000000"/>
              <w:right w:val="single" w:sz="9" w:space="0" w:color="FFFFFF"/>
            </w:tcBorders>
          </w:tcPr>
          <w:p>
            <w:pPr>
              <w:pStyle w:val="TableParagraph"/>
              <w:spacing w:line="307"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关于三十所北京房产土地使用权过户安排的承诺函：三 十所承诺：鉴于卫士通发行股份购买本所拥有的坐落于 北京市丰台区南四环西路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号的房产，截至本承诺函 出具日， </w:t>
            </w:r>
            <w:r>
              <w:rPr>
                <w:rFonts w:ascii="宋体" w:hAnsi="宋体" w:cs="宋体" w:eastAsia="宋体" w:hint="default"/>
                <w:spacing w:val="-3"/>
                <w:sz w:val="18"/>
                <w:szCs w:val="18"/>
              </w:rPr>
              <w:t>其对应的土地使用权尚未完成权属变更登记，本所承诺</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、自该承诺函出具之日起的六个月内（下称</w:t>
            </w:r>
            <w:r>
              <w:rPr>
                <w:rFonts w:ascii="Times New Roman" w:hAnsi="Times New Roman" w:cs="Times New Roman" w:eastAsia="Times New Roman" w:hint="default"/>
                <w:sz w:val="18"/>
                <w:szCs w:val="18"/>
              </w:rPr>
              <w:t>"</w:t>
            </w:r>
            <w:r>
              <w:rPr>
                <w:rFonts w:ascii="宋体" w:hAnsi="宋体" w:cs="宋体" w:eastAsia="宋体" w:hint="default"/>
                <w:sz w:val="18"/>
                <w:szCs w:val="18"/>
              </w:rPr>
              <w:t>变更登记 </w:t>
            </w:r>
            <w:r>
              <w:rPr>
                <w:rFonts w:ascii="宋体" w:hAnsi="宋体" w:cs="宋体" w:eastAsia="宋体" w:hint="default"/>
                <w:spacing w:val="-4"/>
                <w:w w:val="99"/>
                <w:sz w:val="18"/>
                <w:szCs w:val="18"/>
              </w:rPr>
              <w:t>期间</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），本所将办理完毕上述房产的土地使用权权属变</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pacing w:val="-3"/>
                <w:sz w:val="18"/>
                <w:szCs w:val="18"/>
              </w:rPr>
              <w:t>更登记手续并协助卫士通履行其他相关义务；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、若在前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述变更登记期间内未能办理完毕上述房产的土地使用权 权属变更登记，则由本所按照中水致远评报字【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 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1096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号《中国电子科技集团公司第三十研究所拟对外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转让北京总部基地十八区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层房地产项目资产</w:t>
            </w:r>
          </w:p>
        </w:tc>
        <w:tc>
          <w:tcPr>
            <w:tcW w:w="70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18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1736"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pict>
                <v:group style="width:34.950pt;height:86.85pt;mso-position-horizontal-relative:char;mso-position-vertical-relative:line" coordorigin="0,0" coordsize="699,1737">
                  <v:group style="position:absolute;left:0;top:0;width:699;height:1384" coordorigin="0,0" coordsize="699,1384">
                    <v:shape style="position:absolute;left:0;top:0;width:699;height:1384" coordorigin="0,0" coordsize="699,1384" path="m0,1384l698,1384,698,0,0,0,0,1384xe" filled="true" fillcolor="#ffffff" stroked="false">
                      <v:path arrowok="t"/>
                      <v:fill type="solid"/>
                    </v:shape>
                  </v:group>
                  <v:group style="position:absolute;left:23;top:1384;width:653;height:353" coordorigin="23,1384" coordsize="653,353">
                    <v:shape style="position:absolute;left:23;top:1384;width:653;height:353" coordorigin="23,1384" coordsize="653,353" path="m23,1736l676,1736,676,1384,23,1384,23,1736xe" filled="true" fillcolor="#ffffff" stroked="false">
                      <v:path arrowok="t"/>
                      <v:fill type="solid"/>
                    </v:shape>
                  </v:group>
                </v:group>
              </w:pict>
            </w:r>
            <w:r>
              <w:rPr>
                <w:rFonts w:ascii="Times New Roman" w:hAnsi="Times New Roman" w:cs="Times New Roman" w:eastAsia="Times New Roman" w:hint="default"/>
                <w:position w:val="-3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2014-11</w:t>
            </w:r>
            <w:r>
              <w:rPr>
                <w:rFonts w:ascii="Times New Roman"/>
                <w:sz w:val="18"/>
              </w:rPr>
            </w:r>
          </w:p>
          <w:p>
            <w:pPr>
              <w:pStyle w:val="TableParagraph"/>
              <w:spacing w:line="240" w:lineRule="auto" w:before="6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2015-05</w:t>
            </w: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sz w:val="18"/>
              </w:rPr>
              <w:t>-21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4"/>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2.369019pt;margin-top:72.47998pt;width:68.150pt;height:80.1pt;mso-position-horizontal-relative:page;mso-position-vertical-relative:page;z-index:-9750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BodyText"/>
                    <w:spacing w:line="240" w:lineRule="auto"/>
                    <w:ind w:left="0" w:right="0"/>
                    <w:jc w:val="left"/>
                  </w:pPr>
                  <w:r>
                    <w:rPr/>
                    <w:t>的使用。</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4395"/>
        <w:gridCol w:w="708"/>
        <w:gridCol w:w="709"/>
        <w:gridCol w:w="779"/>
      </w:tblGrid>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评估报告》确定的评估价值，以等额现金进行置换，用</w:t>
            </w:r>
          </w:p>
        </w:tc>
        <w:tc>
          <w:tcPr>
            <w:tcW w:w="708" w:type="dxa"/>
            <w:vMerge w:val="restart"/>
            <w:tcBorders>
              <w:top w:val="single" w:sz="4" w:space="0" w:color="000000"/>
              <w:left w:val="single" w:sz="4" w:space="0" w:color="000000"/>
              <w:right w:val="single" w:sz="4" w:space="0" w:color="000000"/>
            </w:tcBorders>
          </w:tcPr>
          <w:p>
            <w:pPr>
              <w:pStyle w:val="TableParagraph"/>
              <w:spacing w:line="16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34.950pt;height:80.1pt;mso-position-horizontal-relative:char;mso-position-vertical-relative:line" coordorigin="0,0" coordsize="699,1602">
                  <v:group style="position:absolute;left:0;top:0;width:699;height:1602" coordorigin="0,0" coordsize="699,1602">
                    <v:shape style="position:absolute;left:0;top:0;width:699;height:1602" coordorigin="0,0" coordsize="699,1602" path="m0,1601l698,1601,698,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709"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于置换的现金将在变更登记期间届满后的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个月内足额</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支付给卫士通；</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、如果发生上述现金置换的情况，本所</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8" w:hRule="exact"/>
        </w:trPr>
        <w:tc>
          <w:tcPr>
            <w:tcW w:w="1560"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将根据卫士通生产经营的需要，就上述房产的租赁使用</w:t>
            </w: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3"/>
                <w:sz w:val="18"/>
                <w:szCs w:val="18"/>
              </w:rPr>
              <w:t>作出适当安排，以保证卫士通对该房产（如需）</w:t>
            </w: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57" w:hRule="exact"/>
        </w:trPr>
        <w:tc>
          <w:tcPr>
            <w:tcW w:w="1560"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西南通信研究所</w:t>
            </w:r>
          </w:p>
        </w:tc>
        <w:tc>
          <w:tcPr>
            <w:tcW w:w="4395"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1873" w:hRule="exact"/>
        </w:trPr>
        <w:tc>
          <w:tcPr>
            <w:tcW w:w="1560"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（中国电子科技 集团公司第三十 </w:t>
            </w:r>
            <w:r>
              <w:rPr>
                <w:rFonts w:ascii="宋体" w:hAnsi="宋体" w:cs="宋体" w:eastAsia="宋体" w:hint="default"/>
                <w:spacing w:val="-12"/>
                <w:sz w:val="18"/>
                <w:szCs w:val="18"/>
              </w:rPr>
              <w:t>研究所）、成都国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信安信息产业基 </w:t>
            </w:r>
            <w:r>
              <w:rPr>
                <w:rFonts w:ascii="宋体" w:hAnsi="宋体" w:cs="宋体" w:eastAsia="宋体" w:hint="default"/>
                <w:spacing w:val="-10"/>
                <w:sz w:val="18"/>
                <w:szCs w:val="18"/>
              </w:rPr>
              <w:t>地有限公司、四川</w:t>
            </w:r>
            <w:r>
              <w:rPr>
                <w:rFonts w:ascii="宋体" w:hAnsi="宋体" w:cs="宋体" w:eastAsia="宋体" w:hint="default"/>
                <w:sz w:val="18"/>
                <w:szCs w:val="18"/>
              </w:rPr>
              <w:t> 发展投资有限公</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4" w:lineRule="auto"/>
              <w:ind w:left="22" w:right="40"/>
              <w:jc w:val="left"/>
              <w:rPr>
                <w:rFonts w:ascii="宋体" w:hAnsi="宋体" w:cs="宋体" w:eastAsia="宋体" w:hint="default"/>
                <w:sz w:val="18"/>
                <w:szCs w:val="18"/>
              </w:rPr>
            </w:pPr>
            <w:r>
              <w:rPr>
                <w:rFonts w:ascii="宋体" w:hAnsi="宋体" w:cs="宋体" w:eastAsia="宋体" w:hint="default"/>
                <w:sz w:val="18"/>
                <w:szCs w:val="18"/>
              </w:rPr>
              <w:t>关于提供材料真实性的承诺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本所</w:t>
            </w:r>
            <w:r>
              <w:rPr>
                <w:rFonts w:ascii="Times New Roman" w:hAnsi="Times New Roman" w:cs="Times New Roman" w:eastAsia="Times New Roman" w:hint="default"/>
                <w:sz w:val="18"/>
                <w:szCs w:val="18"/>
              </w:rPr>
              <w:t>/</w:t>
            </w:r>
            <w:r>
              <w:rPr>
                <w:rFonts w:ascii="宋体" w:hAnsi="宋体" w:cs="宋体" w:eastAsia="宋体" w:hint="default"/>
                <w:sz w:val="18"/>
                <w:szCs w:val="18"/>
              </w:rPr>
              <w:t>公司保证为本次成都 卫士通信息产业股份有限公司重大资产重组所提供的有 关信息真实、准确和完整，不存在虚假记载、误导性陈 述或者重大遗漏，并对所提供信息的真实性、准确性和 完整性承担个别和连带的法律责任。</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4"/>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356"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439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22"/>
              <w:jc w:val="left"/>
              <w:rPr>
                <w:rFonts w:ascii="宋体" w:hAnsi="宋体" w:cs="宋体" w:eastAsia="宋体" w:hint="default"/>
                <w:sz w:val="18"/>
                <w:szCs w:val="18"/>
              </w:rPr>
            </w:pPr>
            <w:r>
              <w:rPr>
                <w:rFonts w:ascii="宋体" w:hAnsi="宋体" w:cs="宋体" w:eastAsia="宋体" w:hint="default"/>
                <w:sz w:val="18"/>
                <w:szCs w:val="18"/>
              </w:rPr>
              <w:t>中国电子科技集 团公司</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0"/>
              <w:jc w:val="both"/>
              <w:rPr>
                <w:rFonts w:ascii="宋体" w:hAnsi="宋体" w:cs="宋体" w:eastAsia="宋体" w:hint="default"/>
                <w:sz w:val="18"/>
                <w:szCs w:val="18"/>
              </w:rPr>
            </w:pPr>
            <w:r>
              <w:rPr>
                <w:rFonts w:ascii="宋体" w:hAnsi="宋体" w:cs="宋体" w:eastAsia="宋体" w:hint="default"/>
                <w:sz w:val="18"/>
                <w:szCs w:val="18"/>
              </w:rPr>
              <w:t>中国电科承诺将公允地对待各被投资企业，不会利用管 理地位获得的信息，作出任何不利于卫士通而有利于其 他企业的决定或判断；若因中国电子科技集团公司直接 干预有关企业的具体生产经营活动而导致同业竞争，并 使卫士通受到损失的，将承担相关责任；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3"/>
              <w:jc w:val="both"/>
              <w:rPr>
                <w:rFonts w:ascii="宋体" w:hAnsi="宋体" w:cs="宋体" w:eastAsia="宋体" w:hint="default"/>
                <w:sz w:val="18"/>
                <w:szCs w:val="18"/>
              </w:rPr>
            </w:pPr>
            <w:r>
              <w:rPr>
                <w:rFonts w:ascii="宋体" w:hAnsi="宋体" w:cs="宋体" w:eastAsia="宋体" w:hint="default"/>
                <w:sz w:val="18"/>
                <w:szCs w:val="18"/>
              </w:rPr>
              <w:t>作为卫 士通实 际控制 人期间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截止本报 告出具 日，承诺 人严格履 行了上述 承诺。</w:t>
            </w:r>
          </w:p>
        </w:tc>
      </w:tr>
      <w:tr>
        <w:trPr>
          <w:trHeight w:val="357"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三十所承诺三十所及其下属全资或控股子企业将不会以</w:t>
            </w:r>
          </w:p>
        </w:tc>
        <w:tc>
          <w:tcPr>
            <w:tcW w:w="70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截止本报</w:t>
            </w:r>
          </w:p>
        </w:tc>
      </w:tr>
      <w:tr>
        <w:trPr>
          <w:trHeight w:val="1254"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首次公开发行或再 融资时所作承诺</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2" w:lineRule="auto" w:before="11"/>
              <w:ind w:left="22" w:right="49"/>
              <w:jc w:val="left"/>
              <w:rPr>
                <w:rFonts w:ascii="宋体" w:hAnsi="宋体" w:cs="宋体" w:eastAsia="宋体" w:hint="default"/>
                <w:sz w:val="18"/>
                <w:szCs w:val="18"/>
              </w:rPr>
            </w:pPr>
            <w:r>
              <w:rPr>
                <w:rFonts w:ascii="宋体" w:hAnsi="宋体" w:cs="宋体" w:eastAsia="宋体" w:hint="default"/>
                <w:sz w:val="18"/>
                <w:szCs w:val="18"/>
              </w:rPr>
              <w:t>中国电子科技集 团公司第三十研 究所（简称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三十 所</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40"/>
              <w:jc w:val="both"/>
              <w:rPr>
                <w:rFonts w:ascii="宋体" w:hAnsi="宋体" w:cs="宋体" w:eastAsia="宋体" w:hint="default"/>
                <w:sz w:val="18"/>
                <w:szCs w:val="18"/>
              </w:rPr>
            </w:pPr>
            <w:r>
              <w:rPr>
                <w:rFonts w:ascii="宋体" w:hAnsi="宋体" w:cs="宋体" w:eastAsia="宋体" w:hint="default"/>
                <w:sz w:val="18"/>
                <w:szCs w:val="18"/>
              </w:rPr>
              <w:t>任何方式（包括但不限于独自经营，合资经营和拥有在 其他公司或企业的股票或权益）直接或间接参与任何导 致或可能导致与卫士通主营业务直接或间接产生竞争的 业务或活动，亦不生产与卫士通产品相同或相似或可以</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3" w:right="133"/>
              <w:jc w:val="both"/>
              <w:rPr>
                <w:rFonts w:ascii="宋体" w:hAnsi="宋体" w:cs="宋体" w:eastAsia="宋体" w:hint="default"/>
                <w:sz w:val="18"/>
                <w:szCs w:val="18"/>
              </w:rPr>
            </w:pPr>
            <w:r>
              <w:rPr>
                <w:rFonts w:ascii="宋体" w:hAnsi="宋体" w:cs="宋体" w:eastAsia="宋体" w:hint="default"/>
                <w:sz w:val="18"/>
                <w:szCs w:val="18"/>
              </w:rPr>
              <w:t>作为卫 士通控 股股东 期间</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告出具 日，承诺 人严格履 行了上述</w:t>
            </w:r>
          </w:p>
        </w:tc>
      </w:tr>
      <w:tr>
        <w:trPr>
          <w:trHeight w:val="351"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取代卫士通产品的产品。</w:t>
            </w:r>
          </w:p>
        </w:tc>
        <w:tc>
          <w:tcPr>
            <w:tcW w:w="70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r>
      <w:tr>
        <w:trPr>
          <w:trHeight w:val="357"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43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公司全体董事、监事及高级管理人员承诺，在任职期间</w:t>
            </w:r>
          </w:p>
        </w:tc>
        <w:tc>
          <w:tcPr>
            <w:tcW w:w="708" w:type="dxa"/>
            <w:vMerge w:val="restart"/>
            <w:tcBorders>
              <w:top w:val="single" w:sz="4" w:space="0" w:color="000000"/>
              <w:left w:val="single" w:sz="4" w:space="0" w:color="000000"/>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每年转让的股份不超过其所持有本公司股份总数的百分</w:t>
            </w:r>
          </w:p>
        </w:tc>
        <w:tc>
          <w:tcPr>
            <w:tcW w:w="708"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截止公告</w:t>
            </w:r>
          </w:p>
        </w:tc>
      </w:tr>
      <w:tr>
        <w:trPr>
          <w:trHeight w:val="936"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left"/>
              <w:rPr>
                <w:rFonts w:ascii="宋体" w:hAnsi="宋体" w:cs="宋体" w:eastAsia="宋体" w:hint="default"/>
                <w:sz w:val="18"/>
                <w:szCs w:val="18"/>
              </w:rPr>
            </w:pPr>
            <w:r>
              <w:rPr>
                <w:rFonts w:ascii="宋体" w:hAnsi="宋体" w:cs="宋体" w:eastAsia="宋体" w:hint="default"/>
                <w:spacing w:val="-10"/>
                <w:sz w:val="18"/>
                <w:szCs w:val="18"/>
              </w:rPr>
              <w:t>公司全体董事、监</w:t>
            </w:r>
            <w:r>
              <w:rPr>
                <w:rFonts w:ascii="宋体" w:hAnsi="宋体" w:cs="宋体" w:eastAsia="宋体" w:hint="default"/>
                <w:sz w:val="18"/>
                <w:szCs w:val="18"/>
              </w:rPr>
              <w:t> 事及高级管理人 员</w:t>
            </w: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之二十五；离任后六个月内，不转让其所持有的本公司 股份；</w:t>
            </w:r>
            <w:r>
              <w:rPr>
                <w:rFonts w:ascii="宋体" w:hAnsi="宋体" w:cs="宋体" w:eastAsia="宋体" w:hint="default"/>
                <w:spacing w:val="-72"/>
                <w:sz w:val="18"/>
                <w:szCs w:val="18"/>
              </w:rPr>
              <w:t> </w:t>
            </w:r>
            <w:r>
              <w:rPr>
                <w:rFonts w:ascii="宋体" w:hAnsi="宋体" w:cs="宋体" w:eastAsia="宋体" w:hint="default"/>
                <w:sz w:val="18"/>
                <w:szCs w:val="18"/>
              </w:rPr>
              <w:t>离任六个月后的十二个月内通过证券交易所挂牌</w:t>
            </w:r>
            <w:r>
              <w:rPr>
                <w:rFonts w:ascii="宋体" w:hAnsi="宋体" w:cs="宋体" w:eastAsia="宋体" w:hint="default"/>
                <w:sz w:val="18"/>
                <w:szCs w:val="18"/>
              </w:rPr>
              <w:t> 交易出售本公司股票数量点其所持有本公司股票总数</w:t>
            </w:r>
          </w:p>
        </w:tc>
        <w:tc>
          <w:tcPr>
            <w:tcW w:w="708"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33"/>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之日，承 诺人严格 履行了上</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43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（包括限售条件和无限售条件的股份）的比例不超过</w:t>
            </w:r>
          </w:p>
        </w:tc>
        <w:tc>
          <w:tcPr>
            <w:tcW w:w="708" w:type="dxa"/>
            <w:vMerge/>
            <w:tcBorders>
              <w:left w:val="single" w:sz="4" w:space="0" w:color="000000"/>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述承诺。</w:t>
            </w: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43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708" w:type="dxa"/>
            <w:vMerge/>
            <w:tcBorders>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80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2"/>
      <w:bookmarkEnd w:id="62"/>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1134"/>
        <w:gridCol w:w="1096"/>
        <w:gridCol w:w="1196"/>
        <w:gridCol w:w="1196"/>
        <w:gridCol w:w="1199"/>
        <w:gridCol w:w="1195"/>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4" w:right="54" w:hanging="451"/>
              <w:jc w:val="left"/>
              <w:rPr>
                <w:rFonts w:ascii="宋体" w:hAnsi="宋体" w:cs="宋体" w:eastAsia="宋体" w:hint="default"/>
                <w:sz w:val="18"/>
                <w:szCs w:val="18"/>
              </w:rPr>
            </w:pPr>
            <w:r>
              <w:rPr>
                <w:rFonts w:ascii="宋体" w:hAnsi="宋体" w:cs="宋体" w:eastAsia="宋体" w:hint="default"/>
                <w:sz w:val="18"/>
                <w:szCs w:val="18"/>
              </w:rPr>
              <w:t>盈利预测资产或项 目名称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7"/>
              <w:jc w:val="left"/>
              <w:rPr>
                <w:rFonts w:ascii="宋体" w:hAnsi="宋体" w:cs="宋体" w:eastAsia="宋体" w:hint="default"/>
                <w:sz w:val="18"/>
                <w:szCs w:val="18"/>
              </w:rPr>
            </w:pPr>
            <w:r>
              <w:rPr>
                <w:rFonts w:ascii="宋体" w:hAnsi="宋体" w:cs="宋体" w:eastAsia="宋体" w:hint="default"/>
                <w:sz w:val="18"/>
                <w:szCs w:val="18"/>
              </w:rPr>
              <w:t>购买成都三零盛安 信息系统有限公司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1,500.4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1,592.38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992"/>
        <w:gridCol w:w="1134"/>
        <w:gridCol w:w="1096"/>
        <w:gridCol w:w="1196"/>
        <w:gridCol w:w="1196"/>
        <w:gridCol w:w="1199"/>
        <w:gridCol w:w="1195"/>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93.98%</w:t>
            </w:r>
            <w:r>
              <w:rPr>
                <w:rFonts w:ascii="宋体" w:hAnsi="宋体" w:cs="宋体" w:eastAsia="宋体" w:hint="default"/>
                <w:sz w:val="18"/>
                <w:szCs w:val="18"/>
              </w:rPr>
              <w:t>股权</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购买成都三零瑞通 移动通信有限公司 </w:t>
            </w:r>
            <w:r>
              <w:rPr>
                <w:rFonts w:ascii="Times New Roman" w:hAnsi="Times New Roman" w:cs="Times New Roman" w:eastAsia="Times New Roman" w:hint="default"/>
                <w:sz w:val="18"/>
                <w:szCs w:val="18"/>
              </w:rPr>
              <w:t>94.41%</w:t>
            </w:r>
            <w:r>
              <w:rPr>
                <w:rFonts w:ascii="宋体" w:hAnsi="宋体" w:cs="宋体" w:eastAsia="宋体" w:hint="default"/>
                <w:sz w:val="18"/>
                <w:szCs w:val="18"/>
              </w:rPr>
              <w:t>股权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1,858.22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购买成都三零嘉微 电子有限公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85.74% </w:t>
            </w:r>
            <w:r>
              <w:rPr>
                <w:rFonts w:ascii="宋体" w:hAnsi="宋体" w:cs="宋体" w:eastAsia="宋体" w:hint="default"/>
                <w:sz w:val="18"/>
                <w:szCs w:val="18"/>
              </w:rPr>
              <w:t>股权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1,342.72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聘任、解聘会计师事务所情况" w:id="63"/>
      <w:bookmarkEnd w:id="63"/>
      <w:r>
        <w:rPr>
          <w:b w:val="0"/>
          <w:bCs w:val="0"/>
        </w:rPr>
      </w:r>
      <w:r>
        <w:rPr/>
        <w:t>五、聘任、解聘会计师事务所情况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杨敏、苏红梅</w:t>
            </w:r>
          </w:p>
        </w:tc>
      </w:tr>
    </w:tbl>
    <w:p>
      <w:pPr>
        <w:pStyle w:val="BodyText"/>
        <w:spacing w:line="240" w:lineRule="auto" w:before="51"/>
        <w:ind w:left="154" w:right="0"/>
        <w:jc w:val="both"/>
      </w:pPr>
      <w:r>
        <w:rPr/>
        <w:t>当期是否改聘会计师事务所</w:t>
      </w:r>
    </w:p>
    <w:p>
      <w:pPr>
        <w:pStyle w:val="BodyText"/>
        <w:spacing w:line="340" w:lineRule="auto" w:before="116"/>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18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本年度，公司因重大资产重组事项，聘请东海证券股份有限公司为财务顾问，期间共支付财务顾问费用</w:t>
      </w:r>
      <w:r>
        <w:rPr>
          <w:rFonts w:ascii="Times New Roman" w:hAnsi="Times New Roman" w:cs="Times New Roman" w:eastAsia="Times New Roman" w:hint="default"/>
        </w:rPr>
        <w:t>600</w:t>
      </w:r>
      <w:r>
        <w:rPr/>
        <w:t>万元。</w:t>
      </w:r>
    </w:p>
    <w:p>
      <w:pPr>
        <w:spacing w:line="240" w:lineRule="auto" w:before="11"/>
        <w:rPr>
          <w:rFonts w:ascii="宋体" w:hAnsi="宋体" w:cs="宋体" w:eastAsia="宋体" w:hint="default"/>
          <w:sz w:val="17"/>
          <w:szCs w:val="17"/>
        </w:rPr>
      </w:pPr>
    </w:p>
    <w:p>
      <w:pPr>
        <w:pStyle w:val="Heading2"/>
        <w:spacing w:line="240" w:lineRule="auto"/>
        <w:ind w:right="0"/>
        <w:jc w:val="both"/>
        <w:rPr>
          <w:b w:val="0"/>
          <w:bCs w:val="0"/>
        </w:rPr>
      </w:pPr>
      <w:bookmarkStart w:name="六、其他重大事项的说明" w:id="64"/>
      <w:bookmarkEnd w:id="64"/>
      <w:r>
        <w:rPr>
          <w:b w:val="0"/>
          <w:bCs w:val="0"/>
        </w:rPr>
      </w:r>
      <w:r>
        <w:rPr/>
        <w:t>六、其他重大事项的说明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both"/>
      </w:pPr>
      <w:r>
        <w:rPr>
          <w:rFonts w:ascii="Times New Roman" w:hAnsi="Times New Roman" w:cs="Times New Roman" w:eastAsia="Times New Roman" w:hint="default"/>
        </w:rPr>
        <w:t>1</w:t>
      </w:r>
      <w:r>
        <w:rPr/>
        <w:t>、公司实施重大资产重组事项：</w:t>
      </w:r>
    </w:p>
    <w:p>
      <w:pPr>
        <w:pStyle w:val="BodyText"/>
        <w:spacing w:line="300" w:lineRule="auto" w:before="101"/>
        <w:ind w:right="1130" w:firstLine="9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7</w:t>
      </w:r>
      <w:r>
        <w:rPr>
          <w:rFonts w:ascii="Times New Roman" w:hAnsi="Times New Roman" w:cs="Times New Roman" w:eastAsia="Times New Roman" w:hint="default"/>
          <w:spacing w:val="-12"/>
        </w:rPr>
        <w:t> </w:t>
      </w:r>
      <w:r>
        <w:rPr/>
        <w:t>月，公司取得中国证监会《关于核准成都卫士通信息产业股份有限公司向中国电子科技集团公司第三十研究所等 </w:t>
      </w:r>
      <w:r>
        <w:rPr>
          <w:spacing w:val="-4"/>
        </w:rPr>
        <w:t>发行股份购买资产并募集配套资金的批复》（证件许可【</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729</w:t>
      </w:r>
      <w:r>
        <w:rPr>
          <w:rFonts w:ascii="Times New Roman" w:hAnsi="Times New Roman" w:cs="Times New Roman" w:eastAsia="Times New Roman" w:hint="default"/>
          <w:spacing w:val="10"/>
        </w:rPr>
        <w:t> </w:t>
      </w:r>
      <w:r>
        <w:rPr>
          <w:spacing w:val="-4"/>
        </w:rPr>
        <w:t>号），并于年度内完成标的资产交割过户及新增股份登记</w:t>
      </w:r>
      <w:r>
        <w:rPr>
          <w:spacing w:val="-88"/>
        </w:rPr>
        <w:t> </w:t>
      </w:r>
      <w:r>
        <w:rPr>
          <w:spacing w:val="-88"/>
        </w:rPr>
      </w:r>
      <w:r>
        <w:rPr/>
        <w:t>发行。重组完成后，公司取得成都三零盛安信息系统有限公司</w:t>
      </w:r>
      <w:r>
        <w:rPr>
          <w:spacing w:val="-57"/>
        </w:rPr>
        <w:t> </w:t>
      </w:r>
      <w:r>
        <w:rPr>
          <w:rFonts w:ascii="Times New Roman" w:hAnsi="Times New Roman" w:cs="Times New Roman" w:eastAsia="Times New Roman" w:hint="default"/>
        </w:rPr>
        <w:t>93.98%</w:t>
      </w:r>
      <w:r>
        <w:rPr/>
        <w:t>股权、成都三零瑞通移动通信有限公司</w:t>
      </w:r>
      <w:r>
        <w:rPr>
          <w:spacing w:val="-57"/>
        </w:rPr>
        <w:t> </w:t>
      </w:r>
      <w:r>
        <w:rPr>
          <w:rFonts w:ascii="Times New Roman" w:hAnsi="Times New Roman" w:cs="Times New Roman" w:eastAsia="Times New Roman" w:hint="default"/>
        </w:rPr>
        <w:t>94.41%</w:t>
      </w:r>
      <w:r>
        <w:rPr/>
        <w:t>股权和 成都三零嘉微电子有限公司</w:t>
      </w:r>
      <w:r>
        <w:rPr>
          <w:spacing w:val="-47"/>
        </w:rPr>
        <w:t> </w:t>
      </w:r>
      <w:r>
        <w:rPr>
          <w:rFonts w:ascii="Times New Roman" w:hAnsi="Times New Roman" w:cs="Times New Roman" w:eastAsia="Times New Roman" w:hint="default"/>
        </w:rPr>
        <w:t>75.74%</w:t>
      </w:r>
      <w:r>
        <w:rPr/>
        <w:t>股权和三十所北京房产，总股本由</w:t>
      </w:r>
      <w:r>
        <w:rPr>
          <w:spacing w:val="-47"/>
        </w:rPr>
        <w:t> </w:t>
      </w:r>
      <w:r>
        <w:rPr>
          <w:rFonts w:ascii="Times New Roman" w:hAnsi="Times New Roman" w:cs="Times New Roman" w:eastAsia="Times New Roman" w:hint="default"/>
        </w:rPr>
        <w:t>172,712,065</w:t>
      </w:r>
      <w:r>
        <w:rPr>
          <w:rFonts w:ascii="Times New Roman" w:hAnsi="Times New Roman" w:cs="Times New Roman" w:eastAsia="Times New Roman" w:hint="default"/>
          <w:spacing w:val="-2"/>
        </w:rPr>
        <w:t> </w:t>
      </w:r>
      <w:r>
        <w:rPr/>
        <w:t>股增至</w:t>
      </w:r>
      <w:r>
        <w:rPr>
          <w:spacing w:val="-47"/>
        </w:rPr>
        <w:t> </w:t>
      </w:r>
      <w:r>
        <w:rPr>
          <w:rFonts w:ascii="Times New Roman" w:hAnsi="Times New Roman" w:cs="Times New Roman" w:eastAsia="Times New Roman" w:hint="default"/>
        </w:rPr>
        <w:t>216,261,673</w:t>
      </w:r>
      <w:r>
        <w:rPr>
          <w:rFonts w:ascii="Times New Roman" w:hAnsi="Times New Roman" w:cs="Times New Roman" w:eastAsia="Times New Roman" w:hint="default"/>
          <w:spacing w:val="-2"/>
        </w:rPr>
        <w:t> </w:t>
      </w:r>
      <w:r>
        <w:rPr/>
        <w:t>股。</w:t>
      </w:r>
    </w:p>
    <w:p>
      <w:pPr>
        <w:pStyle w:val="BodyText"/>
        <w:spacing w:line="340" w:lineRule="auto" w:before="52"/>
        <w:ind w:right="0"/>
        <w:jc w:val="left"/>
      </w:pPr>
      <w:r>
        <w:rPr>
          <w:rFonts w:ascii="Times New Roman" w:hAnsi="Times New Roman" w:cs="Times New Roman" w:eastAsia="Times New Roman" w:hint="default"/>
        </w:rPr>
        <w:t>2</w:t>
      </w:r>
      <w:r>
        <w:rPr/>
        <w:t>、公司</w:t>
      </w:r>
      <w:r>
        <w:rPr>
          <w:spacing w:val="-46"/>
        </w:rPr>
        <w:t> </w:t>
      </w:r>
      <w:r>
        <w:rPr>
          <w:rFonts w:ascii="Times New Roman" w:hAnsi="Times New Roman" w:cs="Times New Roman" w:eastAsia="Times New Roman" w:hint="default"/>
        </w:rPr>
        <w:t>2014 </w:t>
      </w:r>
      <w:r>
        <w:rPr/>
        <w:t>年第二次临时股东大会换届选举了新一届董事、监事。 </w:t>
      </w:r>
      <w:r>
        <w:rPr>
          <w:spacing w:val="-4"/>
          <w:w w:val="99"/>
        </w:rPr>
        <w:t>上述相关公告文件均刊载于公司指定信息披露平台《证券时报》和巨潮资讯网（</w:t>
      </w:r>
      <w:hyperlink r:id="rId12">
        <w:r>
          <w:rPr>
            <w:rFonts w:ascii="Times New Roman" w:hAnsi="Times New Roman" w:cs="Times New Roman" w:eastAsia="Times New Roman" w:hint="default"/>
            <w:spacing w:val="-4"/>
            <w:w w:val="99"/>
          </w:rPr>
          <w:t>http://www.cninfo.com.cn</w:t>
        </w:r>
      </w:hyperlink>
      <w:r>
        <w:rPr>
          <w:spacing w:val="-4"/>
          <w:w w:val="99"/>
        </w:rPr>
        <w:t>）。</w:t>
      </w:r>
      <w:r>
        <w:rPr>
          <w:w w:val="99"/>
        </w:rPr>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Heading1"/>
        <w:spacing w:line="240" w:lineRule="auto"/>
        <w:ind w:left="2965" w:right="0"/>
        <w:jc w:val="left"/>
        <w:rPr>
          <w:b w:val="0"/>
          <w:bCs w:val="0"/>
        </w:rPr>
      </w:pPr>
      <w:bookmarkStart w:name="第六节 股份变动及股东情况" w:id="65"/>
      <w:bookmarkEnd w:id="65"/>
      <w:r>
        <w:rPr>
          <w:b w:val="0"/>
          <w:bCs w:val="0"/>
        </w:rPr>
      </w:r>
      <w:bookmarkStart w:name="_bookmark5" w:id="66"/>
      <w:bookmarkEnd w:id="6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67"/>
      <w:bookmarkEnd w:id="67"/>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2"/>
        <w:gridCol w:w="1032"/>
        <w:gridCol w:w="842"/>
        <w:gridCol w:w="960"/>
        <w:gridCol w:w="725"/>
        <w:gridCol w:w="842"/>
        <w:gridCol w:w="844"/>
        <w:gridCol w:w="842"/>
        <w:gridCol w:w="815"/>
        <w:gridCol w:w="820"/>
      </w:tblGrid>
      <w:tr>
        <w:trPr>
          <w:trHeight w:val="402"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03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96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32" w:type="dxa"/>
            <w:vMerge/>
            <w:tcBorders>
              <w:left w:val="single" w:sz="4" w:space="0" w:color="000000"/>
              <w:bottom w:val="nil" w:sz="6" w:space="0" w:color="auto"/>
              <w:right w:val="single" w:sz="4" w:space="0" w:color="000000"/>
            </w:tcBorders>
            <w:shd w:val="clear" w:color="auto" w:fill="D2D2D2"/>
          </w:tcPr>
          <w:p>
            <w:pPr/>
          </w:p>
        </w:tc>
        <w:tc>
          <w:tcPr>
            <w:tcW w:w="10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32" w:type="dxa"/>
            <w:vMerge w:val="restart"/>
            <w:tcBorders>
              <w:top w:val="nil" w:sz="6" w:space="0" w:color="auto"/>
              <w:left w:val="single" w:sz="4" w:space="0" w:color="000000"/>
              <w:right w:val="single" w:sz="4" w:space="0" w:color="000000"/>
            </w:tcBorders>
            <w:shd w:val="clear" w:color="auto" w:fill="D2D2D2"/>
          </w:tcPr>
          <w:p>
            <w:pPr/>
          </w:p>
        </w:tc>
        <w:tc>
          <w:tcPr>
            <w:tcW w:w="103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96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32" w:type="dxa"/>
            <w:vMerge/>
            <w:tcBorders>
              <w:left w:val="single" w:sz="4" w:space="0" w:color="000000"/>
              <w:bottom w:val="single" w:sz="4" w:space="0" w:color="000000"/>
              <w:right w:val="single" w:sz="4" w:space="0" w:color="000000"/>
            </w:tcBorders>
            <w:shd w:val="clear" w:color="auto" w:fill="D2D2D2"/>
          </w:tcPr>
          <w:p>
            <w:pPr/>
          </w:p>
        </w:tc>
        <w:tc>
          <w:tcPr>
            <w:tcW w:w="103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5,838,924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3.38%</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43,549,608</w:t>
            </w:r>
          </w:p>
        </w:tc>
        <w:tc>
          <w:tcPr>
            <w:tcW w:w="72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-5,156,419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38,393,18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44,232,11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20.45%</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2" w:type="dxa"/>
            <w:vMerge/>
            <w:tcBorders>
              <w:left w:val="single" w:sz="10"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vMerge/>
            <w:tcBorders>
              <w:left w:val="single" w:sz="10"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4,375,800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2.53%</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43,549,608</w:t>
            </w:r>
          </w:p>
        </w:tc>
        <w:tc>
          <w:tcPr>
            <w:tcW w:w="72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-4,375,800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39,173,80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43,549,60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20.14%</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32" w:type="dxa"/>
            <w:vMerge/>
            <w:tcBorders>
              <w:left w:val="single" w:sz="10"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vMerge/>
            <w:tcBorders>
              <w:left w:val="single" w:sz="10"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1,463,124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0.85%</w:t>
            </w:r>
          </w:p>
        </w:tc>
        <w:tc>
          <w:tcPr>
            <w:tcW w:w="96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-780,619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-780,619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682,505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1,463,124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96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-780,619</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-780,619</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682,505</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166,873,141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96.62%</w:t>
            </w:r>
          </w:p>
        </w:tc>
        <w:tc>
          <w:tcPr>
            <w:tcW w:w="96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5,156,419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5,156,419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172,029,5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79.55%</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2" w:type="dxa"/>
            <w:vMerge/>
            <w:tcBorders>
              <w:left w:val="single" w:sz="10"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vMerge/>
            <w:tcBorders>
              <w:left w:val="single" w:sz="10"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166,873,141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96.62%</w:t>
            </w:r>
          </w:p>
        </w:tc>
        <w:tc>
          <w:tcPr>
            <w:tcW w:w="96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5,156,419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5,156,419</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172,029,5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79.55%</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2" w:type="dxa"/>
            <w:vMerge/>
            <w:tcBorders>
              <w:left w:val="single" w:sz="10"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vMerge/>
            <w:tcBorders>
              <w:left w:val="single" w:sz="10"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172,712,065</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43,549,608</w:t>
            </w:r>
          </w:p>
        </w:tc>
        <w:tc>
          <w:tcPr>
            <w:tcW w:w="72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43,549,60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216,261,6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2" w:type="dxa"/>
            <w:vMerge/>
            <w:tcBorders>
              <w:left w:val="single" w:sz="10"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96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2" w:type="dxa"/>
            <w:vMerge/>
            <w:tcBorders>
              <w:left w:val="single" w:sz="10"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96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19"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4"/>
          <w:w w:val="99"/>
        </w:rPr>
        <w:t>1</w:t>
      </w:r>
      <w:r>
        <w:rPr>
          <w:spacing w:val="-4"/>
          <w:w w:val="99"/>
        </w:rPr>
        <w:t>、经中国证券监督管理委员会证监许可</w:t>
      </w:r>
      <w:r>
        <w:rPr>
          <w:rFonts w:ascii="Times New Roman" w:hAnsi="Times New Roman" w:cs="Times New Roman" w:eastAsia="Times New Roman" w:hint="default"/>
          <w:spacing w:val="-4"/>
          <w:w w:val="99"/>
        </w:rPr>
        <w:t>(2014)729</w:t>
      </w:r>
      <w:r>
        <w:rPr>
          <w:spacing w:val="-4"/>
          <w:w w:val="99"/>
        </w:rPr>
        <w:t>号文批准，公司于</w:t>
      </w:r>
      <w:r>
        <w:rPr>
          <w:rFonts w:ascii="Times New Roman" w:hAnsi="Times New Roman" w:cs="Times New Roman" w:eastAsia="Times New Roman" w:hint="default"/>
          <w:spacing w:val="-4"/>
          <w:w w:val="99"/>
        </w:rPr>
        <w:t>2014</w:t>
      </w:r>
      <w:r>
        <w:rPr>
          <w:spacing w:val="-4"/>
          <w:w w:val="99"/>
        </w:rPr>
        <w:t>年</w:t>
      </w:r>
      <w:r>
        <w:rPr>
          <w:rFonts w:ascii="Times New Roman" w:hAnsi="Times New Roman" w:cs="Times New Roman" w:eastAsia="Times New Roman" w:hint="default"/>
          <w:spacing w:val="-4"/>
          <w:w w:val="99"/>
        </w:rPr>
        <w:t>12</w:t>
      </w:r>
      <w:r>
        <w:rPr>
          <w:spacing w:val="-4"/>
          <w:w w:val="99"/>
        </w:rPr>
        <w:t>月非公开发行了</w:t>
      </w:r>
      <w:r>
        <w:rPr>
          <w:rFonts w:ascii="Times New Roman" w:hAnsi="Times New Roman" w:cs="Times New Roman" w:eastAsia="Times New Roman" w:hint="default"/>
          <w:spacing w:val="-4"/>
          <w:w w:val="99"/>
        </w:rPr>
        <w:t>43,549,608</w:t>
      </w:r>
      <w:r>
        <w:rPr>
          <w:spacing w:val="-4"/>
          <w:w w:val="99"/>
        </w:rPr>
        <w:t>股</w:t>
      </w:r>
      <w:r>
        <w:rPr>
          <w:rFonts w:ascii="Times New Roman" w:hAnsi="Times New Roman" w:cs="Times New Roman" w:eastAsia="Times New Roman" w:hint="default"/>
          <w:spacing w:val="-4"/>
          <w:w w:val="99"/>
        </w:rPr>
        <w:t>A</w:t>
      </w:r>
      <w:r>
        <w:rPr>
          <w:spacing w:val="-4"/>
          <w:w w:val="99"/>
        </w:rPr>
        <w:t>股股票，并于</w:t>
      </w:r>
      <w:r>
        <w:rPr>
          <w:rFonts w:ascii="Times New Roman" w:hAnsi="Times New Roman" w:cs="Times New Roman" w:eastAsia="Times New Roman" w:hint="default"/>
          <w:spacing w:val="-4"/>
          <w:w w:val="99"/>
        </w:rPr>
        <w:t>2014</w:t>
      </w:r>
      <w:r>
        <w:rPr>
          <w:rFonts w:ascii="Times New Roman" w:hAnsi="Times New Roman" w:cs="Times New Roman" w:eastAsia="Times New Roman" w:hint="default"/>
          <w:spacing w:val="-7"/>
          <w:w w:val="9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日在深圳证券交易所上市。</w:t>
      </w:r>
    </w:p>
    <w:p>
      <w:pPr>
        <w:pStyle w:val="BodyText"/>
        <w:spacing w:line="340" w:lineRule="auto"/>
        <w:ind w:left="154" w:right="7422"/>
        <w:jc w:val="left"/>
      </w:pPr>
      <w:r>
        <w:rPr>
          <w:rFonts w:ascii="Times New Roman" w:hAnsi="Times New Roman" w:cs="Times New Roman" w:eastAsia="Times New Roman" w:hint="default"/>
        </w:rPr>
        <w:t>2</w:t>
      </w:r>
      <w:r>
        <w:rPr/>
        <w:t>、由于限售股的解锁导致股份发生变动。 股份变动的批准情况</w:t>
      </w:r>
    </w:p>
    <w:p>
      <w:pPr>
        <w:pStyle w:val="BodyText"/>
        <w:spacing w:line="240" w:lineRule="auto" w:before="4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57" w:firstLine="506"/>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日，公司召开第五届董事会第二十一次会议，审议通过了《关于公司发行股份购买资产并募集配套资金 暨关联交易的方案的议案》等与本次交易相关的议案。</w:t>
      </w:r>
    </w:p>
    <w:p>
      <w:pPr>
        <w:pStyle w:val="BodyText"/>
        <w:spacing w:line="240" w:lineRule="auto" w:before="31"/>
        <w:ind w:left="660"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日，国防科工局原则同意本次交易。</w:t>
      </w:r>
    </w:p>
    <w:p>
      <w:pPr>
        <w:pStyle w:val="BodyText"/>
        <w:spacing w:line="300" w:lineRule="auto" w:before="63"/>
        <w:ind w:right="1157" w:firstLine="5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日，公司召开第五届董事会第二十二次会议，审议通过了《〈成都卫士通信息产业股份有限公司发行股 份购买资产并募集配套资金暨关联交易报告书（草案）〉及摘要》等与本次交易相关的议案。</w:t>
      </w:r>
    </w:p>
    <w:p>
      <w:pPr>
        <w:pStyle w:val="BodyText"/>
        <w:spacing w:line="240" w:lineRule="auto" w:before="32"/>
        <w:ind w:left="66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日，国务院国资委下发《关于成都卫士通信息产业股份有限公司资产重组暨配套融资有关问题的批复》</w:t>
      </w:r>
    </w:p>
    <w:p>
      <w:pPr>
        <w:pStyle w:val="BodyText"/>
        <w:spacing w:line="240" w:lineRule="auto" w:before="63"/>
        <w:ind w:right="0"/>
        <w:jc w:val="left"/>
      </w:pPr>
      <w:r>
        <w:rPr/>
        <w:t>（国资产权</w:t>
      </w:r>
      <w:r>
        <w:rPr>
          <w:rFonts w:ascii="Times New Roman" w:hAnsi="Times New Roman" w:cs="Times New Roman" w:eastAsia="Times New Roman" w:hint="default"/>
        </w:rPr>
        <w:t>[2014]68</w:t>
      </w:r>
      <w:r>
        <w:rPr/>
        <w:t>号），原则同意公司本次交易总体方案。</w:t>
      </w:r>
    </w:p>
    <w:p>
      <w:pPr>
        <w:pStyle w:val="BodyText"/>
        <w:spacing w:line="240" w:lineRule="auto" w:before="63"/>
        <w:ind w:left="66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日，四川省国资委原则同意蜀祥创投参与本次交易。</w:t>
      </w:r>
    </w:p>
    <w:p>
      <w:pPr>
        <w:pStyle w:val="BodyText"/>
        <w:spacing w:line="240" w:lineRule="auto" w:before="63"/>
        <w:ind w:left="66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日，公司召开第五届董事会第二十四次会议，审议通过了《〈成都卫士通信息产业股份有限公司发行股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份购买资产并募集配套资金暨关联交易报告书（草案）〉（更新稿）及摘要》等与本次交易相关的议案。</w:t>
      </w:r>
    </w:p>
    <w:p>
      <w:pPr>
        <w:pStyle w:val="BodyText"/>
        <w:spacing w:line="300" w:lineRule="auto" w:before="76"/>
        <w:ind w:right="1123" w:firstLine="506"/>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w:t>
      </w:r>
      <w:r>
        <w:rPr>
          <w:spacing w:val="-1"/>
        </w:rPr>
        <w:t>日，公司召开</w:t>
      </w:r>
      <w:r>
        <w:rPr>
          <w:rFonts w:ascii="Times New Roman" w:hAnsi="Times New Roman" w:cs="Times New Roman" w:eastAsia="Times New Roman" w:hint="default"/>
          <w:spacing w:val="-1"/>
        </w:rPr>
        <w:t>2014</w:t>
      </w:r>
      <w:r>
        <w:rPr>
          <w:spacing w:val="-1"/>
        </w:rPr>
        <w:t>年第一次临时股东大会，审议通过了《关于公司发行股份购买资产并募集配套资金暨关</w:t>
      </w:r>
      <w:r>
        <w:rPr/>
        <w:t> 联交易的方案的议案》等与本次交易相关的议案。</w:t>
      </w:r>
    </w:p>
    <w:p>
      <w:pPr>
        <w:pStyle w:val="BodyText"/>
        <w:spacing w:line="240" w:lineRule="auto" w:before="31"/>
        <w:ind w:left="66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日，中国证监会并购重组委</w:t>
      </w:r>
      <w:r>
        <w:rPr>
          <w:rFonts w:ascii="Times New Roman" w:hAnsi="Times New Roman" w:cs="Times New Roman" w:eastAsia="Times New Roman" w:hint="default"/>
        </w:rPr>
        <w:t>2014</w:t>
      </w:r>
      <w:r>
        <w:rPr/>
        <w:t>年第</w:t>
      </w:r>
      <w:r>
        <w:rPr>
          <w:rFonts w:ascii="Times New Roman" w:hAnsi="Times New Roman" w:cs="Times New Roman" w:eastAsia="Times New Roman" w:hint="default"/>
        </w:rPr>
        <w:t>34</w:t>
      </w:r>
      <w:r>
        <w:rPr/>
        <w:t>次并购重组委工作会议审核通过本次交易。</w:t>
      </w:r>
    </w:p>
    <w:p>
      <w:pPr>
        <w:pStyle w:val="BodyText"/>
        <w:spacing w:line="300" w:lineRule="auto" w:before="63"/>
        <w:ind w:right="1157" w:firstLine="5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日，中国证监会印发《关于核准成都卫士通信息产业股份有限公司向中国电子科技集团第三十研究所等 发行股份购买资产并募集配套资金的批复》（证监许可</w:t>
      </w:r>
      <w:r>
        <w:rPr>
          <w:rFonts w:ascii="Times New Roman" w:hAnsi="Times New Roman" w:cs="Times New Roman" w:eastAsia="Times New Roman" w:hint="default"/>
        </w:rPr>
        <w:t>[2014]729</w:t>
      </w:r>
      <w:r>
        <w:rPr/>
        <w:t>号）核准本次交易。</w:t>
      </w:r>
    </w:p>
    <w:p>
      <w:pPr>
        <w:pStyle w:val="BodyText"/>
        <w:spacing w:line="240" w:lineRule="auto" w:before="53"/>
        <w:ind w:right="0"/>
        <w:jc w:val="left"/>
      </w:pPr>
      <w:r>
        <w:rPr/>
        <w:t>股份变动的过户情况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12" w:firstLine="5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日，三零盛安</w:t>
      </w:r>
      <w:r>
        <w:rPr>
          <w:rFonts w:ascii="Times New Roman" w:hAnsi="Times New Roman" w:cs="Times New Roman" w:eastAsia="Times New Roman" w:hint="default"/>
        </w:rPr>
        <w:t>93.98%</w:t>
      </w:r>
      <w:r>
        <w:rPr/>
        <w:t>的股权、三零瑞通</w:t>
      </w:r>
      <w:r>
        <w:rPr>
          <w:rFonts w:ascii="Times New Roman" w:hAnsi="Times New Roman" w:cs="Times New Roman" w:eastAsia="Times New Roman" w:hint="default"/>
        </w:rPr>
        <w:t>94.41%</w:t>
      </w:r>
      <w:r>
        <w:rPr/>
        <w:t>的股权、三零嘉微</w:t>
      </w:r>
      <w:r>
        <w:rPr>
          <w:rFonts w:ascii="Times New Roman" w:hAnsi="Times New Roman" w:cs="Times New Roman" w:eastAsia="Times New Roman" w:hint="default"/>
        </w:rPr>
        <w:t>85.74%</w:t>
      </w:r>
      <w:r>
        <w:rPr/>
        <w:t>的股权过户至卫士通名下，完成 工商变更登记。</w:t>
      </w:r>
    </w:p>
    <w:p>
      <w:pPr>
        <w:pStyle w:val="BodyText"/>
        <w:spacing w:line="240" w:lineRule="auto" w:before="31"/>
        <w:ind w:left="660"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日，卫士通取得北京房产</w:t>
      </w:r>
      <w:r>
        <w:rPr>
          <w:rFonts w:ascii="Times New Roman" w:hAnsi="Times New Roman" w:cs="Times New Roman" w:eastAsia="Times New Roman" w:hint="default"/>
        </w:rPr>
        <w:t>X</w:t>
      </w:r>
      <w:r>
        <w:rPr/>
        <w:t>京房权证丰字第</w:t>
      </w:r>
      <w:r>
        <w:rPr>
          <w:rFonts w:ascii="Times New Roman" w:hAnsi="Times New Roman" w:cs="Times New Roman" w:eastAsia="Times New Roman" w:hint="default"/>
        </w:rPr>
        <w:t>455386</w:t>
      </w:r>
      <w:r>
        <w:rPr/>
        <w:t>号房产证。</w:t>
      </w:r>
    </w:p>
    <w:p>
      <w:pPr>
        <w:pStyle w:val="BodyText"/>
        <w:spacing w:line="300" w:lineRule="auto" w:before="63"/>
        <w:ind w:left="154" w:right="0" w:firstLine="506"/>
        <w:jc w:val="left"/>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日，中天运会计师事务所（特殊普通合伙）出具了中天运</w:t>
      </w:r>
      <w:r>
        <w:rPr>
          <w:rFonts w:ascii="Times New Roman" w:hAnsi="Times New Roman" w:cs="Times New Roman" w:eastAsia="Times New Roman" w:hint="default"/>
          <w:spacing w:val="-2"/>
        </w:rPr>
        <w:t>[2014]</w:t>
      </w:r>
      <w:r>
        <w:rPr>
          <w:spacing w:val="-2"/>
        </w:rPr>
        <w:t>验字第</w:t>
      </w:r>
      <w:r>
        <w:rPr>
          <w:rFonts w:ascii="Times New Roman" w:hAnsi="Times New Roman" w:cs="Times New Roman" w:eastAsia="Times New Roman" w:hint="default"/>
          <w:spacing w:val="-2"/>
        </w:rPr>
        <w:t>90026</w:t>
      </w:r>
      <w:r>
        <w:rPr>
          <w:spacing w:val="-2"/>
        </w:rPr>
        <w:t>号《验资报告》，验证卫士</w:t>
      </w:r>
      <w:r>
        <w:rPr/>
        <w:t> 通已收到三十所、国信安及蜀祥创投缴付的新增注册资本</w:t>
      </w:r>
      <w:r>
        <w:rPr>
          <w:rFonts w:ascii="Times New Roman" w:hAnsi="Times New Roman" w:cs="Times New Roman" w:eastAsia="Times New Roman" w:hint="default"/>
        </w:rPr>
        <w:t>32,662,580</w:t>
      </w:r>
      <w:r>
        <w:rPr/>
        <w:t>元，变更后注册资本</w:t>
      </w:r>
      <w:r>
        <w:rPr>
          <w:rFonts w:ascii="Times New Roman" w:hAnsi="Times New Roman" w:cs="Times New Roman" w:eastAsia="Times New Roman" w:hint="default"/>
        </w:rPr>
        <w:t>205,374,645</w:t>
      </w:r>
      <w:r>
        <w:rPr/>
        <w:t>元。</w:t>
      </w:r>
    </w:p>
    <w:p>
      <w:pPr>
        <w:pStyle w:val="BodyText"/>
        <w:spacing w:line="300" w:lineRule="auto" w:before="13"/>
        <w:ind w:right="1123" w:firstLine="506"/>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日，三十所将配套资金</w:t>
      </w:r>
      <w:r>
        <w:rPr>
          <w:rFonts w:ascii="Times New Roman" w:hAnsi="Times New Roman" w:cs="Times New Roman" w:eastAsia="Times New Roman" w:hint="default"/>
        </w:rPr>
        <w:t>196,510,855.40</w:t>
      </w:r>
      <w:r>
        <w:rPr/>
        <w:t>元汇入东海证券账户；同日，中天运会计师事务所（特殊普通合 伙）出具了中天运〔</w:t>
      </w:r>
      <w:r>
        <w:rPr>
          <w:rFonts w:ascii="Times New Roman" w:hAnsi="Times New Roman" w:cs="Times New Roman" w:eastAsia="Times New Roman" w:hint="default"/>
        </w:rPr>
        <w:t>2014</w:t>
      </w:r>
      <w:r>
        <w:rPr/>
        <w:t>〕验字第</w:t>
      </w:r>
      <w:r>
        <w:rPr>
          <w:rFonts w:ascii="Times New Roman" w:hAnsi="Times New Roman" w:cs="Times New Roman" w:eastAsia="Times New Roman" w:hint="default"/>
        </w:rPr>
        <w:t>90042</w:t>
      </w:r>
      <w:r>
        <w:rPr/>
        <w:t>号《成都卫士通信息产业股份有限公司非公开发行股票认购资金总额验证报告》， 验证东海证券指定的认购资金专用账户收到三十所缴付的认购资金</w:t>
      </w:r>
      <w:r>
        <w:rPr>
          <w:rFonts w:ascii="Times New Roman" w:hAnsi="Times New Roman" w:cs="Times New Roman" w:eastAsia="Times New Roman" w:hint="default"/>
        </w:rPr>
        <w:t>196,510,855.40</w:t>
      </w:r>
      <w:r>
        <w:rPr/>
        <w:t>元。</w:t>
      </w:r>
    </w:p>
    <w:p>
      <w:pPr>
        <w:pStyle w:val="BodyText"/>
        <w:spacing w:line="300" w:lineRule="auto" w:before="13"/>
        <w:ind w:right="1130" w:firstLine="506"/>
        <w:jc w:val="righ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日，独立财务顾问在扣除财务顾问费用后向发行人指定账户划转了认购款。</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日，中天运出</w:t>
      </w:r>
      <w:r>
        <w:rPr/>
        <w:t> 具中天运〔</w:t>
      </w:r>
      <w:r>
        <w:rPr>
          <w:rFonts w:ascii="Times New Roman" w:hAnsi="Times New Roman" w:cs="Times New Roman" w:eastAsia="Times New Roman" w:hint="default"/>
        </w:rPr>
        <w:t>2014</w:t>
      </w:r>
      <w:r>
        <w:rPr/>
        <w:t>〕验字第</w:t>
      </w:r>
      <w:r>
        <w:rPr>
          <w:rFonts w:ascii="Times New Roman" w:hAnsi="Times New Roman" w:cs="Times New Roman" w:eastAsia="Times New Roman" w:hint="default"/>
        </w:rPr>
        <w:t>90041</w:t>
      </w:r>
      <w:r>
        <w:rPr/>
        <w:t>号《验资报告》。根据验资报告，截至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日止，卫士通实际募集的配套资金总额 </w:t>
      </w:r>
      <w:r>
        <w:rPr>
          <w:spacing w:val="-1"/>
        </w:rPr>
        <w:t>为人民币</w:t>
      </w:r>
      <w:r>
        <w:rPr>
          <w:rFonts w:ascii="Times New Roman" w:hAnsi="Times New Roman" w:cs="Times New Roman" w:eastAsia="Times New Roman" w:hint="default"/>
          <w:spacing w:val="-1"/>
        </w:rPr>
        <w:t>196,510,855.40</w:t>
      </w:r>
      <w:r>
        <w:rPr>
          <w:spacing w:val="-1"/>
        </w:rPr>
        <w:t>元，扣除与发行相关的费用</w:t>
      </w:r>
      <w:r>
        <w:rPr>
          <w:rFonts w:ascii="Times New Roman" w:hAnsi="Times New Roman" w:cs="Times New Roman" w:eastAsia="Times New Roman" w:hint="default"/>
          <w:spacing w:val="-1"/>
        </w:rPr>
        <w:t>9,582,181.07</w:t>
      </w:r>
      <w:r>
        <w:rPr>
          <w:spacing w:val="-1"/>
        </w:rPr>
        <w:t>元后，募集资金净额为人民币</w:t>
      </w:r>
      <w:r>
        <w:rPr>
          <w:rFonts w:ascii="Times New Roman" w:hAnsi="Times New Roman" w:cs="Times New Roman" w:eastAsia="Times New Roman" w:hint="default"/>
          <w:spacing w:val="-1"/>
        </w:rPr>
        <w:t>186,928,674.33</w:t>
      </w:r>
      <w:r>
        <w:rPr>
          <w:spacing w:val="-1"/>
        </w:rPr>
        <w:t>元，其中：股本</w:t>
      </w:r>
      <w:r>
        <w:rPr>
          <w:spacing w:val="-82"/>
        </w:rPr>
        <w:t> </w:t>
      </w:r>
      <w:r>
        <w:rPr>
          <w:spacing w:val="-82"/>
        </w:rPr>
      </w:r>
      <w:r>
        <w:rPr>
          <w:spacing w:val="-1"/>
        </w:rPr>
        <w:t>人民币</w:t>
      </w:r>
      <w:r>
        <w:rPr>
          <w:rFonts w:ascii="Times New Roman" w:hAnsi="Times New Roman" w:cs="Times New Roman" w:eastAsia="Times New Roman" w:hint="default"/>
          <w:spacing w:val="-1"/>
        </w:rPr>
        <w:t>10,887,028.00</w:t>
      </w:r>
      <w:r>
        <w:rPr>
          <w:spacing w:val="-1"/>
        </w:rPr>
        <w:t>元，资本公积人民币</w:t>
      </w:r>
      <w:r>
        <w:rPr>
          <w:rFonts w:ascii="Times New Roman" w:hAnsi="Times New Roman" w:cs="Times New Roman" w:eastAsia="Times New Roman" w:hint="default"/>
          <w:spacing w:val="-1"/>
        </w:rPr>
        <w:t>176,041,646.33</w:t>
      </w:r>
      <w:r>
        <w:rPr>
          <w:spacing w:val="-1"/>
        </w:rPr>
        <w:t>元。本次发行后卫士通注册的注册资本为人民币</w:t>
      </w:r>
      <w:r>
        <w:rPr>
          <w:rFonts w:ascii="Times New Roman" w:hAnsi="Times New Roman" w:cs="Times New Roman" w:eastAsia="Times New Roman" w:hint="default"/>
          <w:spacing w:val="-1"/>
        </w:rPr>
        <w:t>216,261,673.00</w:t>
      </w:r>
      <w:r>
        <w:rPr>
          <w:spacing w:val="-1"/>
        </w:rPr>
        <w:t>元。</w:t>
      </w:r>
      <w:r>
        <w:rPr/>
        <w:t> </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日，中国证券登记结算有限责任公司深圳分公司出具《股份登记申请受理确认书》，确认其已于</w:t>
      </w:r>
      <w:r>
        <w:rPr>
          <w:rFonts w:ascii="Times New Roman" w:hAnsi="Times New Roman" w:cs="Times New Roman" w:eastAsia="Times New Roman" w:hint="default"/>
          <w:spacing w:val="-1"/>
        </w:rPr>
        <w:t>2014</w:t>
      </w:r>
      <w:r>
        <w:rPr>
          <w:spacing w:val="-1"/>
        </w:rPr>
        <w:t>年</w:t>
      </w:r>
    </w:p>
    <w:p>
      <w:pPr>
        <w:pStyle w:val="BodyText"/>
        <w:spacing w:line="340" w:lineRule="auto" w:before="13"/>
        <w:ind w:right="139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日受理公司本次交易新增股份登记申请材料，相关股份登记到账后将正式列入公司股东名册。 股份变动对最近一年和最近一期基本每股收益和稀释每股收益、归属于公司普通股股东的每股净资产等财务指标的影响</w:t>
      </w:r>
    </w:p>
    <w:p>
      <w:pPr>
        <w:pStyle w:val="BodyText"/>
        <w:spacing w:line="338" w:lineRule="auto" w:before="41"/>
        <w:ind w:left="513" w:right="112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月非公开发行</w:t>
      </w:r>
      <w:r>
        <w:rPr>
          <w:rFonts w:ascii="Times New Roman" w:hAnsi="Times New Roman" w:cs="Times New Roman" w:eastAsia="Times New Roman" w:hint="default"/>
        </w:rPr>
        <w:t>43,549,608</w:t>
      </w:r>
      <w:r>
        <w:rPr/>
        <w:t>股新股，对本报告期基本每股收益和稀释每股收益、归属于公司普通股股东的</w:t>
      </w:r>
    </w:p>
    <w:p>
      <w:pPr>
        <w:pStyle w:val="BodyText"/>
        <w:spacing w:line="217" w:lineRule="exact"/>
        <w:ind w:right="0"/>
        <w:jc w:val="left"/>
      </w:pPr>
      <w:r>
        <w:rPr/>
        <w:t>每股净资产均有所摊薄。</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二、证券发行与上市情况" w:id="68"/>
      <w:bookmarkEnd w:id="6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末近三年历次证券发行情况" w:id="69"/>
      <w:bookmarkEnd w:id="69"/>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6"/>
        <w:gridCol w:w="1367"/>
        <w:gridCol w:w="1367"/>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中小板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43,549,608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43,549,608</w:t>
            </w:r>
          </w:p>
        </w:tc>
        <w:tc>
          <w:tcPr>
            <w:tcW w:w="13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660" w:right="1156" w:hanging="507"/>
        <w:jc w:val="left"/>
      </w:pPr>
      <w:r>
        <w:rPr/>
        <w:t>前三年历次证券发行情况的说明 报告期，公司发行股份购买资产并募集配套资金暨关联交易于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24</w:t>
      </w:r>
      <w:r>
        <w:rPr/>
        <w:t>日获得中国证券监督管理委员会《关于核</w:t>
      </w:r>
    </w:p>
    <w:p>
      <w:pPr>
        <w:pStyle w:val="BodyText"/>
        <w:spacing w:line="201" w:lineRule="exact"/>
        <w:ind w:right="0"/>
        <w:jc w:val="left"/>
      </w:pPr>
      <w:r>
        <w:rPr/>
        <w:t>准成都卫士通信息产业股份有限公司向中国电子科技集团公司第三十研究所等发行股份购买资产并募集配套资金的批复》</w:t>
      </w:r>
    </w:p>
    <w:p>
      <w:pPr>
        <w:pStyle w:val="BodyText"/>
        <w:spacing w:line="300" w:lineRule="auto" w:before="76"/>
        <w:ind w:right="0"/>
        <w:jc w:val="left"/>
      </w:pPr>
      <w:r>
        <w:rPr>
          <w:spacing w:val="-1"/>
        </w:rPr>
        <w:t>（证监许可</w:t>
      </w:r>
      <w:r>
        <w:rPr>
          <w:rFonts w:ascii="Times New Roman" w:hAnsi="Times New Roman" w:cs="Times New Roman" w:eastAsia="Times New Roman" w:hint="default"/>
          <w:spacing w:val="-1"/>
        </w:rPr>
        <w:t>[2014]729</w:t>
      </w:r>
      <w:r>
        <w:rPr>
          <w:spacing w:val="-1"/>
        </w:rPr>
        <w:t>号）的核准，向中国电子科技集团公司第三十研究所等非公开发行</w:t>
      </w:r>
      <w:r>
        <w:rPr>
          <w:rFonts w:ascii="Times New Roman" w:hAnsi="Times New Roman" w:cs="Times New Roman" w:eastAsia="Times New Roman" w:hint="default"/>
          <w:spacing w:val="-1"/>
        </w:rPr>
        <w:t>43,549,608</w:t>
      </w:r>
      <w:r>
        <w:rPr>
          <w:spacing w:val="-1"/>
        </w:rPr>
        <w:t>股股份。公司非公开发行</w:t>
      </w:r>
      <w:r>
        <w:rPr>
          <w:spacing w:val="-53"/>
        </w:rPr>
        <w:t> </w:t>
      </w:r>
      <w:r>
        <w:rPr>
          <w:spacing w:val="-53"/>
        </w:rPr>
      </w:r>
      <w:r>
        <w:rPr/>
        <w:t>股份完成后，股本总额变更为</w:t>
      </w:r>
      <w:r>
        <w:rPr>
          <w:rFonts w:ascii="Times New Roman" w:hAnsi="Times New Roman" w:cs="Times New Roman" w:eastAsia="Times New Roman" w:hint="default"/>
        </w:rPr>
        <w:t>216,261,673</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41" w:firstLine="506"/>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日，公司完成了本次发行股份购买资产并募集配套资金暨关联交易，向中国电子科技集团公司第三十研 究所等非公开发行</w:t>
      </w:r>
      <w:r>
        <w:rPr>
          <w:rFonts w:ascii="Times New Roman" w:hAnsi="Times New Roman" w:cs="Times New Roman" w:eastAsia="Times New Roman" w:hint="default"/>
        </w:rPr>
        <w:t>43,549,608</w:t>
      </w:r>
      <w:r>
        <w:rPr/>
        <w:t>股股份，并在中国证券登记结算有限责任公司深圳分公司及深圳证券交易所申请办理股份登记 及上市手续。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日，该部分新增非公开发行股份在深圳证券交易所上市。</w:t>
      </w:r>
    </w:p>
    <w:p>
      <w:pPr>
        <w:pStyle w:val="BodyText"/>
        <w:spacing w:line="300" w:lineRule="auto" w:before="13"/>
        <w:ind w:right="1174" w:firstLine="506"/>
        <w:jc w:val="both"/>
      </w:pPr>
      <w:r>
        <w:rPr/>
        <w:t>具体信息请参见巨潮资讯网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日公司发布的《成都卫士通信息产业股份有限公司发行股份购买资产并募集 配套资金暨关联交易实施情况暨新增股份上市公告书》。</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2、公司股份总数及股东结构的变动、公司资产和负债结构的变动情况说明" w:id="70"/>
      <w:bookmarkEnd w:id="7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3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报告期内，公司完成了非公开发行股份</w:t>
      </w:r>
      <w:r>
        <w:rPr>
          <w:rFonts w:ascii="Times New Roman" w:hAnsi="Times New Roman" w:cs="Times New Roman" w:eastAsia="Times New Roman" w:hint="default"/>
        </w:rPr>
        <w:t>43,549,608</w:t>
      </w:r>
      <w:r>
        <w:rPr/>
        <w:t>股，公司股份总数由</w:t>
      </w:r>
      <w:r>
        <w:rPr>
          <w:rFonts w:ascii="Times New Roman" w:hAnsi="Times New Roman" w:cs="Times New Roman" w:eastAsia="Times New Roman" w:hint="default"/>
        </w:rPr>
        <w:t>172,712,065</w:t>
      </w:r>
      <w:r>
        <w:rPr/>
        <w:t>股变更为</w:t>
      </w:r>
      <w:r>
        <w:rPr>
          <w:rFonts w:ascii="Times New Roman" w:hAnsi="Times New Roman" w:cs="Times New Roman" w:eastAsia="Times New Roman" w:hint="default"/>
        </w:rPr>
        <w:t>216,261,673</w:t>
      </w:r>
      <w:r>
        <w:rPr/>
        <w:t>股。</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三、股东和实际控制人情况" w:id="71"/>
      <w:bookmarkEnd w:id="7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72"/>
      <w:bookmarkEnd w:id="7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958"/>
        <w:gridCol w:w="650"/>
        <w:gridCol w:w="341"/>
        <w:gridCol w:w="710"/>
        <w:gridCol w:w="520"/>
        <w:gridCol w:w="473"/>
        <w:gridCol w:w="992"/>
        <w:gridCol w:w="152"/>
        <w:gridCol w:w="841"/>
        <w:gridCol w:w="731"/>
        <w:gridCol w:w="261"/>
        <w:gridCol w:w="709"/>
        <w:gridCol w:w="637"/>
      </w:tblGrid>
      <w:tr>
        <w:trPr>
          <w:trHeight w:val="161" w:hRule="exact"/>
        </w:trPr>
        <w:tc>
          <w:tcPr>
            <w:tcW w:w="1595" w:type="dxa"/>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7,342</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7,780</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3"/>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3"/>
            <w:vMerge/>
            <w:tcBorders>
              <w:left w:val="single" w:sz="13" w:space="0" w:color="D2D2D2"/>
              <w:right w:val="single" w:sz="4" w:space="0" w:color="000000"/>
            </w:tcBorders>
          </w:tcPr>
          <w:p>
            <w:pPr/>
          </w:p>
        </w:tc>
      </w:tr>
      <w:tr>
        <w:trPr>
          <w:trHeight w:val="704" w:hRule="exact"/>
        </w:trPr>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3"/>
            <w:vMerge/>
            <w:tcBorders>
              <w:left w:val="single" w:sz="13" w:space="0" w:color="D2D2D2"/>
              <w:right w:val="single" w:sz="4" w:space="0" w:color="000000"/>
            </w:tcBorders>
          </w:tcPr>
          <w:p>
            <w:pPr/>
          </w:p>
        </w:tc>
      </w:tr>
      <w:tr>
        <w:trPr>
          <w:trHeight w:val="156" w:hRule="exact"/>
        </w:trPr>
        <w:tc>
          <w:tcPr>
            <w:tcW w:w="1595" w:type="dxa"/>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3"/>
            <w:vMerge/>
            <w:tcBorders>
              <w:left w:val="single" w:sz="13" w:space="0" w:color="D2D2D2"/>
              <w:right w:val="single" w:sz="4" w:space="0" w:color="000000"/>
            </w:tcBorders>
          </w:tcPr>
          <w:p>
            <w:pPr/>
          </w:p>
        </w:tc>
      </w:tr>
      <w:tr>
        <w:trPr>
          <w:trHeight w:val="16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3"/>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2553" w:type="dxa"/>
            <w:gridSpan w:val="2"/>
            <w:vMerge w:val="restart"/>
            <w:tcBorders>
              <w:top w:val="single" w:sz="4" w:space="0" w:color="000000"/>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40" w:right="4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4" w:hRule="exact"/>
        </w:trPr>
        <w:tc>
          <w:tcPr>
            <w:tcW w:w="2553"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60" w:right="77"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1346" w:type="dxa"/>
            <w:gridSpan w:val="2"/>
            <w:vMerge/>
            <w:tcBorders>
              <w:left w:val="single" w:sz="4" w:space="0" w:color="000000"/>
              <w:bottom w:val="single" w:sz="4" w:space="0" w:color="000000"/>
              <w:right w:val="single" w:sz="4" w:space="0" w:color="000000"/>
            </w:tcBorders>
            <w:shd w:val="clear" w:color="auto" w:fill="D2D2D2"/>
          </w:tcPr>
          <w:p>
            <w:pPr/>
          </w:p>
        </w:tc>
      </w:tr>
      <w:tr>
        <w:trPr>
          <w:trHeight w:val="183" w:hRule="exact"/>
        </w:trPr>
        <w:tc>
          <w:tcPr>
            <w:tcW w:w="255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10"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259" w:right="78"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63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553"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2553" w:type="dxa"/>
            <w:gridSpan w:val="2"/>
            <w:vMerge w:val="restart"/>
            <w:tcBorders>
              <w:top w:val="nil" w:sz="6" w:space="0" w:color="auto"/>
              <w:left w:val="single" w:sz="4" w:space="0" w:color="000000"/>
              <w:right w:val="single" w:sz="4" w:space="0" w:color="000000"/>
            </w:tcBorders>
            <w:shd w:val="clear" w:color="auto" w:fill="D2D2D2"/>
          </w:tcPr>
          <w:p>
            <w:pPr/>
          </w:p>
        </w:tc>
        <w:tc>
          <w:tcPr>
            <w:tcW w:w="991" w:type="dxa"/>
            <w:gridSpan w:val="2"/>
            <w:vMerge w:val="restart"/>
            <w:tcBorders>
              <w:top w:val="nil" w:sz="6" w:space="0" w:color="auto"/>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637"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2553"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63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西南通信研究所（中国电子科技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集团公司第三十研究所）</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93,881,996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33,727,059</w:t>
            </w:r>
          </w:p>
        </w:tc>
        <w:tc>
          <w:tcPr>
            <w:tcW w:w="993"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33,727,059</w:t>
            </w:r>
          </w:p>
        </w:tc>
        <w:tc>
          <w:tcPr>
            <w:tcW w:w="992"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60,154,937</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四川发展投资有限公司</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8,107,426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8,107,426</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8,107,426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全国社会保障基金理事会转持 二户</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4,375,800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4,375,800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both"/>
              <w:rPr>
                <w:rFonts w:ascii="宋体" w:hAnsi="宋体" w:cs="宋体" w:eastAsia="宋体" w:hint="default"/>
                <w:sz w:val="18"/>
                <w:szCs w:val="18"/>
              </w:rPr>
            </w:pPr>
            <w:r>
              <w:rPr>
                <w:rFonts w:ascii="宋体" w:hAnsi="宋体" w:cs="宋体" w:eastAsia="宋体" w:hint="default"/>
                <w:sz w:val="18"/>
                <w:szCs w:val="18"/>
              </w:rPr>
              <w:t>中国建设银行股份有限公司－ 富国中证军工指数分级证券投 资基金</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3,844,935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3,844,935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3,844,935</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夏信根</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3,063,393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3,063,393</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3,063,393</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中信期货有限公司－夏琼</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2,972,147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2,972,147</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2,972,147</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于美艳</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2,837,951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2,837,951</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2,837,951</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中融国际信托有限公司－</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 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2,611,490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2,611,490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2,611,490</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9"/>
              <w:jc w:val="both"/>
              <w:rPr>
                <w:rFonts w:ascii="宋体" w:hAnsi="宋体" w:cs="宋体" w:eastAsia="宋体" w:hint="default"/>
                <w:sz w:val="18"/>
                <w:szCs w:val="18"/>
              </w:rPr>
            </w:pPr>
            <w:r>
              <w:rPr>
                <w:rFonts w:ascii="宋体" w:hAnsi="宋体" w:cs="宋体" w:eastAsia="宋体" w:hint="default"/>
                <w:sz w:val="18"/>
                <w:szCs w:val="18"/>
              </w:rPr>
              <w:t>中国银行股份有限公司－华泰 柏瑞盛世中国股票型开放式证 券投资基金</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2,100,000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2,100,000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3"/>
        <w:gridCol w:w="980"/>
        <w:gridCol w:w="721"/>
        <w:gridCol w:w="143"/>
        <w:gridCol w:w="850"/>
        <w:gridCol w:w="992"/>
        <w:gridCol w:w="596"/>
        <w:gridCol w:w="396"/>
        <w:gridCol w:w="982"/>
        <w:gridCol w:w="719"/>
        <w:gridCol w:w="637"/>
      </w:tblGrid>
      <w:tr>
        <w:trPr>
          <w:trHeight w:val="714"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中国工商银行－汇添富均衡增 长股票型证券投资基金</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0.91%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1,974,735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1,974,735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1,974,735</w:t>
            </w:r>
          </w:p>
        </w:tc>
        <w:tc>
          <w:tcPr>
            <w:tcW w:w="71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35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037" w:type="dxa"/>
            <w:gridSpan w:val="9"/>
            <w:vMerge w:val="restart"/>
            <w:tcBorders>
              <w:top w:val="single" w:sz="4" w:space="0" w:color="000000"/>
              <w:left w:val="single" w:sz="9" w:space="0" w:color="D2D2D2"/>
              <w:right w:val="single" w:sz="4" w:space="0" w:color="000000"/>
            </w:tcBorders>
          </w:tcPr>
          <w:p>
            <w:pPr>
              <w:pStyle w:val="TableParagraph"/>
              <w:spacing w:line="300" w:lineRule="auto" w:before="51"/>
              <w:ind w:left="28" w:right="20"/>
              <w:jc w:val="both"/>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(2014)729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号文批准，公司于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月非公开发行了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43,549,608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股股票，四川发展投资有限公司认购了其中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8,107,426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日。本次发行新增股份锁定期为</w:t>
            </w:r>
          </w:p>
          <w:p>
            <w:pPr>
              <w:pStyle w:val="TableParagraph"/>
              <w:spacing w:line="240" w:lineRule="auto" w:before="13"/>
              <w:ind w:left="28" w:right="0"/>
              <w:jc w:val="both"/>
              <w:rPr>
                <w:rFonts w:ascii="宋体" w:hAnsi="宋体" w:cs="宋体" w:eastAsia="宋体" w:hint="default"/>
                <w:sz w:val="18"/>
                <w:szCs w:val="18"/>
              </w:rPr>
            </w:pPr>
            <w:r>
              <w:rPr>
                <w:rFonts w:ascii="宋体" w:hAnsi="宋体" w:cs="宋体" w:eastAsia="宋体" w:hint="default"/>
                <w:spacing w:val="-2"/>
                <w:sz w:val="18"/>
                <w:szCs w:val="18"/>
              </w:rPr>
              <w:t>自本次发行结束之日（即新增股份上市之日）起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2"/>
                <w:sz w:val="18"/>
                <w:szCs w:val="18"/>
              </w:rPr>
              <w:t>个月，预计上市流通时间</w:t>
            </w:r>
          </w:p>
          <w:p>
            <w:pPr>
              <w:pStyle w:val="TableParagraph"/>
              <w:spacing w:line="240" w:lineRule="auto" w:before="64"/>
              <w:ind w:left="28"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日（如遇非交易日顺延</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05" w:hRule="exact"/>
        </w:trPr>
        <w:tc>
          <w:tcPr>
            <w:tcW w:w="353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037" w:type="dxa"/>
            <w:gridSpan w:val="9"/>
            <w:vMerge/>
            <w:tcBorders>
              <w:left w:val="single" w:sz="9" w:space="0" w:color="D2D2D2"/>
              <w:right w:val="single" w:sz="4" w:space="0" w:color="000000"/>
            </w:tcBorders>
          </w:tcPr>
          <w:p>
            <w:pPr/>
          </w:p>
        </w:tc>
      </w:tr>
      <w:tr>
        <w:trPr>
          <w:trHeight w:val="473" w:hRule="exact"/>
        </w:trPr>
        <w:tc>
          <w:tcPr>
            <w:tcW w:w="35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037" w:type="dxa"/>
            <w:gridSpan w:val="9"/>
            <w:vMerge/>
            <w:tcBorders>
              <w:left w:val="single" w:sz="9" w:space="0" w:color="D2D2D2"/>
              <w:bottom w:val="single" w:sz="4" w:space="0" w:color="000000"/>
              <w:right w:val="single" w:sz="4" w:space="0" w:color="000000"/>
            </w:tcBorders>
          </w:tcPr>
          <w:p>
            <w:pPr/>
          </w:p>
        </w:tc>
      </w:tr>
      <w:tr>
        <w:trPr>
          <w:trHeight w:val="402" w:hRule="exact"/>
        </w:trPr>
        <w:tc>
          <w:tcPr>
            <w:tcW w:w="35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037"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公司未知上述股东之间是否存在关联关系和一致行动人情形。</w:t>
            </w:r>
          </w:p>
        </w:tc>
      </w:tr>
      <w:tr>
        <w:trPr>
          <w:trHeight w:val="397"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11" w:hRule="exact"/>
        </w:trPr>
        <w:tc>
          <w:tcPr>
            <w:tcW w:w="4396"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24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34" w:right="42" w:hanging="990"/>
              <w:jc w:val="left"/>
              <w:rPr>
                <w:rFonts w:ascii="宋体" w:hAnsi="宋体" w:cs="宋体" w:eastAsia="宋体" w:hint="default"/>
                <w:sz w:val="18"/>
                <w:szCs w:val="18"/>
              </w:rPr>
            </w:pPr>
            <w:r>
              <w:rPr>
                <w:rFonts w:ascii="宋体" w:hAnsi="宋体" w:cs="宋体" w:eastAsia="宋体" w:hint="default"/>
                <w:sz w:val="18"/>
                <w:szCs w:val="18"/>
              </w:rPr>
              <w:t>报告期末持有无限售条件股份 数量</w:t>
            </w:r>
          </w:p>
        </w:tc>
        <w:tc>
          <w:tcPr>
            <w:tcW w:w="273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4396"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38" w:type="dxa"/>
            <w:gridSpan w:val="3"/>
            <w:vMerge/>
            <w:tcBorders>
              <w:left w:val="single" w:sz="4" w:space="0" w:color="000000"/>
              <w:right w:val="single" w:sz="4" w:space="0" w:color="000000"/>
            </w:tcBorders>
            <w:shd w:val="clear" w:color="auto" w:fill="D2D2D2"/>
          </w:tcPr>
          <w:p>
            <w:pPr/>
          </w:p>
        </w:tc>
        <w:tc>
          <w:tcPr>
            <w:tcW w:w="2735"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4396" w:type="dxa"/>
            <w:gridSpan w:val="4"/>
            <w:vMerge/>
            <w:tcBorders>
              <w:left w:val="single" w:sz="4" w:space="0" w:color="000000"/>
              <w:bottom w:val="nil" w:sz="6" w:space="0" w:color="auto"/>
              <w:right w:val="single" w:sz="4" w:space="0" w:color="000000"/>
            </w:tcBorders>
            <w:shd w:val="clear" w:color="auto" w:fill="D2D2D2"/>
          </w:tcPr>
          <w:p>
            <w:pPr/>
          </w:p>
        </w:tc>
        <w:tc>
          <w:tcPr>
            <w:tcW w:w="2438" w:type="dxa"/>
            <w:gridSpan w:val="3"/>
            <w:vMerge/>
            <w:tcBorders>
              <w:left w:val="single" w:sz="4" w:space="0" w:color="000000"/>
              <w:right w:val="single" w:sz="4" w:space="0" w:color="000000"/>
            </w:tcBorders>
            <w:shd w:val="clear" w:color="auto" w:fill="D2D2D2"/>
          </w:tcPr>
          <w:p>
            <w:pPr/>
          </w:p>
        </w:tc>
        <w:tc>
          <w:tcPr>
            <w:tcW w:w="13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4396"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2438" w:type="dxa"/>
            <w:gridSpan w:val="3"/>
            <w:vMerge/>
            <w:tcBorders>
              <w:left w:val="single" w:sz="4" w:space="0" w:color="000000"/>
              <w:bottom w:val="single" w:sz="4" w:space="0" w:color="000000"/>
              <w:right w:val="single" w:sz="4" w:space="0" w:color="000000"/>
            </w:tcBorders>
            <w:shd w:val="clear" w:color="auto" w:fill="D2D2D2"/>
          </w:tcPr>
          <w:p>
            <w:pPr/>
          </w:p>
        </w:tc>
        <w:tc>
          <w:tcPr>
            <w:tcW w:w="1379" w:type="dxa"/>
            <w:gridSpan w:val="2"/>
            <w:vMerge/>
            <w:tcBorders>
              <w:left w:val="single" w:sz="4" w:space="0" w:color="000000"/>
              <w:bottom w:val="single" w:sz="4" w:space="0" w:color="000000"/>
              <w:right w:val="single" w:sz="4" w:space="0" w:color="000000"/>
            </w:tcBorders>
            <w:shd w:val="clear" w:color="auto" w:fill="D2D2D2"/>
          </w:tcPr>
          <w:p>
            <w:pPr/>
          </w:p>
        </w:tc>
        <w:tc>
          <w:tcPr>
            <w:tcW w:w="1357"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西南通信研究所（中国电子科技集团公司第三十研究所</w:t>
            </w:r>
          </w:p>
        </w:tc>
        <w:tc>
          <w:tcPr>
            <w:tcW w:w="850" w:type="dxa"/>
            <w:tcBorders>
              <w:top w:val="single" w:sz="18" w:space="0" w:color="D2D2D2"/>
              <w:left w:val="single" w:sz="4" w:space="0" w:color="000000"/>
              <w:bottom w:val="single" w:sz="4" w:space="0" w:color="000000"/>
              <w:right w:val="nil" w:sz="6" w:space="0" w:color="auto"/>
            </w:tcBorders>
          </w:tcPr>
          <w:p>
            <w:pPr>
              <w:pStyle w:val="TableParagraph"/>
              <w:spacing w:line="240" w:lineRule="auto" w:before="33"/>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589" w:type="dxa"/>
            <w:gridSpan w:val="2"/>
            <w:tcBorders>
              <w:top w:val="single" w:sz="18" w:space="0" w:color="D2D2D2"/>
              <w:left w:val="nil" w:sz="6" w:space="0" w:color="auto"/>
              <w:bottom w:val="single" w:sz="4" w:space="0" w:color="000000"/>
              <w:right w:val="single" w:sz="4" w:space="0" w:color="000000"/>
            </w:tcBorders>
          </w:tcPr>
          <w:p>
            <w:pPr>
              <w:pStyle w:val="TableParagraph"/>
              <w:spacing w:line="240" w:lineRule="auto" w:before="73"/>
              <w:ind w:left="751" w:right="0"/>
              <w:jc w:val="left"/>
              <w:rPr>
                <w:rFonts w:ascii="Times New Roman" w:hAnsi="Times New Roman" w:cs="Times New Roman" w:eastAsia="Times New Roman" w:hint="default"/>
                <w:sz w:val="18"/>
                <w:szCs w:val="18"/>
              </w:rPr>
            </w:pPr>
            <w:r>
              <w:rPr>
                <w:rFonts w:ascii="Times New Roman"/>
                <w:sz w:val="18"/>
              </w:rPr>
              <w:t>60,154,937</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60,154,937</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全国社会保障基金理事会转持二户</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4,375,800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4,375,800</w:t>
            </w:r>
          </w:p>
        </w:tc>
      </w:tr>
      <w:tr>
        <w:trPr>
          <w:trHeight w:val="714"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3"/>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中国建设银行股份有限公司－富国中证军工指数分级证 券投资基金</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3,844,935</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3,844,935</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夏信根</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3,063,393</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3,063,393</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中信期货有限公司－夏琼</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2,972,147</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2,972,147</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于美艳</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2,837,951</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2,837,951</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中融国际信托有限公司－</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2,611,490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2,611,490</w:t>
            </w:r>
          </w:p>
        </w:tc>
      </w:tr>
      <w:tr>
        <w:trPr>
          <w:trHeight w:val="714"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中国银行股份有限公司－华泰柏瑞盛世中国股票型开放 式证券投资基金</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2,100,000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2,100,000</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中国工商银行－汇添富均衡增长股票型证券投资基金</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1,974,735</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1,974,735</w:t>
            </w:r>
          </w:p>
        </w:tc>
      </w:tr>
      <w:tr>
        <w:trPr>
          <w:trHeight w:val="402" w:hRule="exact"/>
        </w:trPr>
        <w:tc>
          <w:tcPr>
            <w:tcW w:w="43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华宝信托有限责任公司－时节好雨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w:t>
            </w:r>
          </w:p>
        </w:tc>
        <w:tc>
          <w:tcPr>
            <w:tcW w:w="2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1,970,000</w:t>
            </w:r>
          </w:p>
        </w:tc>
        <w:tc>
          <w:tcPr>
            <w:tcW w:w="13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1,970,000</w:t>
            </w:r>
          </w:p>
        </w:tc>
      </w:tr>
      <w:tr>
        <w:trPr>
          <w:trHeight w:val="1026" w:hRule="exact"/>
        </w:trPr>
        <w:tc>
          <w:tcPr>
            <w:tcW w:w="43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w:t>
            </w:r>
          </w:p>
          <w:p>
            <w:pPr>
              <w:pStyle w:val="TableParagraph"/>
              <w:spacing w:line="302" w:lineRule="auto" w:before="63"/>
              <w:ind w:left="22" w:right="132"/>
              <w:jc w:val="left"/>
              <w:rPr>
                <w:rFonts w:ascii="宋体" w:hAnsi="宋体" w:cs="宋体" w:eastAsia="宋体" w:hint="default"/>
                <w:sz w:val="18"/>
                <w:szCs w:val="18"/>
              </w:rPr>
            </w:pPr>
            <w:r>
              <w:rPr>
                <w:rFonts w:ascii="宋体" w:hAnsi="宋体" w:cs="宋体" w:eastAsia="宋体" w:hint="default"/>
                <w:sz w:val="18"/>
                <w:szCs w:val="18"/>
              </w:rPr>
              <w:t>通股股东和前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名股东之间关联关系或一致行动的说 明</w:t>
            </w:r>
          </w:p>
        </w:tc>
        <w:tc>
          <w:tcPr>
            <w:tcW w:w="51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公司未知上述股东之间是否存在关联关系和一致行动人情形。</w:t>
            </w:r>
          </w:p>
        </w:tc>
      </w:tr>
      <w:tr>
        <w:trPr>
          <w:trHeight w:val="1338" w:hRule="exact"/>
        </w:trPr>
        <w:tc>
          <w:tcPr>
            <w:tcW w:w="43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2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名普通股股东参与融资融券业务股东情况说明（如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17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夏信根参与融资融券，信用证券账户持有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3,063,393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股；中信期货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有限公司－夏琼参与融资融券，信用证券账户持有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2,972,147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于美艳参与融资融券，信用证券账户持有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2,674,343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股，与其普通</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证券账户合计持有公司股份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2,837,951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73"/>
      <w:bookmarkEnd w:id="7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5"/>
        <w:gridCol w:w="1342"/>
        <w:gridCol w:w="1328"/>
        <w:gridCol w:w="1460"/>
        <w:gridCol w:w="1593"/>
        <w:gridCol w:w="1861"/>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304" w:right="101" w:hanging="20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8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1342"/>
        <w:gridCol w:w="1328"/>
        <w:gridCol w:w="1460"/>
        <w:gridCol w:w="1593"/>
        <w:gridCol w:w="1861"/>
      </w:tblGrid>
      <w:tr>
        <w:trPr>
          <w:trHeight w:val="133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5"/>
                <w:sz w:val="18"/>
                <w:szCs w:val="18"/>
              </w:rPr>
              <w:t>西南通信研究所（中国电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子科技集团公司第三十 研究所）</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45075706-03</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43,425.93  </w:t>
            </w:r>
            <w:r>
              <w:rPr>
                <w:rFonts w:ascii="宋体" w:hAnsi="宋体" w:cs="宋体" w:eastAsia="宋体" w:hint="default"/>
                <w:sz w:val="18"/>
                <w:szCs w:val="18"/>
              </w:rPr>
              <w:t>万元</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6"/>
              <w:jc w:val="both"/>
              <w:rPr>
                <w:rFonts w:ascii="宋体" w:hAnsi="宋体" w:cs="宋体" w:eastAsia="宋体" w:hint="default"/>
                <w:sz w:val="18"/>
                <w:szCs w:val="18"/>
              </w:rPr>
            </w:pPr>
            <w:r>
              <w:rPr>
                <w:rFonts w:ascii="宋体" w:hAnsi="宋体" w:cs="宋体" w:eastAsia="宋体" w:hint="default"/>
                <w:sz w:val="18"/>
                <w:szCs w:val="18"/>
              </w:rPr>
              <w:t>军用信息安全和保密， 通信网络和信息系统领 域的装备研制、工程建 设和信息服务等</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
                <w:sz w:val="18"/>
                <w:szCs w:val="18"/>
              </w:rPr>
              <w:t>按照国家相关法律法规，中国电子科技集团公司第三十研究所作为军工科研事业单位，其未来发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展战略属于保密信息，暂不披露。</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经营成果、财务状况、现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金流等</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
                <w:sz w:val="18"/>
                <w:szCs w:val="18"/>
              </w:rPr>
              <w:t>按照国家相关法律法规，中国电子科技集团公司第三十研究所作为军工科研事业单位，其重要财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务信息属于保密信息，暂不披露。</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0"/>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公司实际控制人情况" w:id="74"/>
      <w:bookmarkEnd w:id="7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33"/>
        <w:gridCol w:w="1494"/>
        <w:gridCol w:w="1196"/>
        <w:gridCol w:w="1326"/>
        <w:gridCol w:w="1594"/>
        <w:gridCol w:w="2126"/>
      </w:tblGrid>
      <w:tr>
        <w:trPr>
          <w:trHeight w:val="71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71" w:right="85"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0" w:hRule="exact"/>
        </w:trPr>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178"/>
              <w:jc w:val="left"/>
              <w:rPr>
                <w:rFonts w:ascii="宋体" w:hAnsi="宋体" w:cs="宋体" w:eastAsia="宋体" w:hint="default"/>
                <w:sz w:val="18"/>
                <w:szCs w:val="18"/>
              </w:rPr>
            </w:pPr>
            <w:r>
              <w:rPr>
                <w:rFonts w:ascii="宋体" w:hAnsi="宋体" w:cs="宋体" w:eastAsia="宋体" w:hint="default"/>
                <w:sz w:val="18"/>
                <w:szCs w:val="18"/>
              </w:rPr>
              <w:t>中国电子科技集团公 司</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熊群力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71092949-8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主要从事国家重要军民用 大型电子信息系统的工程 </w:t>
            </w:r>
            <w:r>
              <w:rPr>
                <w:rFonts w:ascii="宋体" w:hAnsi="宋体" w:cs="宋体" w:eastAsia="宋体" w:hint="default"/>
                <w:spacing w:val="-8"/>
                <w:sz w:val="18"/>
                <w:szCs w:val="18"/>
              </w:rPr>
              <w:t>建设，重大装备、通信与电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子设备、软件和关键元器件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的研制生产。</w:t>
            </w:r>
          </w:p>
        </w:tc>
      </w:tr>
      <w:tr>
        <w:trPr>
          <w:trHeight w:val="1026"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36" w:type="dxa"/>
            <w:gridSpan w:val="5"/>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both"/>
              <w:rPr>
                <w:rFonts w:ascii="宋体" w:hAnsi="宋体" w:cs="宋体" w:eastAsia="宋体" w:hint="default"/>
                <w:sz w:val="18"/>
                <w:szCs w:val="18"/>
              </w:rPr>
            </w:pPr>
            <w:r>
              <w:rPr>
                <w:rFonts w:ascii="宋体" w:hAnsi="宋体" w:cs="宋体" w:eastAsia="宋体" w:hint="default"/>
                <w:spacing w:val="-1"/>
                <w:sz w:val="18"/>
                <w:szCs w:val="18"/>
              </w:rPr>
              <w:t>中国电子科技集团公司未来将由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以军为主、以民为辅</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以军为核心、以民为主体</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的军民融合转</w:t>
            </w:r>
            <w:r>
              <w:rPr>
                <w:rFonts w:ascii="宋体" w:hAnsi="宋体" w:cs="宋体" w:eastAsia="宋体" w:hint="default"/>
                <w:spacing w:val="-67"/>
                <w:sz w:val="18"/>
                <w:szCs w:val="18"/>
              </w:rPr>
              <w:t> </w:t>
            </w:r>
            <w:r>
              <w:rPr>
                <w:rFonts w:ascii="宋体" w:hAnsi="宋体" w:cs="宋体" w:eastAsia="宋体" w:hint="default"/>
                <w:spacing w:val="-2"/>
                <w:sz w:val="18"/>
                <w:szCs w:val="18"/>
              </w:rPr>
              <w:t>型，从国内企业向国际化企业转变，成为世界一流的高端电子信息产品供应商、信息技术为支撑的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系统集成商、电子信息营运服务商。</w:t>
            </w:r>
          </w:p>
        </w:tc>
      </w:tr>
      <w:tr>
        <w:trPr>
          <w:trHeight w:val="714"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36"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按照国家相关法律法规，中国电子科技集团公司为军工科研单位，其重要财务信息属于保密信息， 暂不披露。</w:t>
            </w:r>
          </w:p>
        </w:tc>
      </w:tr>
      <w:tr>
        <w:trPr>
          <w:trHeight w:val="1027"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78"/>
              <w:jc w:val="both"/>
              <w:rPr>
                <w:rFonts w:ascii="宋体" w:hAnsi="宋体" w:cs="宋体" w:eastAsia="宋体" w:hint="default"/>
                <w:sz w:val="18"/>
                <w:szCs w:val="18"/>
              </w:rPr>
            </w:pPr>
            <w:r>
              <w:rPr>
                <w:rFonts w:ascii="宋体" w:hAnsi="宋体" w:cs="宋体" w:eastAsia="宋体" w:hint="default"/>
                <w:sz w:val="18"/>
                <w:szCs w:val="18"/>
              </w:rPr>
              <w:t>实际控制人报告期内 控制的其他境内外上 市公司的股权情况</w:t>
            </w:r>
          </w:p>
        </w:tc>
        <w:tc>
          <w:tcPr>
            <w:tcW w:w="77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1"/>
                <w:sz w:val="18"/>
                <w:szCs w:val="18"/>
              </w:rPr>
              <w:t>、</w:t>
            </w:r>
            <w:r>
              <w:rPr>
                <w:rFonts w:ascii="宋体" w:hAnsi="宋体" w:cs="宋体" w:eastAsia="宋体" w:hint="default"/>
                <w:sz w:val="18"/>
                <w:szCs w:val="18"/>
              </w:rPr>
              <w:t>杰赛科技  </w:t>
            </w:r>
            <w:r>
              <w:rPr>
                <w:rFonts w:ascii="Times New Roman" w:hAnsi="Times New Roman" w:cs="Times New Roman" w:eastAsia="Times New Roman" w:hint="default"/>
                <w:sz w:val="18"/>
                <w:szCs w:val="18"/>
              </w:rPr>
              <w:t>002544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18,139</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81 </w:t>
            </w:r>
            <w:r>
              <w:rPr>
                <w:rFonts w:ascii="宋体" w:hAnsi="宋体" w:cs="宋体" w:eastAsia="宋体" w:hint="default"/>
                <w:sz w:val="18"/>
                <w:szCs w:val="18"/>
              </w:rPr>
              <w:t>万股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81"/>
                <w:sz w:val="18"/>
                <w:szCs w:val="18"/>
              </w:rPr>
              <w:t>、</w:t>
            </w:r>
            <w:r>
              <w:rPr>
                <w:rFonts w:ascii="宋体" w:hAnsi="宋体" w:cs="宋体" w:eastAsia="宋体" w:hint="default"/>
                <w:sz w:val="18"/>
                <w:szCs w:val="18"/>
              </w:rPr>
              <w:t>海</w:t>
            </w:r>
            <w:r>
              <w:rPr>
                <w:rFonts w:ascii="宋体" w:hAnsi="宋体" w:cs="宋体" w:eastAsia="宋体" w:hint="default"/>
                <w:spacing w:val="1"/>
                <w:sz w:val="18"/>
                <w:szCs w:val="18"/>
              </w:rPr>
              <w:t>康</w:t>
            </w:r>
            <w:r>
              <w:rPr>
                <w:rFonts w:ascii="宋体" w:hAnsi="宋体" w:cs="宋体" w:eastAsia="宋体" w:hint="default"/>
                <w:sz w:val="18"/>
                <w:szCs w:val="18"/>
              </w:rPr>
              <w:t>威视  </w:t>
            </w:r>
            <w:r>
              <w:rPr>
                <w:rFonts w:ascii="Times New Roman" w:hAnsi="Times New Roman" w:cs="Times New Roman" w:eastAsia="Times New Roman" w:hint="default"/>
                <w:sz w:val="18"/>
                <w:szCs w:val="18"/>
              </w:rPr>
              <w:t>002415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162,385.55 </w:t>
            </w:r>
            <w:r>
              <w:rPr>
                <w:rFonts w:ascii="宋体" w:hAnsi="宋体" w:cs="宋体" w:eastAsia="宋体" w:hint="default"/>
                <w:spacing w:val="-2"/>
                <w:sz w:val="18"/>
                <w:szCs w:val="18"/>
              </w:rPr>
              <w:t>万</w:t>
            </w: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pacing w:val="-81"/>
                <w:sz w:val="18"/>
                <w:szCs w:val="18"/>
              </w:rPr>
              <w:t>、</w:t>
            </w:r>
            <w:r>
              <w:rPr>
                <w:rFonts w:ascii="宋体" w:hAnsi="宋体" w:cs="宋体" w:eastAsia="宋体" w:hint="default"/>
                <w:sz w:val="18"/>
                <w:szCs w:val="18"/>
              </w:rPr>
              <w:t>华东电脑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600850</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14,816.57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、四创电子</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600990  </w:t>
            </w:r>
            <w:r>
              <w:rPr>
                <w:rFonts w:ascii="Times New Roman" w:hAnsi="Times New Roman" w:cs="Times New Roman" w:eastAsia="Times New Roman" w:hint="default"/>
                <w:spacing w:val="44"/>
                <w:sz w:val="18"/>
                <w:szCs w:val="18"/>
              </w:rPr>
              <w:t> </w:t>
            </w:r>
            <w:r>
              <w:rPr>
                <w:rFonts w:ascii="Times New Roman" w:hAnsi="Times New Roman" w:cs="Times New Roman" w:eastAsia="Times New Roman" w:hint="default"/>
                <w:sz w:val="18"/>
                <w:szCs w:val="18"/>
              </w:rPr>
              <w:t>5,741.67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、太极股份</w:t>
            </w:r>
            <w:r>
              <w:rPr>
                <w:rFonts w:ascii="宋体" w:hAnsi="宋体" w:cs="宋体" w:eastAsia="宋体" w:hint="default"/>
                <w:spacing w:val="89"/>
                <w:sz w:val="18"/>
                <w:szCs w:val="18"/>
              </w:rPr>
              <w:t> </w:t>
            </w:r>
            <w:r>
              <w:rPr>
                <w:rFonts w:ascii="Times New Roman" w:hAnsi="Times New Roman" w:cs="Times New Roman" w:eastAsia="Times New Roman" w:hint="default"/>
                <w:sz w:val="18"/>
                <w:szCs w:val="18"/>
              </w:rPr>
              <w:t>002368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10,389.41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、国</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睿科技  </w:t>
            </w:r>
            <w:r>
              <w:rPr>
                <w:rFonts w:ascii="Times New Roman" w:hAnsi="Times New Roman" w:cs="Times New Roman" w:eastAsia="Times New Roman" w:hint="default"/>
                <w:sz w:val="18"/>
                <w:szCs w:val="18"/>
              </w:rPr>
              <w:t>600562    7,041.94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w:t>
            </w:r>
          </w:p>
        </w:tc>
      </w:tr>
    </w:tbl>
    <w:p>
      <w:pPr>
        <w:pStyle w:val="BodyText"/>
        <w:spacing w:line="240" w:lineRule="auto" w:before="51"/>
        <w:ind w:left="154" w:right="0"/>
        <w:jc w:val="left"/>
      </w:pPr>
      <w:r>
        <w:rPr/>
        <w:t>公司与实际控制人之间的产权及控制关系的方框图</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8"/>
          <w:szCs w:val="28"/>
        </w:rPr>
      </w:pPr>
    </w:p>
    <w:p>
      <w:pPr>
        <w:spacing w:line="4050" w:lineRule="exact"/>
        <w:ind w:left="2369"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3305447" cy="25717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305447" cy="2571750"/>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286" w:right="0"/>
        <w:jc w:val="left"/>
        <w:rPr>
          <w:b w:val="0"/>
          <w:bCs w:val="0"/>
        </w:rPr>
      </w:pPr>
      <w:bookmarkStart w:name="第七节 优先股相关情况" w:id="75"/>
      <w:bookmarkEnd w:id="75"/>
      <w:r>
        <w:rPr>
          <w:b w:val="0"/>
          <w:bCs w:val="0"/>
        </w:rPr>
      </w:r>
      <w:bookmarkStart w:name="_bookmark6" w:id="76"/>
      <w:bookmarkEnd w:id="76"/>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77"/>
      <w:bookmarkEnd w:id="77"/>
      <w:r>
        <w:rPr>
          <w:b w:val="0"/>
          <w:bCs w:val="0"/>
        </w:rPr>
      </w:r>
      <w:bookmarkStart w:name="_bookmark7" w:id="78"/>
      <w:bookmarkEnd w:id="78"/>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79"/>
      <w:bookmarkEnd w:id="7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658"/>
        <w:gridCol w:w="708"/>
        <w:gridCol w:w="992"/>
        <w:gridCol w:w="1134"/>
        <w:gridCol w:w="857"/>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0" w:right="41"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71" w:right="110"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3" w:right="6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893,307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223,327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669,980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李永强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雷吉成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罗光春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658"/>
        <w:gridCol w:w="708"/>
        <w:gridCol w:w="992"/>
        <w:gridCol w:w="1134"/>
        <w:gridCol w:w="857"/>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廖晓宜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董秘、副总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910,007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223,652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686,355</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任职情况" w:id="80"/>
      <w:bookmarkEnd w:id="80"/>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604" w:right="1122" w:hanging="45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董事长李成刚先生：历任中国电子科技集团公司第十研究所副所长、中国电子科技集团公司第三十研究所党委书记兼</w:t>
      </w:r>
    </w:p>
    <w:p>
      <w:pPr>
        <w:pStyle w:val="BodyText"/>
        <w:spacing w:line="316" w:lineRule="auto" w:before="2"/>
        <w:ind w:right="1123"/>
        <w:jc w:val="left"/>
      </w:pPr>
      <w:r>
        <w:rPr/>
        <w:t>副所长，</w:t>
      </w:r>
      <w:r>
        <w:rPr>
          <w:rFonts w:ascii="宋体" w:hAnsi="宋体" w:cs="宋体" w:eastAsia="宋体" w:hint="default"/>
        </w:rPr>
        <w:t>2012</w:t>
      </w:r>
      <w:r>
        <w:rPr/>
        <w:t>年</w:t>
      </w:r>
      <w:r>
        <w:rPr>
          <w:rFonts w:ascii="宋体" w:hAnsi="宋体" w:cs="宋体" w:eastAsia="宋体" w:hint="default"/>
        </w:rPr>
        <w:t>10</w:t>
      </w:r>
      <w:r>
        <w:rPr/>
        <w:t>月至今任中国电子科技集团公司第三十研究所所长兼党委书记；</w:t>
      </w:r>
      <w:r>
        <w:rPr>
          <w:rFonts w:ascii="宋体" w:hAnsi="宋体" w:cs="宋体" w:eastAsia="宋体" w:hint="default"/>
        </w:rPr>
        <w:t>2012</w:t>
      </w:r>
      <w:r>
        <w:rPr/>
        <w:t>年</w:t>
      </w:r>
      <w:r>
        <w:rPr>
          <w:rFonts w:ascii="宋体" w:hAnsi="宋体" w:cs="宋体" w:eastAsia="宋体" w:hint="default"/>
        </w:rPr>
        <w:t>4</w:t>
      </w:r>
      <w:r>
        <w:rPr/>
        <w:t>月至</w:t>
      </w:r>
      <w:r>
        <w:rPr>
          <w:rFonts w:ascii="宋体" w:hAnsi="宋体" w:cs="宋体" w:eastAsia="宋体" w:hint="default"/>
        </w:rPr>
        <w:t>2012</w:t>
      </w:r>
      <w:r>
        <w:rPr/>
        <w:t>年</w:t>
      </w:r>
      <w:r>
        <w:rPr>
          <w:rFonts w:ascii="宋体" w:hAnsi="宋体" w:cs="宋体" w:eastAsia="宋体" w:hint="default"/>
        </w:rPr>
        <w:t>12</w:t>
      </w:r>
      <w:r>
        <w:rPr/>
        <w:t>月，任本公司副董 事长，</w:t>
      </w:r>
      <w:r>
        <w:rPr>
          <w:rFonts w:ascii="宋体" w:hAnsi="宋体" w:cs="宋体" w:eastAsia="宋体" w:hint="default"/>
        </w:rPr>
        <w:t>2012</w:t>
      </w:r>
      <w:r>
        <w:rPr/>
        <w:t>年</w:t>
      </w:r>
      <w:r>
        <w:rPr>
          <w:rFonts w:ascii="宋体" w:hAnsi="宋体" w:cs="宋体" w:eastAsia="宋体" w:hint="default"/>
        </w:rPr>
        <w:t>12</w:t>
      </w:r>
      <w:r>
        <w:rPr/>
        <w:t>月至今，任本公司董事长；拟任中国电科网络信息安全有限公司（筹）董事长、临时党委书记。</w:t>
      </w:r>
    </w:p>
    <w:p>
      <w:pPr>
        <w:pStyle w:val="BodyText"/>
        <w:spacing w:line="316" w:lineRule="auto" w:before="19"/>
        <w:ind w:right="0" w:firstLine="360"/>
        <w:jc w:val="left"/>
      </w:pPr>
      <w:r>
        <w:rPr>
          <w:spacing w:val="-4"/>
        </w:rPr>
        <w:t>副董事长许晓平先生：</w:t>
      </w:r>
      <w:r>
        <w:rPr>
          <w:rFonts w:ascii="宋体" w:hAnsi="宋体" w:cs="宋体" w:eastAsia="宋体" w:hint="default"/>
          <w:spacing w:val="-4"/>
        </w:rPr>
        <w:t>1990</w:t>
      </w:r>
      <w:r>
        <w:rPr>
          <w:spacing w:val="-4"/>
        </w:rPr>
        <w:t>年进入中国电子科技集团第三十研究所工作，曾先后担任研究室助理工程师、科技处副处长、</w:t>
      </w:r>
      <w:r>
        <w:rPr/>
        <w:t> 处长、所长助理、副所长、中国电科集团科技部副主任（主持工作），</w:t>
      </w:r>
      <w:r>
        <w:rPr>
          <w:rFonts w:ascii="宋体" w:hAnsi="宋体" w:cs="宋体" w:eastAsia="宋体" w:hint="default"/>
        </w:rPr>
        <w:t>2014</w:t>
      </w:r>
      <w:r>
        <w:rPr/>
        <w:t>年</w:t>
      </w:r>
      <w:r>
        <w:rPr>
          <w:rFonts w:ascii="宋体" w:hAnsi="宋体" w:cs="宋体" w:eastAsia="宋体" w:hint="default"/>
        </w:rPr>
        <w:t>4</w:t>
      </w:r>
      <w:r>
        <w:rPr/>
        <w:t>月至今担任三十所党委书记兼副所长；</w:t>
      </w:r>
      <w:r>
        <w:rPr>
          <w:rFonts w:ascii="宋体" w:hAnsi="宋体" w:cs="宋体" w:eastAsia="宋体" w:hint="default"/>
        </w:rPr>
        <w:t>2014 </w:t>
      </w:r>
      <w:r>
        <w:rPr/>
        <w:t>年</w:t>
      </w:r>
      <w:r>
        <w:rPr>
          <w:rFonts w:ascii="宋体" w:hAnsi="宋体" w:cs="宋体" w:eastAsia="宋体" w:hint="default"/>
        </w:rPr>
        <w:t>9</w:t>
      </w:r>
      <w:r>
        <w:rPr/>
        <w:t>月至今，任本公司副董事长；拟任中国电科网络信息安全有限公司（筹）董事、总经理。</w:t>
      </w:r>
    </w:p>
    <w:p>
      <w:pPr>
        <w:pStyle w:val="BodyText"/>
        <w:spacing w:line="316" w:lineRule="auto" w:before="19"/>
        <w:ind w:right="1131" w:firstLine="360"/>
        <w:jc w:val="both"/>
      </w:pPr>
      <w:r>
        <w:rPr>
          <w:spacing w:val="-2"/>
        </w:rPr>
        <w:t>董事卿昱女士：历任中国电子科技集团公司第三十研究所研究室副主任、主任、副总工程师，</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月至今，任中国</w:t>
      </w:r>
      <w:r>
        <w:rPr/>
        <w:t> 电子科技集团公司第三十研究所副所长；</w:t>
      </w:r>
      <w:r>
        <w:rPr>
          <w:rFonts w:ascii="宋体" w:hAnsi="宋体" w:cs="宋体" w:eastAsia="宋体" w:hint="default"/>
        </w:rPr>
        <w:t>2012</w:t>
      </w:r>
      <w:r>
        <w:rPr/>
        <w:t>年</w:t>
      </w:r>
      <w:r>
        <w:rPr>
          <w:rFonts w:ascii="宋体" w:hAnsi="宋体" w:cs="宋体" w:eastAsia="宋体" w:hint="default"/>
        </w:rPr>
        <w:t>4</w:t>
      </w:r>
      <w:r>
        <w:rPr/>
        <w:t>月至今，任本公司董事；拟任中国电科网络信息安全有限公司（筹）副总 经理。</w:t>
      </w:r>
    </w:p>
    <w:p>
      <w:pPr>
        <w:pStyle w:val="BodyText"/>
        <w:spacing w:line="316" w:lineRule="auto" w:before="19"/>
        <w:ind w:right="1123" w:firstLine="360"/>
        <w:jc w:val="left"/>
      </w:pPr>
      <w:r>
        <w:rPr/>
        <w:t>董事、总经理雷利民先生：曾任中国电子科技集团第三十研究所研究室副主任，</w:t>
      </w:r>
      <w:r>
        <w:rPr>
          <w:rFonts w:ascii="宋体" w:hAnsi="宋体" w:cs="宋体" w:eastAsia="宋体" w:hint="default"/>
        </w:rPr>
        <w:t>1999</w:t>
      </w:r>
      <w:r>
        <w:rPr/>
        <w:t>年至</w:t>
      </w:r>
      <w:r>
        <w:rPr>
          <w:rFonts w:ascii="宋体" w:hAnsi="宋体" w:cs="宋体" w:eastAsia="宋体" w:hint="default"/>
        </w:rPr>
        <w:t>2014</w:t>
      </w:r>
      <w:r>
        <w:rPr/>
        <w:t>年</w:t>
      </w:r>
      <w:r>
        <w:rPr>
          <w:rFonts w:ascii="宋体" w:hAnsi="宋体" w:cs="宋体" w:eastAsia="宋体" w:hint="default"/>
        </w:rPr>
        <w:t>5</w:t>
      </w:r>
      <w:r>
        <w:rPr/>
        <w:t>月担任本公司副总经 理，</w:t>
      </w:r>
      <w:r>
        <w:rPr>
          <w:rFonts w:ascii="宋体" w:hAnsi="宋体" w:cs="宋体" w:eastAsia="宋体" w:hint="default"/>
        </w:rPr>
        <w:t>2001</w:t>
      </w:r>
      <w:r>
        <w:rPr/>
        <w:t>年至今担任本公司董事，</w:t>
      </w:r>
      <w:r>
        <w:rPr>
          <w:rFonts w:ascii="宋体" w:hAnsi="宋体" w:cs="宋体" w:eastAsia="宋体" w:hint="default"/>
        </w:rPr>
        <w:t>2014</w:t>
      </w:r>
      <w:r>
        <w:rPr/>
        <w:t>年</w:t>
      </w:r>
      <w:r>
        <w:rPr>
          <w:rFonts w:ascii="宋体" w:hAnsi="宋体" w:cs="宋体" w:eastAsia="宋体" w:hint="default"/>
        </w:rPr>
        <w:t>5</w:t>
      </w:r>
      <w:r>
        <w:rPr/>
        <w:t>月至今担任本公司总经理；拟任中国电科网络信息安全有限公司（筹）董事。</w:t>
      </w:r>
    </w:p>
    <w:p>
      <w:pPr>
        <w:pStyle w:val="BodyText"/>
        <w:spacing w:line="316" w:lineRule="auto" w:before="19"/>
        <w:ind w:right="1131" w:firstLine="360"/>
        <w:jc w:val="both"/>
      </w:pPr>
      <w:r>
        <w:rPr>
          <w:spacing w:val="-2"/>
        </w:rPr>
        <w:t>董事黄南平先生：历任中国电子科技集团公司第三十研究所主办会计、财务主管、所长助理，并创办成都三零信息系统</w:t>
      </w:r>
      <w:r>
        <w:rPr/>
        <w:t> 有限公司并担任总经理；</w:t>
      </w:r>
      <w:r>
        <w:rPr>
          <w:rFonts w:ascii="宋体" w:hAnsi="宋体" w:cs="宋体" w:eastAsia="宋体" w:hint="default"/>
        </w:rPr>
        <w:t>2002</w:t>
      </w:r>
      <w:r>
        <w:rPr/>
        <w:t>年</w:t>
      </w:r>
      <w:r>
        <w:rPr>
          <w:rFonts w:ascii="宋体" w:hAnsi="宋体" w:cs="宋体" w:eastAsia="宋体" w:hint="default"/>
        </w:rPr>
        <w:t>1</w:t>
      </w:r>
      <w:r>
        <w:rPr/>
        <w:t>月至</w:t>
      </w:r>
      <w:r>
        <w:rPr>
          <w:rFonts w:ascii="宋体" w:hAnsi="宋体" w:cs="宋体" w:eastAsia="宋体" w:hint="default"/>
        </w:rPr>
        <w:t>2009</w:t>
      </w:r>
      <w:r>
        <w:rPr/>
        <w:t>年</w:t>
      </w:r>
      <w:r>
        <w:rPr>
          <w:rFonts w:ascii="宋体" w:hAnsi="宋体" w:cs="宋体" w:eastAsia="宋体" w:hint="default"/>
        </w:rPr>
        <w:t>8</w:t>
      </w:r>
      <w:r>
        <w:rPr/>
        <w:t>月，担任成都三零盛安信息系统有限公司副总经理，</w:t>
      </w:r>
      <w:r>
        <w:rPr>
          <w:rFonts w:ascii="宋体" w:hAnsi="宋体" w:cs="宋体" w:eastAsia="宋体" w:hint="default"/>
        </w:rPr>
        <w:t>2009</w:t>
      </w:r>
      <w:r>
        <w:rPr/>
        <w:t>年</w:t>
      </w:r>
      <w:r>
        <w:rPr>
          <w:rFonts w:ascii="宋体" w:hAnsi="宋体" w:cs="宋体" w:eastAsia="宋体" w:hint="default"/>
        </w:rPr>
        <w:t>9</w:t>
      </w:r>
      <w:r>
        <w:rPr/>
        <w:t>月至今，担任三 零盛安公司总经理，</w:t>
      </w:r>
      <w:r>
        <w:rPr>
          <w:rFonts w:ascii="宋体" w:hAnsi="宋体" w:cs="宋体" w:eastAsia="宋体" w:hint="default"/>
        </w:rPr>
        <w:t>2014</w:t>
      </w:r>
      <w:r>
        <w:rPr/>
        <w:t>年</w:t>
      </w:r>
      <w:r>
        <w:rPr>
          <w:rFonts w:ascii="宋体" w:hAnsi="宋体" w:cs="宋体" w:eastAsia="宋体" w:hint="default"/>
        </w:rPr>
        <w:t>9</w:t>
      </w:r>
      <w:r>
        <w:rPr/>
        <w:t>月至今，任本公司董事。</w:t>
      </w:r>
    </w:p>
    <w:p>
      <w:pPr>
        <w:pStyle w:val="BodyText"/>
        <w:spacing w:line="316" w:lineRule="auto" w:before="19"/>
        <w:ind w:right="0" w:firstLine="360"/>
        <w:jc w:val="left"/>
      </w:pPr>
      <w:r>
        <w:rPr>
          <w:spacing w:val="-2"/>
        </w:rPr>
        <w:t>董事吴江先生：曾任四川省纺织集团有限责任公司财务部副部长；</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3</w:t>
      </w:r>
      <w:r>
        <w:rPr>
          <w:spacing w:val="-2"/>
        </w:rPr>
        <w:t>月，在四川蜀祥创业投资有限公</w:t>
      </w:r>
      <w:r>
        <w:rPr/>
        <w:t> </w:t>
      </w:r>
      <w:r>
        <w:rPr>
          <w:spacing w:val="-2"/>
        </w:rPr>
        <w:t>司担任总经理助理兼投资一部部门经理；</w:t>
      </w:r>
      <w:r>
        <w:rPr>
          <w:rFonts w:ascii="宋体" w:hAnsi="宋体" w:cs="宋体" w:eastAsia="宋体" w:hint="default"/>
          <w:spacing w:val="-2"/>
        </w:rPr>
        <w:t>2014</w:t>
      </w:r>
      <w:r>
        <w:rPr>
          <w:spacing w:val="-2"/>
        </w:rPr>
        <w:t>年</w:t>
      </w:r>
      <w:r>
        <w:rPr>
          <w:rFonts w:ascii="宋体" w:hAnsi="宋体" w:cs="宋体" w:eastAsia="宋体" w:hint="default"/>
          <w:spacing w:val="-2"/>
        </w:rPr>
        <w:t>4</w:t>
      </w:r>
      <w:r>
        <w:rPr>
          <w:spacing w:val="-2"/>
        </w:rPr>
        <w:t>月至今任四川三新创业投资有限责任公司总经理助理兼投资四部部门经理，</w:t>
      </w:r>
      <w:r>
        <w:rPr>
          <w:spacing w:val="-58"/>
        </w:rPr>
        <w:t> </w:t>
      </w:r>
      <w:r>
        <w:rPr/>
        <w:t>现兼任四川九洲光电科技股份有限公司董事；成都三零凯天通信实业有限公司监事； </w:t>
      </w:r>
      <w:r>
        <w:rPr>
          <w:rFonts w:ascii="宋体" w:hAnsi="宋体" w:cs="宋体" w:eastAsia="宋体" w:hint="default"/>
        </w:rPr>
        <w:t>2014</w:t>
      </w:r>
      <w:r>
        <w:rPr/>
        <w:t>年</w:t>
      </w:r>
      <w:r>
        <w:rPr>
          <w:rFonts w:ascii="宋体" w:hAnsi="宋体" w:cs="宋体" w:eastAsia="宋体" w:hint="default"/>
        </w:rPr>
        <w:t>9</w:t>
      </w:r>
      <w:r>
        <w:rPr/>
        <w:t>月至今，任本公司董事。</w:t>
      </w:r>
    </w:p>
    <w:p>
      <w:pPr>
        <w:pStyle w:val="BodyText"/>
        <w:spacing w:line="240" w:lineRule="auto" w:before="19"/>
        <w:ind w:left="424" w:right="0"/>
        <w:jc w:val="left"/>
      </w:pPr>
      <w:r>
        <w:rPr/>
        <w:t>独立董事张力上先生：</w:t>
      </w:r>
      <w:r>
        <w:rPr>
          <w:rFonts w:ascii="宋体" w:hAnsi="宋体" w:cs="宋体" w:eastAsia="宋体" w:hint="default"/>
        </w:rPr>
        <w:t>2006</w:t>
      </w:r>
      <w:r>
        <w:rPr/>
        <w:t>年至今担任西南财经大学会计学院会计系主任；</w:t>
      </w:r>
      <w:r>
        <w:rPr>
          <w:rFonts w:ascii="宋体" w:hAnsi="宋体" w:cs="宋体" w:eastAsia="宋体" w:hint="default"/>
        </w:rPr>
        <w:t>2011</w:t>
      </w:r>
      <w:r>
        <w:rPr/>
        <w:t>年</w:t>
      </w:r>
      <w:r>
        <w:rPr>
          <w:rFonts w:ascii="宋体" w:hAnsi="宋体" w:cs="宋体" w:eastAsia="宋体" w:hint="default"/>
        </w:rPr>
        <w:t>5</w:t>
      </w:r>
      <w:r>
        <w:rPr/>
        <w:t>月至今担任本公司独立董事。</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3" w:firstLine="270"/>
        <w:jc w:val="left"/>
      </w:pPr>
      <w:r>
        <w:rPr/>
        <w:t>独立董事曹德骏先生：</w:t>
      </w:r>
      <w:r>
        <w:rPr>
          <w:rFonts w:ascii="宋体" w:hAnsi="宋体" w:cs="宋体" w:eastAsia="宋体" w:hint="default"/>
        </w:rPr>
        <w:t>2010</w:t>
      </w:r>
      <w:r>
        <w:rPr/>
        <w:t>年至</w:t>
      </w:r>
      <w:r>
        <w:rPr>
          <w:rFonts w:ascii="宋体" w:hAnsi="宋体" w:cs="宋体" w:eastAsia="宋体" w:hint="default"/>
        </w:rPr>
        <w:t>2013</w:t>
      </w:r>
      <w:r>
        <w:rPr/>
        <w:t>年</w:t>
      </w:r>
      <w:r>
        <w:rPr>
          <w:rFonts w:ascii="宋体" w:hAnsi="宋体" w:cs="宋体" w:eastAsia="宋体" w:hint="default"/>
        </w:rPr>
        <w:t>6</w:t>
      </w:r>
      <w:r>
        <w:rPr/>
        <w:t>月任西南财经大学外事处处长，现任西南财经大学教授、博士生导师。</w:t>
      </w:r>
      <w:r>
        <w:rPr>
          <w:rFonts w:ascii="宋体" w:hAnsi="宋体" w:cs="宋体" w:eastAsia="宋体" w:hint="default"/>
        </w:rPr>
        <w:t>2013</w:t>
      </w:r>
      <w:r>
        <w:rPr/>
        <w:t>年</w:t>
      </w:r>
      <w:r>
        <w:rPr>
          <w:rFonts w:ascii="宋体" w:hAnsi="宋体" w:cs="宋体" w:eastAsia="宋体" w:hint="default"/>
        </w:rPr>
        <w:t>7 </w:t>
      </w:r>
      <w:r>
        <w:rPr/>
        <w:t>月至今担任本公司独立董事。</w:t>
      </w:r>
    </w:p>
    <w:p>
      <w:pPr>
        <w:pStyle w:val="BodyText"/>
        <w:spacing w:line="319" w:lineRule="auto" w:before="19"/>
        <w:ind w:right="1131" w:firstLine="270"/>
        <w:jc w:val="both"/>
      </w:pPr>
      <w:r>
        <w:rPr/>
        <w:t>独立董事李永强先生： 历任西南财经大学助教、讲师、副教授、副院长，</w:t>
      </w:r>
      <w:r>
        <w:rPr>
          <w:rFonts w:ascii="宋体" w:hAnsi="宋体" w:cs="宋体" w:eastAsia="宋体" w:hint="default"/>
        </w:rPr>
        <w:t>2009</w:t>
      </w:r>
      <w:r>
        <w:rPr/>
        <w:t>年</w:t>
      </w:r>
      <w:r>
        <w:rPr>
          <w:rFonts w:ascii="宋体" w:hAnsi="宋体" w:cs="宋体" w:eastAsia="宋体" w:hint="default"/>
        </w:rPr>
        <w:t>1</w:t>
      </w:r>
      <w:r>
        <w:rPr/>
        <w:t>月至今担任西南财经大学教授，</w:t>
      </w:r>
      <w:r>
        <w:rPr>
          <w:rFonts w:ascii="宋体" w:hAnsi="宋体" w:cs="宋体" w:eastAsia="宋体" w:hint="default"/>
        </w:rPr>
        <w:t>2013 </w:t>
      </w:r>
      <w:r>
        <w:rPr/>
        <w:t>年</w:t>
      </w:r>
      <w:r>
        <w:rPr>
          <w:rFonts w:ascii="宋体" w:hAnsi="宋体" w:cs="宋体" w:eastAsia="宋体" w:hint="default"/>
        </w:rPr>
        <w:t>6</w:t>
      </w:r>
      <w:r>
        <w:rPr/>
        <w:t>月至今担任西南财经大学教务处处长；</w:t>
      </w:r>
      <w:r>
        <w:rPr>
          <w:rFonts w:ascii="宋体" w:hAnsi="宋体" w:cs="宋体" w:eastAsia="宋体" w:hint="default"/>
        </w:rPr>
        <w:t>2009</w:t>
      </w:r>
      <w:r>
        <w:rPr/>
        <w:t>年</w:t>
      </w:r>
      <w:r>
        <w:rPr>
          <w:rFonts w:ascii="宋体" w:hAnsi="宋体" w:cs="宋体" w:eastAsia="宋体" w:hint="default"/>
        </w:rPr>
        <w:t>1</w:t>
      </w:r>
      <w:r>
        <w:rPr/>
        <w:t>月至今担任四川省机械工业协会学术委员会副主任；</w:t>
      </w:r>
      <w:r>
        <w:rPr>
          <w:rFonts w:ascii="宋体" w:hAnsi="宋体" w:cs="宋体" w:eastAsia="宋体" w:hint="default"/>
        </w:rPr>
        <w:t>2011</w:t>
      </w:r>
      <w:r>
        <w:rPr/>
        <w:t>年</w:t>
      </w:r>
      <w:r>
        <w:rPr>
          <w:rFonts w:ascii="宋体" w:hAnsi="宋体" w:cs="宋体" w:eastAsia="宋体" w:hint="default"/>
        </w:rPr>
        <w:t>1</w:t>
      </w:r>
      <w:r>
        <w:rPr/>
        <w:t>月至今担任 </w:t>
      </w:r>
      <w:r>
        <w:rPr>
          <w:spacing w:val="-2"/>
        </w:rPr>
        <w:t>中国软科学研究会理事；</w:t>
      </w:r>
      <w:r>
        <w:rPr>
          <w:rFonts w:ascii="宋体" w:hAnsi="宋体" w:cs="宋体" w:eastAsia="宋体" w:hint="default"/>
          <w:spacing w:val="-2"/>
        </w:rPr>
        <w:t>2012</w:t>
      </w:r>
      <w:r>
        <w:rPr>
          <w:spacing w:val="-2"/>
        </w:rPr>
        <w:t>年</w:t>
      </w:r>
      <w:r>
        <w:rPr>
          <w:rFonts w:ascii="宋体" w:hAnsi="宋体" w:cs="宋体" w:eastAsia="宋体" w:hint="default"/>
          <w:spacing w:val="-2"/>
        </w:rPr>
        <w:t>1</w:t>
      </w:r>
      <w:r>
        <w:rPr>
          <w:spacing w:val="-2"/>
        </w:rPr>
        <w:t>月至今担任四川自贡农商村镇银行独立董事；</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月至今担任成都金本华科技股份有限</w:t>
      </w:r>
      <w:r>
        <w:rPr>
          <w:spacing w:val="-54"/>
        </w:rPr>
        <w:t> </w:t>
      </w:r>
      <w:r>
        <w:rPr/>
        <w:t>公司董事；</w:t>
      </w:r>
      <w:r>
        <w:rPr>
          <w:rFonts w:ascii="宋体" w:hAnsi="宋体" w:cs="宋体" w:eastAsia="宋体" w:hint="default"/>
        </w:rPr>
        <w:t>2013</w:t>
      </w:r>
      <w:r>
        <w:rPr/>
        <w:t>年</w:t>
      </w:r>
      <w:r>
        <w:rPr>
          <w:rFonts w:ascii="宋体" w:hAnsi="宋体" w:cs="宋体" w:eastAsia="宋体" w:hint="default"/>
        </w:rPr>
        <w:t>10</w:t>
      </w:r>
      <w:r>
        <w:rPr/>
        <w:t>月至今担任成都市新筑路桥机械股份有限公司独立董事</w:t>
      </w:r>
      <w:r>
        <w:rPr>
          <w:rFonts w:ascii="宋体" w:hAnsi="宋体" w:cs="宋体" w:eastAsia="宋体" w:hint="default"/>
        </w:rPr>
        <w:t>;2014</w:t>
      </w:r>
      <w:r>
        <w:rPr/>
        <w:t>年</w:t>
      </w:r>
      <w:r>
        <w:rPr>
          <w:rFonts w:ascii="宋体" w:hAnsi="宋体" w:cs="宋体" w:eastAsia="宋体" w:hint="default"/>
        </w:rPr>
        <w:t>9</w:t>
      </w:r>
      <w:r>
        <w:rPr/>
        <w:t>月至今，任本公司董事。</w:t>
      </w:r>
    </w:p>
    <w:p>
      <w:pPr>
        <w:pStyle w:val="BodyText"/>
        <w:spacing w:line="316" w:lineRule="auto" w:before="17"/>
        <w:ind w:right="1123" w:firstLine="360"/>
        <w:jc w:val="left"/>
      </w:pPr>
      <w:r>
        <w:rPr/>
        <w:t>监事会主席张建华女士：历任任中国电子科技集团公司第三十研究财务处处长、副总会计师兼财务处处长，</w:t>
      </w:r>
      <w:r>
        <w:rPr>
          <w:rFonts w:ascii="宋体" w:hAnsi="宋体" w:cs="宋体" w:eastAsia="宋体" w:hint="default"/>
        </w:rPr>
        <w:t>2011</w:t>
      </w:r>
      <w:r>
        <w:rPr/>
        <w:t>年</w:t>
      </w:r>
      <w:r>
        <w:rPr>
          <w:rFonts w:ascii="宋体" w:hAnsi="宋体" w:cs="宋体" w:eastAsia="宋体" w:hint="default"/>
        </w:rPr>
        <w:t>12 </w:t>
      </w:r>
      <w:r>
        <w:rPr/>
        <w:t>月至今，任中国电子科技集团公司第三十研究总会计师；</w:t>
      </w:r>
      <w:r>
        <w:rPr>
          <w:rFonts w:ascii="宋体" w:hAnsi="宋体" w:cs="宋体" w:eastAsia="宋体" w:hint="default"/>
        </w:rPr>
        <w:t>2011</w:t>
      </w:r>
      <w:r>
        <w:rPr/>
        <w:t>年</w:t>
      </w:r>
      <w:r>
        <w:rPr>
          <w:rFonts w:ascii="宋体" w:hAnsi="宋体" w:cs="宋体" w:eastAsia="宋体" w:hint="default"/>
        </w:rPr>
        <w:t>5</w:t>
      </w:r>
      <w:r>
        <w:rPr/>
        <w:t>月至今任本公司监事会主席；拟任中国电科网络信息安全 有限公司（筹）董事、总会计师。</w:t>
      </w:r>
    </w:p>
    <w:p>
      <w:pPr>
        <w:pStyle w:val="BodyText"/>
        <w:spacing w:line="316" w:lineRule="auto" w:before="19"/>
        <w:ind w:right="1033" w:firstLine="270"/>
        <w:jc w:val="left"/>
      </w:pPr>
      <w:r>
        <w:rPr/>
        <w:t>监事程虹女士：曾任中国电子科技集团公司第三十研究所计审法规处副处长；</w:t>
      </w:r>
      <w:r>
        <w:rPr>
          <w:rFonts w:ascii="宋体" w:hAnsi="宋体" w:cs="宋体" w:eastAsia="宋体" w:hint="default"/>
        </w:rPr>
        <w:t>2012</w:t>
      </w:r>
      <w:r>
        <w:rPr/>
        <w:t>年</w:t>
      </w:r>
      <w:r>
        <w:rPr>
          <w:rFonts w:ascii="宋体" w:hAnsi="宋体" w:cs="宋体" w:eastAsia="宋体" w:hint="default"/>
        </w:rPr>
        <w:t>2</w:t>
      </w:r>
      <w:r>
        <w:rPr/>
        <w:t>月至今任三十所计审法规处处长； </w:t>
      </w:r>
      <w:r>
        <w:rPr>
          <w:rFonts w:ascii="宋体" w:hAnsi="宋体" w:cs="宋体" w:eastAsia="宋体" w:hint="default"/>
        </w:rPr>
        <w:t>2011</w:t>
      </w:r>
      <w:r>
        <w:rPr/>
        <w:t>年</w:t>
      </w:r>
      <w:r>
        <w:rPr>
          <w:rFonts w:ascii="宋体" w:hAnsi="宋体" w:cs="宋体" w:eastAsia="宋体" w:hint="default"/>
        </w:rPr>
        <w:t>5</w:t>
      </w:r>
      <w:r>
        <w:rPr/>
        <w:t>月至今任本公司监事。</w:t>
      </w:r>
    </w:p>
    <w:p>
      <w:pPr>
        <w:pStyle w:val="BodyText"/>
        <w:spacing w:line="316" w:lineRule="auto" w:before="19"/>
        <w:ind w:left="154" w:right="0" w:firstLine="360"/>
        <w:jc w:val="left"/>
      </w:pPr>
      <w:r>
        <w:rPr>
          <w:spacing w:val="-2"/>
        </w:rPr>
        <w:t>监事张述先生：曾先后在办公室、发展规划部、市场部、项目管理部、税控事业部、行政部、信息中心与保障部、生产</w:t>
      </w:r>
      <w:r>
        <w:rPr/>
        <w:t> 检验中心工作。 现任公司总经理助理、生产检验中心部门经理；</w:t>
      </w:r>
      <w:r>
        <w:rPr>
          <w:rFonts w:ascii="宋体" w:hAnsi="宋体" w:cs="宋体" w:eastAsia="宋体" w:hint="default"/>
        </w:rPr>
        <w:t>2014</w:t>
      </w:r>
      <w:r>
        <w:rPr/>
        <w:t>年</w:t>
      </w:r>
      <w:r>
        <w:rPr>
          <w:rFonts w:ascii="宋体" w:hAnsi="宋体" w:cs="宋体" w:eastAsia="宋体" w:hint="default"/>
        </w:rPr>
        <w:t>9</w:t>
      </w:r>
      <w:r>
        <w:rPr/>
        <w:t>月至今，任本公司监事。</w:t>
      </w:r>
    </w:p>
    <w:p>
      <w:pPr>
        <w:pStyle w:val="BodyText"/>
        <w:spacing w:line="316" w:lineRule="auto" w:before="19"/>
        <w:ind w:right="1123" w:firstLine="270"/>
        <w:jc w:val="left"/>
      </w:pPr>
      <w:r>
        <w:rPr/>
        <w:t>董事会秘书、副总经理胡凯春先生：历任中国电子科技集团公司第三十研究所综合管理部主任、民品产业处处长；</w:t>
      </w:r>
      <w:r>
        <w:rPr>
          <w:rFonts w:ascii="宋体" w:hAnsi="宋体" w:cs="宋体" w:eastAsia="宋体" w:hint="default"/>
        </w:rPr>
        <w:t>2012 </w:t>
      </w:r>
      <w:r>
        <w:rPr/>
        <w:t>年</w:t>
      </w:r>
      <w:r>
        <w:rPr>
          <w:rFonts w:ascii="宋体" w:hAnsi="宋体" w:cs="宋体" w:eastAsia="宋体" w:hint="default"/>
        </w:rPr>
        <w:t>1</w:t>
      </w:r>
      <w:r>
        <w:rPr/>
        <w:t>月至今任任本公司副总经理，</w:t>
      </w:r>
      <w:r>
        <w:rPr>
          <w:rFonts w:ascii="宋体" w:hAnsi="宋体" w:cs="宋体" w:eastAsia="宋体" w:hint="default"/>
        </w:rPr>
        <w:t>2012</w:t>
      </w:r>
      <w:r>
        <w:rPr/>
        <w:t>年</w:t>
      </w:r>
      <w:r>
        <w:rPr>
          <w:rFonts w:ascii="宋体" w:hAnsi="宋体" w:cs="宋体" w:eastAsia="宋体" w:hint="default"/>
        </w:rPr>
        <w:t>3</w:t>
      </w:r>
      <w:r>
        <w:rPr/>
        <w:t>月至今任本公司董事会秘书。</w:t>
      </w:r>
    </w:p>
    <w:p>
      <w:pPr>
        <w:pStyle w:val="BodyText"/>
        <w:spacing w:line="316" w:lineRule="auto" w:before="19"/>
        <w:ind w:left="424" w:right="1122"/>
        <w:jc w:val="left"/>
      </w:pPr>
      <w:r>
        <w:rPr/>
        <w:t>副总经理赵秀玲女士：曾任本公司市场部主任、市场总监、电子政务事业部经理。</w:t>
      </w:r>
      <w:r>
        <w:rPr>
          <w:rFonts w:ascii="宋体" w:hAnsi="宋体" w:cs="宋体" w:eastAsia="宋体" w:hint="default"/>
        </w:rPr>
        <w:t>2003</w:t>
      </w:r>
      <w:r>
        <w:rPr/>
        <w:t>年至今任本公司副总经理。 副总经理吕涛先生：曾任本公司公关企划部副经理、上海办事处主任，</w:t>
      </w:r>
      <w:r>
        <w:rPr>
          <w:rFonts w:ascii="宋体" w:hAnsi="宋体" w:cs="宋体" w:eastAsia="宋体" w:hint="default"/>
        </w:rPr>
        <w:t>2004</w:t>
      </w:r>
      <w:r>
        <w:rPr/>
        <w:t>年至今任本公司副总经理。 副总经理魏洪宽先生：曾任成都卫士通信息产业股份有限公司项目管理部经理、产品部主任、政府行业销售部经理、电</w:t>
      </w:r>
    </w:p>
    <w:p>
      <w:pPr>
        <w:pStyle w:val="BodyText"/>
        <w:spacing w:line="316" w:lineRule="auto" w:before="19"/>
        <w:ind w:left="424" w:right="1115" w:hanging="270"/>
        <w:jc w:val="left"/>
      </w:pPr>
      <w:r>
        <w:rPr/>
        <w:t>子商务安全事业部经理、总经理助理，</w:t>
      </w:r>
      <w:r>
        <w:rPr>
          <w:rFonts w:ascii="宋体" w:hAnsi="宋体" w:cs="宋体" w:eastAsia="宋体" w:hint="default"/>
        </w:rPr>
        <w:t>2006</w:t>
      </w:r>
      <w:r>
        <w:rPr/>
        <w:t>年至今任成都卫士通信息产业股份有限公司副总经理。 副总经理周俊先生：曾任三十所专业部副主任，</w:t>
      </w:r>
      <w:r>
        <w:rPr>
          <w:rFonts w:ascii="宋体" w:hAnsi="宋体" w:cs="宋体" w:eastAsia="宋体" w:hint="default"/>
        </w:rPr>
        <w:t>2013</w:t>
      </w:r>
      <w:r>
        <w:rPr/>
        <w:t>年</w:t>
      </w:r>
      <w:r>
        <w:rPr>
          <w:rFonts w:ascii="宋体" w:hAnsi="宋体" w:cs="宋体" w:eastAsia="宋体" w:hint="default"/>
        </w:rPr>
        <w:t>8</w:t>
      </w:r>
      <w:r>
        <w:rPr/>
        <w:t>月至今任本公司副总经理。 </w:t>
      </w:r>
      <w:r>
        <w:rPr>
          <w:spacing w:val="-4"/>
        </w:rPr>
        <w:t>副总经理黄仁亮先生：曾任成都三零嘉微电子有限公司常务副总、成都三零嘉微电子有限公司总经理职务；</w:t>
      </w:r>
      <w:r>
        <w:rPr>
          <w:rFonts w:ascii="宋体" w:hAnsi="宋体" w:cs="宋体" w:eastAsia="宋体" w:hint="default"/>
          <w:spacing w:val="-4"/>
        </w:rPr>
        <w:t>2014 </w:t>
      </w:r>
      <w:r>
        <w:rPr/>
        <w:t>年 </w:t>
      </w:r>
      <w:r>
        <w:rPr>
          <w:rFonts w:ascii="宋体" w:hAnsi="宋体" w:cs="宋体" w:eastAsia="宋体" w:hint="default"/>
        </w:rPr>
        <w:t>2</w:t>
      </w:r>
      <w:r>
        <w:rPr>
          <w:rFonts w:ascii="宋体" w:hAnsi="宋体" w:cs="宋体" w:eastAsia="宋体" w:hint="default"/>
          <w:spacing w:val="35"/>
        </w:rPr>
        <w:t> </w:t>
      </w:r>
      <w:r>
        <w:rPr/>
        <w:t>月</w:t>
      </w:r>
    </w:p>
    <w:p>
      <w:pPr>
        <w:pStyle w:val="BodyText"/>
        <w:spacing w:line="319" w:lineRule="auto" w:before="19"/>
        <w:ind w:right="1123"/>
        <w:jc w:val="left"/>
      </w:pPr>
      <w:r>
        <w:rPr/>
        <w:t>至今同时担任成都三零嘉微电子有限公司及成都三零瑞通移动通信有限公司总经理职务；</w:t>
      </w:r>
      <w:r>
        <w:rPr>
          <w:rFonts w:ascii="宋体" w:hAnsi="宋体" w:cs="宋体" w:eastAsia="宋体" w:hint="default"/>
        </w:rPr>
        <w:t>2014</w:t>
      </w:r>
      <w:r>
        <w:rPr/>
        <w:t>年</w:t>
      </w:r>
      <w:r>
        <w:rPr>
          <w:rFonts w:ascii="宋体" w:hAnsi="宋体" w:cs="宋体" w:eastAsia="宋体" w:hint="default"/>
        </w:rPr>
        <w:t>9</w:t>
      </w:r>
      <w:r>
        <w:rPr/>
        <w:t>月至今，任本公司副总经 理。</w:t>
      </w:r>
    </w:p>
    <w:p>
      <w:pPr>
        <w:pStyle w:val="BodyText"/>
        <w:spacing w:line="240" w:lineRule="auto" w:before="58"/>
        <w:ind w:left="154" w:right="0"/>
        <w:jc w:val="left"/>
      </w:pPr>
      <w:r>
        <w:rPr/>
        <w:t>在股东单位任职情况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所长、党委副</w:t>
            </w:r>
            <w:r>
              <w:rPr>
                <w:rFonts w:ascii="宋体" w:hAnsi="宋体" w:cs="宋体" w:eastAsia="宋体" w:hint="default"/>
                <w:sz w:val="18"/>
                <w:szCs w:val="18"/>
              </w:rPr>
              <w:t> 书记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12"/>
                <w:sz w:val="18"/>
                <w:szCs w:val="18"/>
              </w:rPr>
              <w:t>党委书记、副</w:t>
            </w:r>
            <w:r>
              <w:rPr>
                <w:rFonts w:ascii="宋体" w:hAnsi="宋体" w:cs="宋体" w:eastAsia="宋体" w:hint="default"/>
                <w:sz w:val="18"/>
                <w:szCs w:val="18"/>
              </w:rPr>
              <w:t> 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程虹</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992"/>
        <w:gridCol w:w="1547"/>
        <w:gridCol w:w="1572"/>
        <w:gridCol w:w="134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 w:right="41"/>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992"/>
        <w:gridCol w:w="1547"/>
        <w:gridCol w:w="1572"/>
        <w:gridCol w:w="1345"/>
      </w:tblGrid>
      <w:tr>
        <w:trPr>
          <w:trHeight w:val="714"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中国电科网络信息安全有限公司（筹）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董事长、临 时党委书记</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中国电科网络信息安全有限公司（筹）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卿昱</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中国电科网络信息安全有限公司（筹）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常务副社长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中国电科网络信息安全有限公司（筹）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四川三新创业投资有限责任公司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总经理助理 兼投资四部 部门经理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四川九洲光电科技股份有限公司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盛和资源控股股份有限公司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李永强</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成都市新筑路桥机械股份有限公司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四川自贡农商村镇银行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成都金本华科技股份有限公司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中国电科网络信息安全有限公司（筹）</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董事、总会 计师</w:t>
            </w:r>
          </w:p>
        </w:tc>
        <w:tc>
          <w:tcPr>
            <w:tcW w:w="1547"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992"/>
        <w:gridCol w:w="1547"/>
        <w:gridCol w:w="1572"/>
        <w:gridCol w:w="1345"/>
      </w:tblGrid>
      <w:tr>
        <w:trPr>
          <w:trHeight w:val="402" w:hRule="exact"/>
        </w:trPr>
        <w:tc>
          <w:tcPr>
            <w:tcW w:w="994" w:type="dxa"/>
            <w:vMerge w:val="restart"/>
            <w:tcBorders>
              <w:top w:val="nil" w:sz="6" w:space="0" w:color="auto"/>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厦门雅迅网络股份有限公司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监事会委员</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周俊</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94" w:type="dxa"/>
            <w:vMerge/>
            <w:tcBorders>
              <w:left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vMerge/>
            <w:tcBorders>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吕涛</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董事、监事、高级管理人员报酬情况" w:id="81"/>
      <w:bookmarkEnd w:id="81"/>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240" w:lineRule="auto" w:before="116"/>
        <w:ind w:left="435" w:right="0"/>
        <w:jc w:val="left"/>
      </w:pPr>
      <w:r>
        <w:rPr>
          <w:rFonts w:ascii="Times New Roman" w:hAnsi="Times New Roman" w:cs="Times New Roman" w:eastAsia="Times New Roman" w:hint="default"/>
        </w:rPr>
        <w:t>1</w:t>
      </w:r>
      <w:r>
        <w:rPr/>
        <w:t>、公司独立董事津贴</w:t>
      </w:r>
      <w:r>
        <w:rPr>
          <w:rFonts w:ascii="Times New Roman" w:hAnsi="Times New Roman" w:cs="Times New Roman" w:eastAsia="Times New Roman" w:hint="default"/>
        </w:rPr>
        <w:t>5</w:t>
      </w:r>
      <w:r>
        <w:rPr/>
        <w:t>万元</w:t>
      </w:r>
      <w:r>
        <w:rPr>
          <w:rFonts w:ascii="Times New Roman" w:hAnsi="Times New Roman" w:cs="Times New Roman" w:eastAsia="Times New Roman" w:hint="default"/>
        </w:rPr>
        <w:t>/</w:t>
      </w:r>
      <w:r>
        <w:rPr/>
        <w:t>年，其他董事、全体监事不领取津贴。在公司任职的董事、监事按其工作岗位确定薪酬。</w:t>
      </w:r>
    </w:p>
    <w:p>
      <w:pPr>
        <w:pStyle w:val="BodyText"/>
        <w:spacing w:line="252" w:lineRule="auto" w:before="63"/>
        <w:ind w:left="354" w:right="1118" w:firstLine="90"/>
        <w:jc w:val="left"/>
        <w:rPr>
          <w:sz w:val="24"/>
          <w:szCs w:val="24"/>
        </w:rPr>
      </w:pPr>
      <w:r>
        <w:rPr>
          <w:rFonts w:ascii="Times New Roman" w:hAnsi="Times New Roman" w:cs="Times New Roman" w:eastAsia="Times New Roman" w:hint="default"/>
          <w:spacing w:val="-2"/>
        </w:rPr>
        <w:t>2</w:t>
      </w:r>
      <w:r>
        <w:rPr>
          <w:spacing w:val="-2"/>
        </w:rPr>
        <w:t>、依据公司《董事会薪酬与考核委员会工作制度》，公司高级管理人员薪酬经由薪酬与考核委员会考核，报经董事会批</w:t>
      </w:r>
      <w:r>
        <w:rPr/>
        <w:t> 准后授权实施</w:t>
      </w:r>
      <w:r>
        <w:rPr>
          <w:color w:val="004080"/>
          <w:sz w:val="24"/>
          <w:szCs w:val="24"/>
        </w:rPr>
        <w:t>。</w:t>
      </w:r>
      <w:r>
        <w:rPr>
          <w:sz w:val="24"/>
          <w:szCs w:val="24"/>
        </w:rPr>
      </w:r>
    </w:p>
    <w:p>
      <w:pPr>
        <w:pStyle w:val="BodyText"/>
        <w:spacing w:line="240" w:lineRule="auto" w:before="76"/>
        <w:ind w:left="154" w:right="0"/>
        <w:jc w:val="left"/>
      </w:pPr>
      <w:r>
        <w:rPr/>
        <w:t>公司报告期内董事、监事和高级管理人员报酬情况</w:t>
      </w:r>
    </w:p>
    <w:p>
      <w:pPr>
        <w:pStyle w:val="BodyText"/>
        <w:spacing w:line="240" w:lineRule="auto" w:before="116"/>
        <w:ind w:left="0"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51"/>
        <w:gridCol w:w="1134"/>
        <w:gridCol w:w="568"/>
        <w:gridCol w:w="709"/>
        <w:gridCol w:w="992"/>
        <w:gridCol w:w="1134"/>
        <w:gridCol w:w="1277"/>
        <w:gridCol w:w="1134"/>
        <w:gridCol w:w="2126"/>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0"/>
              <w:jc w:val="left"/>
              <w:rPr>
                <w:rFonts w:ascii="宋体" w:hAnsi="宋体" w:cs="宋体" w:eastAsia="宋体" w:hint="default"/>
                <w:sz w:val="18"/>
                <w:szCs w:val="18"/>
              </w:rPr>
            </w:pPr>
            <w:r>
              <w:rPr>
                <w:rFonts w:ascii="宋体" w:hAnsi="宋体" w:cs="宋体" w:eastAsia="宋体" w:hint="default"/>
                <w:sz w:val="18"/>
                <w:szCs w:val="18"/>
              </w:rPr>
              <w:t>从公司获得 的报酬总额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2"/>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1" w:right="111"/>
              <w:jc w:val="left"/>
              <w:rPr>
                <w:rFonts w:ascii="宋体" w:hAnsi="宋体" w:cs="宋体" w:eastAsia="宋体" w:hint="default"/>
                <w:sz w:val="18"/>
                <w:szCs w:val="18"/>
              </w:rPr>
            </w:pPr>
            <w:r>
              <w:rPr>
                <w:rFonts w:ascii="宋体" w:hAnsi="宋体" w:cs="宋体" w:eastAsia="宋体" w:hint="default"/>
                <w:sz w:val="18"/>
                <w:szCs w:val="18"/>
              </w:rPr>
              <w:t>报告期末实 际所得报酬</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李成刚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未含集团公司发放部分</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未含集团公司发放部分</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卿  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70.85</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64.81</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只含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薪酬</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  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李永强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雷吉成</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月不再担任公司 董事，未在公司领薪</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  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月不再担任公司 董事，未在公司领薪</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罗光春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张建华</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69.19</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  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25.12</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31.08</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廖晓宜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31.33</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胡凯春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董秘、副总经 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48.26</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赵秀玲</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58.76</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  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52.37</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魏洪宽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56.09</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  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未在公司发放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年全年 度考核奖金</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43.41</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  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月已离世</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486.97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797.27</w:t>
            </w: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公司董事、监事、高级管理人员变动情况" w:id="82"/>
      <w:bookmarkEnd w:id="82"/>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106"/>
        <w:gridCol w:w="3471"/>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2106"/>
        <w:gridCol w:w="347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许晓平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黄南平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李永强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雷利民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黄仁亮</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罗光春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去世</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公司员工情况" w:id="83"/>
      <w:bookmarkEnd w:id="83"/>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spacing w:line="273" w:lineRule="auto" w:before="0"/>
        <w:ind w:left="512" w:right="4508" w:hanging="359"/>
        <w:jc w:val="left"/>
        <w:rPr>
          <w:rFonts w:ascii="宋体" w:hAnsi="宋体" w:cs="宋体" w:eastAsia="宋体" w:hint="default"/>
          <w:sz w:val="21"/>
          <w:szCs w:val="21"/>
        </w:rPr>
      </w:pPr>
      <w:r>
        <w:rPr>
          <w:rFonts w:ascii="宋体" w:hAnsi="宋体" w:cs="宋体" w:eastAsia="宋体" w:hint="default"/>
          <w:b/>
          <w:bCs/>
          <w:sz w:val="21"/>
          <w:szCs w:val="21"/>
        </w:rPr>
        <w:t>（一）人员情况</w:t>
      </w:r>
      <w:r>
        <w:rPr>
          <w:rFonts w:ascii="宋体" w:hAnsi="宋体" w:cs="宋体" w:eastAsia="宋体" w:hint="default"/>
          <w:b/>
          <w:bCs/>
          <w:w w:val="99"/>
          <w:sz w:val="21"/>
          <w:szCs w:val="21"/>
        </w:rPr>
        <w:t> </w:t>
      </w:r>
      <w:r>
        <w:rPr>
          <w:rFonts w:ascii="宋体" w:hAnsi="宋体" w:cs="宋体" w:eastAsia="宋体" w:hint="default"/>
          <w:b/>
          <w:bCs/>
          <w:sz w:val="21"/>
          <w:szCs w:val="21"/>
        </w:rPr>
        <w:t>在职员工的数量</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日，公司员工总人数为</w:t>
      </w:r>
      <w:r>
        <w:rPr>
          <w:rFonts w:ascii="Times New Roman" w:hAnsi="Times New Roman" w:cs="Times New Roman" w:eastAsia="Times New Roman" w:hint="default"/>
          <w:sz w:val="21"/>
          <w:szCs w:val="21"/>
        </w:rPr>
        <w:t>1353</w:t>
      </w:r>
      <w:r>
        <w:rPr>
          <w:rFonts w:ascii="宋体" w:hAnsi="宋体" w:cs="宋体" w:eastAsia="宋体" w:hint="default"/>
          <w:sz w:val="21"/>
          <w:szCs w:val="21"/>
        </w:rPr>
        <w:t>人。</w:t>
      </w:r>
    </w:p>
    <w:p>
      <w:pPr>
        <w:spacing w:before="29"/>
        <w:ind w:left="21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专业构成：</w:t>
      </w:r>
      <w:r>
        <w:rPr>
          <w:rFonts w:ascii="宋体" w:hAnsi="宋体" w:cs="宋体" w:eastAsia="宋体" w:hint="default"/>
          <w:sz w:val="21"/>
          <w:szCs w:val="21"/>
        </w:rPr>
      </w:r>
    </w:p>
    <w:p>
      <w:pPr>
        <w:spacing w:line="240" w:lineRule="auto" w:before="5"/>
        <w:rPr>
          <w:rFonts w:ascii="宋体" w:hAnsi="宋体" w:cs="宋体" w:eastAsia="宋体" w:hint="default"/>
          <w:b/>
          <w:bCs/>
          <w:sz w:val="13"/>
          <w:szCs w:val="13"/>
        </w:rPr>
      </w:pPr>
    </w:p>
    <w:p>
      <w:pPr>
        <w:spacing w:line="3886" w:lineRule="exact"/>
        <w:ind w:left="2394"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206023" cy="2468118"/>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206023" cy="2468118"/>
                    </a:xfrm>
                    <a:prstGeom prst="rect">
                      <a:avLst/>
                    </a:prstGeom>
                  </pic:spPr>
                </pic:pic>
              </a:graphicData>
            </a:graphic>
          </wp:inline>
        </w:drawing>
      </w:r>
      <w:r>
        <w:rPr>
          <w:rFonts w:ascii="宋体" w:hAnsi="宋体" w:cs="宋体" w:eastAsia="宋体" w:hint="default"/>
          <w:position w:val="-77"/>
          <w:sz w:val="20"/>
          <w:szCs w:val="20"/>
        </w:rPr>
      </w:r>
    </w:p>
    <w:p>
      <w:pPr>
        <w:spacing w:before="113"/>
        <w:ind w:left="21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b/>
          <w:bCs/>
          <w:sz w:val="21"/>
          <w:szCs w:val="21"/>
        </w:rPr>
        <w:t>教育程度：</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line="4231" w:lineRule="exact"/>
        <w:ind w:left="15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930477" cy="2686811"/>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4930477" cy="2686811"/>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8"/>
        <w:rPr>
          <w:rFonts w:ascii="宋体" w:hAnsi="宋体" w:cs="宋体" w:eastAsia="宋体" w:hint="default"/>
          <w:b/>
          <w:bCs/>
          <w:sz w:val="4"/>
          <w:szCs w:val="4"/>
        </w:rPr>
      </w:pPr>
    </w:p>
    <w:p>
      <w:pPr>
        <w:pStyle w:val="Heading3"/>
        <w:spacing w:line="240" w:lineRule="auto" w:before="35"/>
        <w:ind w:left="213" w:right="0"/>
        <w:jc w:val="left"/>
        <w:rPr>
          <w:b w:val="0"/>
          <w:bCs w:val="0"/>
        </w:rPr>
      </w:pPr>
      <w:r>
        <w:rPr>
          <w:rFonts w:ascii="宋体" w:hAnsi="宋体" w:cs="宋体" w:eastAsia="宋体" w:hint="default"/>
          <w:b w:val="0"/>
          <w:bCs w:val="0"/>
        </w:rPr>
        <w:t>·</w:t>
      </w:r>
      <w:r>
        <w:rPr>
          <w:rFonts w:ascii="宋体" w:hAnsi="宋体" w:cs="宋体" w:eastAsia="宋体" w:hint="default"/>
          <w:b w:val="0"/>
          <w:bCs w:val="0"/>
          <w:spacing w:val="41"/>
        </w:rPr>
        <w:t> </w:t>
      </w:r>
      <w:r>
        <w:rPr/>
        <w:t>公司没有需要承担费用的离退休员工。</w:t>
      </w:r>
      <w:r>
        <w:rPr>
          <w:b w:val="0"/>
          <w:bCs w:val="0"/>
        </w:rPr>
      </w:r>
    </w:p>
    <w:p>
      <w:pPr>
        <w:pStyle w:val="BodyText"/>
        <w:spacing w:line="357" w:lineRule="auto" w:before="103"/>
        <w:ind w:left="513" w:right="0" w:hanging="360"/>
        <w:jc w:val="left"/>
      </w:pPr>
      <w:r>
        <w:rPr>
          <w:rFonts w:ascii="宋体" w:hAnsi="宋体" w:cs="宋体" w:eastAsia="宋体" w:hint="default"/>
          <w:b/>
          <w:bCs/>
        </w:rPr>
        <w:t>（二）员工薪酬政策</w:t>
      </w:r>
      <w:r>
        <w:rPr>
          <w:rFonts w:ascii="宋体" w:hAnsi="宋体" w:cs="宋体" w:eastAsia="宋体" w:hint="default"/>
          <w:b/>
          <w:bCs/>
          <w:w w:val="99"/>
        </w:rPr>
        <w:t> </w:t>
      </w:r>
      <w:r>
        <w:rPr>
          <w:spacing w:val="-2"/>
        </w:rPr>
        <w:t>公司严格遵守《劳动合同法》等相关法律法规的基础上，遵循各尽其能、按劳分配的原则，坚持员工薪酬水平与公司经</w:t>
      </w:r>
    </w:p>
    <w:p>
      <w:pPr>
        <w:pStyle w:val="BodyText"/>
        <w:spacing w:line="224" w:lineRule="exact"/>
        <w:ind w:right="0"/>
        <w:jc w:val="left"/>
      </w:pPr>
      <w:r>
        <w:rPr/>
        <w:t>济效益同步增长的原则制定薪酬制度，按照员工岗位责任、岗位技能、工作绩效、定岗地区等综合因素设计员工的薪酬，适</w:t>
      </w:r>
    </w:p>
    <w:p>
      <w:pPr>
        <w:pStyle w:val="BodyText"/>
        <w:spacing w:line="319" w:lineRule="auto" w:before="76"/>
        <w:ind w:right="0"/>
        <w:jc w:val="left"/>
      </w:pPr>
      <w:r>
        <w:rPr>
          <w:spacing w:val="-2"/>
        </w:rPr>
        <w:t>当向岗位风险大、岗位责任重、技术含量高以及创新型岗位倾斜。同时公司参考同行业薪酬水平，兼顾公司的实际情况，适</w:t>
      </w:r>
      <w:r>
        <w:rPr>
          <w:spacing w:val="-66"/>
        </w:rPr>
        <w:t> </w:t>
      </w:r>
      <w:r>
        <w:rPr>
          <w:spacing w:val="-66"/>
        </w:rPr>
      </w:r>
      <w:r>
        <w:rPr>
          <w:spacing w:val="-4"/>
        </w:rPr>
        <w:t>时进行薪酬调整。通过公平且有竞争力的薪酬体系及绩效考核体系，充分调动员工的工作积极性，有效提升了公司整体绩效，</w:t>
      </w:r>
      <w:r>
        <w:rPr>
          <w:spacing w:val="-43"/>
        </w:rPr>
        <w:t> </w:t>
      </w:r>
      <w:r>
        <w:rPr>
          <w:spacing w:val="-43"/>
        </w:rPr>
      </w:r>
      <w:r>
        <w:rPr/>
        <w:t>保留和吸引了优秀人才，为公司的战略发展提供了人力资源保障。</w:t>
      </w:r>
    </w:p>
    <w:p>
      <w:pPr>
        <w:spacing w:before="56"/>
        <w:ind w:left="153" w:right="0" w:firstLine="0"/>
        <w:jc w:val="left"/>
        <w:rPr>
          <w:rFonts w:ascii="宋体" w:hAnsi="宋体" w:cs="宋体" w:eastAsia="宋体" w:hint="default"/>
          <w:sz w:val="18"/>
          <w:szCs w:val="18"/>
        </w:rPr>
      </w:pPr>
      <w:r>
        <w:rPr>
          <w:rFonts w:ascii="宋体" w:hAnsi="宋体" w:cs="宋体" w:eastAsia="宋体" w:hint="default"/>
          <w:b/>
          <w:bCs/>
          <w:sz w:val="18"/>
          <w:szCs w:val="18"/>
        </w:rPr>
        <w:t>（三）培训计划</w:t>
      </w:r>
      <w:r>
        <w:rPr>
          <w:rFonts w:ascii="宋体" w:hAnsi="宋体" w:cs="宋体" w:eastAsia="宋体" w:hint="default"/>
          <w:sz w:val="18"/>
          <w:szCs w:val="18"/>
        </w:rPr>
      </w:r>
    </w:p>
    <w:p>
      <w:pPr>
        <w:pStyle w:val="BodyText"/>
        <w:spacing w:line="319" w:lineRule="auto" w:before="116"/>
        <w:ind w:right="1033" w:firstLine="420"/>
        <w:jc w:val="left"/>
      </w:pPr>
      <w:r>
        <w:rPr/>
        <w:t>公司十分重视员工培训，人力资源部每年根据公司发展战略、岗位任职要求、企业文化和公司资质，会同业务部门分 析、制定培训计划，利用内部讲师资源，同时借助第三方外部资源，制定针对性强、专业性高的培训计划，包括但不限于： </w:t>
      </w:r>
      <w:r>
        <w:rPr>
          <w:spacing w:val="-2"/>
        </w:rPr>
        <w:t>专业技术、岗位操作技能、管理提升、资质晋升、安全、保密、企业文化等内容。报告期内，各部门严格执行年初制定的培</w:t>
      </w:r>
      <w:r>
        <w:rPr>
          <w:spacing w:val="-67"/>
        </w:rPr>
        <w:t> </w:t>
      </w:r>
      <w:r>
        <w:rPr>
          <w:spacing w:val="-67"/>
        </w:rPr>
      </w:r>
      <w:r>
        <w:rPr>
          <w:spacing w:val="-2"/>
        </w:rPr>
        <w:t>训计划，并根据工作过程中遇到的问题或困难，及时开展专题培训。通过培训，员工整体职业素质、专业技能提高，实现了</w:t>
      </w:r>
      <w:r>
        <w:rPr>
          <w:spacing w:val="-68"/>
        </w:rPr>
        <w:t> </w:t>
      </w:r>
      <w:r>
        <w:rPr>
          <w:spacing w:val="-68"/>
        </w:rPr>
      </w:r>
      <w:r>
        <w:rPr/>
        <w:t>自身职业能力提升和公司可持续发展的共赢。</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221"/>
        <w:jc w:val="center"/>
        <w:rPr>
          <w:b w:val="0"/>
          <w:bCs w:val="0"/>
        </w:rPr>
      </w:pPr>
      <w:bookmarkStart w:name="第九节 公司治理" w:id="84"/>
      <w:bookmarkEnd w:id="84"/>
      <w:r>
        <w:rPr>
          <w:b w:val="0"/>
          <w:bCs w:val="0"/>
        </w:rPr>
      </w:r>
      <w:bookmarkStart w:name="_bookmark8" w:id="85"/>
      <w:bookmarkEnd w:id="8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86"/>
      <w:bookmarkEnd w:id="86"/>
      <w:r>
        <w:rPr>
          <w:b w:val="0"/>
          <w:bCs w:val="0"/>
        </w:rPr>
      </w: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报告期内，公司严格按照《公司法》、《证券法》、《上市公司治理准则》、深圳证券交易所《股票上市规则》、《中</w:t>
      </w:r>
      <w:r>
        <w:rPr/>
        <w:t> </w:t>
      </w:r>
      <w:r>
        <w:rPr>
          <w:spacing w:val="-2"/>
        </w:rPr>
        <w:t>小企业板上市公司规范运作指引》等有关法律法规和规范性指引的要求，不断完善公司治理结构，建立健全内部管理和控制</w:t>
      </w:r>
      <w:r>
        <w:rPr>
          <w:spacing w:val="-66"/>
        </w:rPr>
        <w:t> </w:t>
      </w:r>
      <w:r>
        <w:rPr>
          <w:spacing w:val="-66"/>
        </w:rPr>
      </w:r>
      <w:r>
        <w:rPr/>
        <w:t>制度，加强运作规范，公司治理的实际情况符合中国证监会有关上市公司治理的规范性文件的要求。</w:t>
      </w:r>
    </w:p>
    <w:p>
      <w:pPr>
        <w:pStyle w:val="BodyText"/>
        <w:spacing w:line="316" w:lineRule="auto" w:before="19"/>
        <w:ind w:left="444" w:right="0" w:firstLine="69"/>
        <w:jc w:val="left"/>
      </w:pPr>
      <w:r>
        <w:rPr/>
        <w:t>（一）股东和股东大会 </w:t>
      </w:r>
      <w:r>
        <w:rPr>
          <w:spacing w:val="-1"/>
        </w:rPr>
        <w:t>公司严格按照《公司法》、《上市公司股东大会规则》、《公司章程》和《公司股东大会议事规则》的规定和要求，规</w:t>
      </w:r>
    </w:p>
    <w:p>
      <w:pPr>
        <w:pStyle w:val="BodyText"/>
        <w:spacing w:line="316" w:lineRule="auto" w:before="19"/>
        <w:ind w:right="1133"/>
        <w:jc w:val="both"/>
      </w:pPr>
      <w:r>
        <w:rPr>
          <w:spacing w:val="-2"/>
        </w:rPr>
        <w:t>范股东大会的召集、召开、表决程序，能够平等对待所有股东，确保全体股东特别是中小股东享有平等地位，充分行使自己</w:t>
      </w:r>
      <w:r>
        <w:rPr>
          <w:spacing w:val="-66"/>
        </w:rPr>
        <w:t> </w:t>
      </w:r>
      <w:r>
        <w:rPr>
          <w:spacing w:val="-66"/>
        </w:rPr>
      </w:r>
      <w:r>
        <w:rPr/>
        <w:t>的权利。</w:t>
      </w:r>
    </w:p>
    <w:p>
      <w:pPr>
        <w:pStyle w:val="BodyText"/>
        <w:spacing w:line="316" w:lineRule="auto" w:before="19"/>
        <w:ind w:left="444" w:right="0"/>
        <w:jc w:val="left"/>
      </w:pPr>
      <w:r>
        <w:rPr/>
        <w:t>（二）公司与控股股东、实际控制人 </w:t>
      </w:r>
      <w:r>
        <w:rPr>
          <w:spacing w:val="-1"/>
        </w:rPr>
        <w:t>报告期内公司控股股东及实际控制人行为规范，能依法行使其权利并承担相应的义务，没有超越公司股东大会直接或间</w:t>
      </w:r>
    </w:p>
    <w:p>
      <w:pPr>
        <w:pStyle w:val="BodyText"/>
        <w:spacing w:line="316" w:lineRule="auto" w:before="19"/>
        <w:ind w:right="1133"/>
        <w:jc w:val="both"/>
      </w:pPr>
      <w:r>
        <w:rPr>
          <w:spacing w:val="-2"/>
        </w:rPr>
        <w:t>接干预公司的决策和生产经营活动。公司在业务、人员、资产、机构、财务等方面完全独立，公司董事会、监事会和内部机</w:t>
      </w:r>
      <w:r>
        <w:rPr>
          <w:spacing w:val="-71"/>
        </w:rPr>
        <w:t> </w:t>
      </w:r>
      <w:r>
        <w:rPr>
          <w:spacing w:val="-71"/>
        </w:rPr>
      </w:r>
      <w:r>
        <w:rPr/>
        <w:t>构能够独立运作。</w:t>
      </w:r>
    </w:p>
    <w:p>
      <w:pPr>
        <w:pStyle w:val="BodyText"/>
        <w:spacing w:line="316" w:lineRule="auto" w:before="19"/>
        <w:ind w:left="444" w:right="0"/>
        <w:jc w:val="left"/>
      </w:pPr>
      <w:r>
        <w:rPr/>
        <w:t>（三）董事与董事会 </w:t>
      </w:r>
      <w:r>
        <w:rPr>
          <w:spacing w:val="-1"/>
        </w:rPr>
        <w:t>公司按照《公司法》、《公司章程》及《董事会议事规则》等的规定和要求选举董事，报告期内公司董事会有董事</w:t>
      </w:r>
      <w:r>
        <w:rPr>
          <w:rFonts w:ascii="Times New Roman" w:hAnsi="Times New Roman" w:cs="Times New Roman" w:eastAsia="Times New Roman" w:hint="default"/>
          <w:spacing w:val="-1"/>
        </w:rPr>
        <w:t>9</w:t>
      </w:r>
      <w:r>
        <w:rPr>
          <w:spacing w:val="-1"/>
        </w:rPr>
        <w:t>名，</w:t>
      </w:r>
    </w:p>
    <w:p>
      <w:pPr>
        <w:pStyle w:val="BodyText"/>
        <w:spacing w:line="309" w:lineRule="auto"/>
        <w:ind w:right="1131"/>
        <w:jc w:val="both"/>
      </w:pPr>
      <w:r>
        <w:rPr/>
        <w:t>其中独立董事</w:t>
      </w:r>
      <w:r>
        <w:rPr>
          <w:rFonts w:ascii="Times New Roman" w:hAnsi="Times New Roman" w:cs="Times New Roman" w:eastAsia="Times New Roman" w:hint="default"/>
        </w:rPr>
        <w:t>3</w:t>
      </w:r>
      <w:r>
        <w:rPr/>
        <w:t>名，达到全体董事的三分之一。公司全体董事能够按照法律、法规以及《规范运作指引》、公司《董事会议</w:t>
      </w:r>
      <w:r>
        <w:rPr>
          <w:spacing w:val="-83"/>
        </w:rPr>
        <w:t> </w:t>
      </w:r>
      <w:r>
        <w:rPr>
          <w:spacing w:val="-83"/>
        </w:rPr>
      </w:r>
      <w:r>
        <w:rPr>
          <w:spacing w:val="-2"/>
        </w:rPr>
        <w:t>事规则》、《独立董事工作制度》等的规定开展工作，认真出席董事会和股东大会，积极参加培训，学习有关法律法规，以</w:t>
      </w:r>
      <w:r>
        <w:rPr>
          <w:spacing w:val="-67"/>
        </w:rPr>
        <w:t> </w:t>
      </w:r>
      <w:r>
        <w:rPr>
          <w:spacing w:val="-67"/>
        </w:rPr>
      </w:r>
      <w:r>
        <w:rPr/>
        <w:t>诚信、勤勉、尽责的态度认真履行董事职责。</w:t>
      </w:r>
    </w:p>
    <w:p>
      <w:pPr>
        <w:pStyle w:val="BodyText"/>
        <w:spacing w:line="316" w:lineRule="auto" w:before="24"/>
        <w:ind w:right="0" w:firstLine="578"/>
        <w:jc w:val="left"/>
      </w:pPr>
      <w:r>
        <w:rPr>
          <w:spacing w:val="-1"/>
        </w:rPr>
        <w:t>公司董事会下设审计委员会、薪酬与考核委员会、提名委员会和战略委员会四个专门委员会，在促进公司规范运作、</w:t>
      </w:r>
      <w:r>
        <w:rPr/>
        <w:t> 健康持续发展等方面发挥了重要的作用。</w:t>
      </w:r>
    </w:p>
    <w:p>
      <w:pPr>
        <w:pStyle w:val="BodyText"/>
        <w:spacing w:line="316" w:lineRule="auto" w:before="19"/>
        <w:ind w:left="444" w:right="0"/>
        <w:jc w:val="left"/>
      </w:pPr>
      <w:r>
        <w:rPr/>
        <w:t>（四）监事与监事会 公司严格按照法律、法规及《公司章程》、《监事会议事规则》等相关规定选举监事，公司监事会现有</w:t>
      </w:r>
      <w:r>
        <w:rPr>
          <w:rFonts w:ascii="Times New Roman" w:hAnsi="Times New Roman" w:cs="Times New Roman" w:eastAsia="Times New Roman" w:hint="default"/>
        </w:rPr>
        <w:t>3</w:t>
      </w:r>
      <w:r>
        <w:rPr/>
        <w:t>名监事，其中</w:t>
      </w:r>
    </w:p>
    <w:p>
      <w:pPr>
        <w:pStyle w:val="BodyText"/>
        <w:spacing w:line="309" w:lineRule="auto"/>
        <w:ind w:right="1033"/>
        <w:jc w:val="left"/>
      </w:pPr>
      <w:r>
        <w:rPr/>
        <w:t>职工代表监事</w:t>
      </w:r>
      <w:r>
        <w:rPr>
          <w:rFonts w:ascii="Times New Roman" w:hAnsi="Times New Roman" w:cs="Times New Roman" w:eastAsia="Times New Roman" w:hint="default"/>
        </w:rPr>
        <w:t>1</w:t>
      </w:r>
      <w:r>
        <w:rPr/>
        <w:t>人，由公司职工代表大会选举产生。公司全体监事能够按照法律、法规和《监事会议事规则》等的要求，从</w:t>
      </w:r>
      <w:r>
        <w:rPr>
          <w:spacing w:val="-83"/>
        </w:rPr>
        <w:t> </w:t>
      </w:r>
      <w:r>
        <w:rPr>
          <w:spacing w:val="-83"/>
        </w:rPr>
      </w:r>
      <w:r>
        <w:rPr/>
        <w:t>保护股东利益出发，认真履行职责，对公司财务以及公司董事、其他高级管理人员履行职责的合法合规性进行监督，忠实、 勤勉地维护公司及股东的合法权益。</w:t>
      </w:r>
    </w:p>
    <w:p>
      <w:pPr>
        <w:pStyle w:val="BodyText"/>
        <w:spacing w:line="316" w:lineRule="auto" w:before="24"/>
        <w:ind w:left="513" w:right="0" w:hanging="70"/>
        <w:jc w:val="left"/>
      </w:pPr>
      <w:r>
        <w:rPr/>
        <w:t>（五）利益相关者 </w:t>
      </w:r>
      <w:r>
        <w:rPr>
          <w:spacing w:val="-2"/>
        </w:rPr>
        <w:t>公司充分尊重和维护相关利益者的合法权益，实现社会、股东、公司、员工等各方面利益的协调平衡，诚信对待供应商</w:t>
      </w:r>
    </w:p>
    <w:p>
      <w:pPr>
        <w:pStyle w:val="BodyText"/>
        <w:spacing w:line="240" w:lineRule="auto" w:before="19"/>
        <w:ind w:right="0"/>
        <w:jc w:val="both"/>
      </w:pPr>
      <w:r>
        <w:rPr/>
        <w:t>和客户，切实维护职工的合法权益，重视社会责任，共同推动公司持续、健康、快速发展。</w:t>
      </w:r>
    </w:p>
    <w:p>
      <w:pPr>
        <w:pStyle w:val="BodyText"/>
        <w:spacing w:line="316" w:lineRule="auto" w:before="76"/>
        <w:ind w:left="513" w:right="1118"/>
        <w:jc w:val="left"/>
      </w:pPr>
      <w:r>
        <w:rPr/>
        <w:t>（六）信息披露 公司指定《证券时报》和巨潮资讯网（</w:t>
      </w:r>
      <w:hyperlink r:id="rId12">
        <w:r>
          <w:rPr>
            <w:rFonts w:ascii="Times New Roman" w:hAnsi="Times New Roman" w:cs="Times New Roman" w:eastAsia="Times New Roman" w:hint="default"/>
          </w:rPr>
          <w:t>http://www.cninfo.com.cn</w:t>
        </w:r>
      </w:hyperlink>
      <w:r>
        <w:rPr/>
        <w:t>）为公司信息披露的指定报纸和网站，还通过深圳证券</w:t>
      </w:r>
    </w:p>
    <w:p>
      <w:pPr>
        <w:pStyle w:val="BodyText"/>
        <w:spacing w:line="316" w:lineRule="auto"/>
        <w:ind w:right="1130"/>
        <w:jc w:val="both"/>
      </w:pPr>
      <w:r>
        <w:rPr>
          <w:spacing w:val="-2"/>
        </w:rPr>
        <w:t>交易所互动平台、电话和接待来访等方式加强与投资者的沟通与交流；公司严格按照有关法律法规及公司制定的《信息披露</w:t>
      </w:r>
      <w:r>
        <w:rPr>
          <w:spacing w:val="-66"/>
        </w:rPr>
        <w:t> </w:t>
      </w:r>
      <w:r>
        <w:rPr>
          <w:spacing w:val="-66"/>
        </w:rPr>
      </w:r>
      <w:r>
        <w:rPr>
          <w:spacing w:val="-2"/>
        </w:rPr>
        <w:t>管理制度》、《投资者关系管理制度》、《内幕信息知情人登记管理制度》、《外部单位报送信息管理制度》等的要求，真</w:t>
      </w:r>
      <w:r>
        <w:rPr>
          <w:spacing w:val="-69"/>
        </w:rPr>
        <w:t> </w:t>
      </w:r>
      <w:r>
        <w:rPr>
          <w:spacing w:val="-69"/>
        </w:rPr>
      </w:r>
      <w:r>
        <w:rPr/>
        <w:t>实、准确、完整、及时的披露有关信息，确保所有股东有平等的机会获得信息。</w:t>
      </w:r>
    </w:p>
    <w:p>
      <w:pPr>
        <w:pStyle w:val="BodyText"/>
        <w:spacing w:line="316" w:lineRule="auto" w:before="19"/>
        <w:ind w:left="513" w:right="0"/>
        <w:jc w:val="left"/>
      </w:pPr>
      <w:r>
        <w:rPr/>
        <w:t>（七）考核与激励 </w:t>
      </w:r>
      <w:r>
        <w:rPr>
          <w:spacing w:val="-2"/>
        </w:rPr>
        <w:t>公司高级管理人员的聘任严格依据相关法律、法规及公司制度的规定，由董事会审议决定；依据公司《董事会薪酬与考</w:t>
      </w:r>
    </w:p>
    <w:p>
      <w:pPr>
        <w:pStyle w:val="BodyText"/>
        <w:spacing w:line="240" w:lineRule="auto" w:before="19"/>
        <w:ind w:right="0"/>
        <w:jc w:val="both"/>
      </w:pPr>
      <w:r>
        <w:rPr/>
        <w:t>核委员会工作制度》，高级管理人员薪酬由薪酬与考核委员会考核，并报经董事会批准后授权实施。</w:t>
      </w:r>
    </w:p>
    <w:p>
      <w:pPr>
        <w:pStyle w:val="BodyText"/>
        <w:spacing w:line="316" w:lineRule="auto" w:before="77"/>
        <w:ind w:left="444" w:right="0" w:firstLine="69"/>
        <w:jc w:val="left"/>
      </w:pPr>
      <w:r>
        <w:rPr/>
        <w:t>（八）内部审计 </w:t>
      </w:r>
      <w:r>
        <w:rPr>
          <w:spacing w:val="-1"/>
        </w:rPr>
        <w:t>公司设内部审计部，配置专职人员，负责公司内部审计工作，并直接向审计委员会汇报工作。在公司董事会的监督与指</w:t>
      </w:r>
    </w:p>
    <w:p>
      <w:pPr>
        <w:pStyle w:val="BodyText"/>
        <w:spacing w:line="316" w:lineRule="auto" w:before="19"/>
        <w:ind w:left="154" w:right="1043"/>
        <w:jc w:val="both"/>
      </w:pPr>
      <w:r>
        <w:rPr>
          <w:spacing w:val="-4"/>
        </w:rPr>
        <w:t>导下，内部审计部依法独立开展公司内部审计、督查工作，采取定期与不定期检查方式，对公司和分子公司财务、重大项目、</w:t>
      </w:r>
      <w:r>
        <w:rPr>
          <w:spacing w:val="-44"/>
        </w:rPr>
        <w:t> </w:t>
      </w:r>
      <w:r>
        <w:rPr>
          <w:spacing w:val="-44"/>
        </w:rPr>
      </w:r>
      <w:r>
        <w:rPr/>
        <w:t>生产经营活动等进行审计、核查，对公司和分子公司内部管理体系、内部控制的情况进行监督检查。</w:t>
      </w:r>
    </w:p>
    <w:p>
      <w:pPr>
        <w:spacing w:after="0" w:line="316"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5533"/>
        <w:jc w:val="left"/>
      </w:pPr>
      <w:r>
        <w:rPr/>
        <w:t>公司治理与《公司法》和中国证监会相关规定的要求是否存在差异 公司治理与《公司法》和中国证监会相关规定的要求是否存在差异</w:t>
      </w:r>
    </w:p>
    <w:p>
      <w:pPr>
        <w:pStyle w:val="BodyText"/>
        <w:spacing w:line="338" w:lineRule="auto" w:before="29"/>
        <w:ind w:right="5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公司治理与《公司法》和中国证监会相关规定的要求不存在差异。</w:t>
      </w:r>
    </w:p>
    <w:p>
      <w:pPr>
        <w:pStyle w:val="BodyText"/>
        <w:spacing w:line="357" w:lineRule="auto" w:before="42"/>
        <w:ind w:left="424" w:right="1048" w:hanging="270"/>
        <w:jc w:val="left"/>
      </w:pPr>
      <w:r>
        <w:rPr/>
        <w:t>公司治理专项活动开展情况以及内幕信息知情人登记管理制度的制定、实施情况 </w:t>
      </w:r>
      <w:r>
        <w:rPr>
          <w:spacing w:val="-2"/>
        </w:rPr>
        <w:t>公司第五届董事会第六次会议审议通过了《内幕信息知情人登记管理制度》，明确了内幕信息、内幕信息知情人的范围、</w:t>
      </w:r>
    </w:p>
    <w:p>
      <w:pPr>
        <w:pStyle w:val="BodyText"/>
        <w:spacing w:line="237" w:lineRule="exact"/>
        <w:ind w:left="154" w:right="0"/>
        <w:jc w:val="left"/>
      </w:pPr>
      <w:r>
        <w:rPr/>
        <w:t>内幕信息知情人管理与登记备案</w:t>
      </w:r>
      <w:r>
        <w:rPr>
          <w:spacing w:val="-90"/>
        </w:rPr>
        <w:t>、</w:t>
      </w:r>
      <w:r>
        <w:rPr/>
        <w:t>保密制度及责任追究</w:t>
      </w:r>
      <w:r>
        <w:rPr>
          <w:spacing w:val="-90"/>
        </w:rPr>
        <w:t>，</w:t>
      </w:r>
      <w:r>
        <w:rPr/>
        <w:t>该制度已于</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日在巨潮资讯</w:t>
      </w:r>
      <w:r>
        <w:rPr>
          <w:spacing w:val="-90"/>
        </w:rPr>
        <w:t>网</w:t>
      </w:r>
      <w:r>
        <w:rPr/>
        <w:t>（</w:t>
      </w:r>
      <w:hyperlink r:id="rId12">
        <w:r>
          <w:rPr>
            <w:rFonts w:ascii="Times New Roman" w:hAnsi="Times New Roman" w:cs="Times New Roman" w:eastAsia="Times New Roman" w:hint="default"/>
          </w:rPr>
          <w:t>htt</w:t>
        </w:r>
        <w:r>
          <w:rPr>
            <w:rFonts w:ascii="Times New Roman" w:hAnsi="Times New Roman" w:cs="Times New Roman" w:eastAsia="Times New Roman" w:hint="default"/>
            <w:w w:val="99"/>
          </w:rPr>
          <w:t>p://w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spacing w:val="-13"/>
            <w:w w:val="99"/>
          </w:rPr>
          <w:t>w</w:t>
        </w:r>
        <w:r>
          <w:rPr>
            <w:rFonts w:ascii="Times New Roman" w:hAnsi="Times New Roman" w:cs="Times New Roman" w:eastAsia="Times New Roman" w:hint="default"/>
          </w:rPr>
          <w:t>.cninfo.c</w:t>
        </w:r>
        <w:r>
          <w:rPr>
            <w:rFonts w:ascii="Times New Roman" w:hAnsi="Times New Roman" w:cs="Times New Roman" w:eastAsia="Times New Roman" w:hint="default"/>
            <w:spacing w:val="-1"/>
          </w:rPr>
          <w:t>om</w:t>
        </w:r>
        <w:r>
          <w:rPr>
            <w:rFonts w:ascii="Times New Roman" w:hAnsi="Times New Roman" w:cs="Times New Roman" w:eastAsia="Times New Roman" w:hint="default"/>
          </w:rPr>
          <w:t>.c</w:t>
        </w:r>
        <w:r>
          <w:rPr>
            <w:rFonts w:ascii="Times New Roman" w:hAnsi="Times New Roman" w:cs="Times New Roman" w:eastAsia="Times New Roman" w:hint="default"/>
            <w:spacing w:val="1"/>
          </w:rPr>
          <w:t>n</w:t>
        </w:r>
      </w:hyperlink>
      <w:r>
        <w:rPr/>
        <w:t>）</w:t>
      </w:r>
    </w:p>
    <w:p>
      <w:pPr>
        <w:pStyle w:val="BodyText"/>
        <w:spacing w:line="240" w:lineRule="auto" w:before="64"/>
        <w:ind w:left="154" w:right="0"/>
        <w:jc w:val="left"/>
      </w:pPr>
      <w:r>
        <w:rPr/>
        <w:t>披露。</w:t>
      </w:r>
    </w:p>
    <w:p>
      <w:pPr>
        <w:pStyle w:val="BodyText"/>
        <w:spacing w:line="319" w:lineRule="auto" w:before="115"/>
        <w:ind w:left="154" w:right="1131" w:firstLine="360"/>
        <w:jc w:val="both"/>
      </w:pPr>
      <w:r>
        <w:rPr>
          <w:spacing w:val="-5"/>
        </w:rPr>
        <w:t>报告期内，公司严格按照《深圳证券交易所中小企业板上市公司规范运作指引》、《内幕信息知情人登记管理制度》的要</w:t>
      </w:r>
      <w:r>
        <w:rPr/>
        <w:t> </w:t>
      </w:r>
      <w:r>
        <w:rPr>
          <w:spacing w:val="-2"/>
        </w:rPr>
        <w:t>求，做好内幕信息的保密工作，在定期报告和重大事项披露前，做好内幕信息知情人登记工作，同时不定期对内幕信息知情</w:t>
      </w:r>
      <w:r>
        <w:rPr>
          <w:spacing w:val="-66"/>
        </w:rPr>
        <w:t> </w:t>
      </w:r>
      <w:r>
        <w:rPr>
          <w:spacing w:val="-66"/>
        </w:rPr>
      </w:r>
      <w:r>
        <w:rPr>
          <w:spacing w:val="-2"/>
        </w:rPr>
        <w:t>人进行培训和保密提示，有效地防范了泄露内幕信息及利用内幕信息交易等行为。未发现有公司董事、监事、高级管理人员</w:t>
      </w:r>
      <w:r>
        <w:rPr>
          <w:spacing w:val="-66"/>
        </w:rPr>
        <w:t> </w:t>
      </w:r>
      <w:r>
        <w:rPr>
          <w:spacing w:val="-66"/>
        </w:rPr>
      </w:r>
      <w:r>
        <w:rPr>
          <w:spacing w:val="-2"/>
        </w:rPr>
        <w:t>利用内幕信息买卖公司股票的情况，亦未发先有短线交易公司股票的行为。公司董事、监事、高级管理人员及相关知情人员</w:t>
      </w:r>
      <w:r>
        <w:rPr>
          <w:spacing w:val="-66"/>
        </w:rPr>
        <w:t> </w:t>
      </w:r>
      <w:r>
        <w:rPr>
          <w:spacing w:val="-66"/>
        </w:rPr>
      </w:r>
      <w:r>
        <w:rPr/>
        <w:t>未有因涉嫌内幕交易被监管部门采取监管措施或行政处罚的情况。</w:t>
      </w:r>
    </w:p>
    <w:p>
      <w:pPr>
        <w:spacing w:line="240" w:lineRule="auto" w:before="6"/>
        <w:rPr>
          <w:rFonts w:ascii="宋体" w:hAnsi="宋体" w:cs="宋体" w:eastAsia="宋体" w:hint="default"/>
          <w:sz w:val="20"/>
          <w:szCs w:val="20"/>
        </w:rPr>
      </w:pPr>
    </w:p>
    <w:p>
      <w:pPr>
        <w:pStyle w:val="Heading2"/>
        <w:spacing w:line="240" w:lineRule="auto"/>
        <w:ind w:left="154" w:right="0"/>
        <w:jc w:val="left"/>
        <w:rPr>
          <w:b w:val="0"/>
          <w:bCs w:val="0"/>
        </w:rPr>
      </w:pPr>
      <w:bookmarkStart w:name="二、报告期内召开的年度股东大会和临时股东大会的有关情况" w:id="87"/>
      <w:bookmarkEnd w:id="87"/>
      <w:r>
        <w:rPr>
          <w:b w:val="0"/>
          <w:bCs w:val="0"/>
        </w:rPr>
      </w: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年度股东大会情况" w:id="88"/>
      <w:bookmarkEnd w:id="88"/>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ind w:left="0" w:right="1148"/>
        <w:jc w:val="right"/>
      </w:pPr>
      <w:r>
        <w:rPr/>
        <w:pict>
          <v:shape style="position:absolute;margin-left:56.459999pt;margin-top:-85.568268pt;width:479.1pt;height:165.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418"/>
                    <w:gridCol w:w="2693"/>
                    <w:gridCol w:w="991"/>
                    <w:gridCol w:w="1594"/>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2"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 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年度董事会工作报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年度监事会工</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作报告》</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财务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决算报告》</w:t>
                        </w: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年度</w:t>
                        </w:r>
                      </w:p>
                      <w:p>
                        <w:pPr>
                          <w:pStyle w:val="TableParagraph"/>
                          <w:spacing w:line="300" w:lineRule="auto" w:before="63"/>
                          <w:ind w:left="22" w:right="23"/>
                          <w:jc w:val="both"/>
                          <w:rPr>
                            <w:rFonts w:ascii="宋体" w:hAnsi="宋体" w:cs="宋体" w:eastAsia="宋体" w:hint="default"/>
                            <w:sz w:val="18"/>
                            <w:szCs w:val="18"/>
                          </w:rPr>
                        </w:pPr>
                        <w:r>
                          <w:rPr>
                            <w:rFonts w:ascii="宋体" w:hAnsi="宋体" w:cs="宋体" w:eastAsia="宋体" w:hint="default"/>
                            <w:spacing w:val="-9"/>
                            <w:sz w:val="18"/>
                            <w:szCs w:val="18"/>
                          </w:rPr>
                          <w:t>报告及摘要》</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r>
                          <w:rPr>
                            <w:rFonts w:ascii="宋体" w:hAnsi="宋体" w:cs="宋体" w:eastAsia="宋体" w:hint="default"/>
                            <w:spacing w:val="-88"/>
                            <w:sz w:val="18"/>
                            <w:szCs w:val="18"/>
                          </w:rPr>
                          <w:t> </w:t>
                        </w:r>
                        <w:r>
                          <w:rPr>
                            <w:rFonts w:ascii="宋体" w:hAnsi="宋体" w:cs="宋体" w:eastAsia="宋体" w:hint="default"/>
                            <w:spacing w:val="-10"/>
                            <w:sz w:val="18"/>
                            <w:szCs w:val="18"/>
                          </w:rPr>
                          <w:t>利润分配预案》</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、《关于公司日常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关联交易的议案》</w:t>
                        </w:r>
                        <w:r>
                          <w:rPr>
                            <w:rFonts w:ascii="Times New Roman" w:hAnsi="Times New Roman" w:cs="Times New Roman" w:eastAsia="Times New Roman" w:hint="default"/>
                            <w:spacing w:val="-10"/>
                            <w:sz w:val="18"/>
                            <w:szCs w:val="18"/>
                          </w:rPr>
                          <w:t>7</w:t>
                        </w:r>
                        <w:r>
                          <w:rPr>
                            <w:rFonts w:ascii="宋体" w:hAnsi="宋体" w:cs="宋体" w:eastAsia="宋体" w:hint="default"/>
                            <w:spacing w:val="-10"/>
                            <w:sz w:val="18"/>
                            <w:szCs w:val="18"/>
                          </w:rPr>
                          <w:t>、《关于修改公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司</w:t>
                        </w:r>
                        <w:r>
                          <w:rPr>
                            <w:rFonts w:ascii="Times New Roman" w:hAnsi="Times New Roman" w:cs="Times New Roman" w:eastAsia="Times New Roman" w:hint="default"/>
                            <w:spacing w:val="-11"/>
                            <w:sz w:val="18"/>
                            <w:szCs w:val="18"/>
                          </w:rPr>
                          <w:t>&lt;</w:t>
                        </w:r>
                        <w:r>
                          <w:rPr>
                            <w:rFonts w:ascii="宋体" w:hAnsi="宋体" w:cs="宋体" w:eastAsia="宋体" w:hint="default"/>
                            <w:spacing w:val="-11"/>
                            <w:sz w:val="18"/>
                            <w:szCs w:val="18"/>
                          </w:rPr>
                          <w:t>章程</w:t>
                        </w:r>
                        <w:r>
                          <w:rPr>
                            <w:rFonts w:ascii="Times New Roman" w:hAnsi="Times New Roman" w:cs="Times New Roman" w:eastAsia="Times New Roman" w:hint="default"/>
                            <w:spacing w:val="-11"/>
                            <w:sz w:val="18"/>
                            <w:szCs w:val="18"/>
                          </w:rPr>
                          <w:t>&gt;</w:t>
                        </w:r>
                        <w:r>
                          <w:rPr>
                            <w:rFonts w:ascii="宋体" w:hAnsi="宋体" w:cs="宋体" w:eastAsia="宋体" w:hint="default"/>
                            <w:spacing w:val="-11"/>
                            <w:sz w:val="18"/>
                            <w:szCs w:val="18"/>
                          </w:rPr>
                          <w:t>的议案》</w:t>
                        </w:r>
                        <w:r>
                          <w:rPr>
                            <w:rFonts w:ascii="Times New Roman" w:hAnsi="Times New Roman" w:cs="Times New Roman" w:eastAsia="Times New Roman" w:hint="default"/>
                            <w:spacing w:val="-11"/>
                            <w:sz w:val="18"/>
                            <w:szCs w:val="18"/>
                          </w:rPr>
                          <w:t>8</w:t>
                        </w:r>
                        <w:r>
                          <w:rPr>
                            <w:rFonts w:ascii="宋体" w:hAnsi="宋体" w:cs="宋体" w:eastAsia="宋体" w:hint="default"/>
                            <w:spacing w:val="-11"/>
                            <w:sz w:val="18"/>
                            <w:szCs w:val="18"/>
                          </w:rPr>
                          <w:t>、《关于续聘会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计师事务所的议案》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2014-25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w:t>
                        </w:r>
                      </w:p>
                      <w:p>
                        <w:pPr>
                          <w:pStyle w:val="TableParagraph"/>
                          <w:spacing w:line="319" w:lineRule="auto" w:before="63"/>
                          <w:ind w:left="23" w:right="119"/>
                          <w:jc w:val="left"/>
                          <w:rPr>
                            <w:rFonts w:ascii="宋体" w:hAnsi="宋体" w:cs="宋体" w:eastAsia="宋体" w:hint="default"/>
                            <w:sz w:val="18"/>
                            <w:szCs w:val="18"/>
                          </w:rPr>
                        </w:pPr>
                        <w:r>
                          <w:rPr>
                            <w:rFonts w:ascii="宋体" w:hAnsi="宋体" w:cs="宋体" w:eastAsia="宋体" w:hint="default"/>
                            <w:sz w:val="18"/>
                            <w:szCs w:val="18"/>
                          </w:rPr>
                          <w:t>股东大会决议公告 巨潮资讯网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35"/>
        <w:ind w:right="0"/>
        <w:jc w:val="left"/>
        <w:rPr>
          <w:b w:val="0"/>
          <w:bCs w:val="0"/>
        </w:rPr>
      </w:pPr>
      <w:bookmarkStart w:name="2、本报告期临时股东大会情况" w:id="89"/>
      <w:bookmarkEnd w:id="89"/>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3828"/>
        <w:gridCol w:w="850"/>
        <w:gridCol w:w="1026"/>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决议情况</w:t>
            </w:r>
          </w:p>
        </w:tc>
        <w:tc>
          <w:tcPr>
            <w:tcW w:w="1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48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、《关于成都卫士通信息产业股份有限公司符合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向特定对象非公开发行股份购买资产并募集配 </w:t>
            </w:r>
            <w:r>
              <w:rPr>
                <w:rFonts w:ascii="宋体" w:hAnsi="宋体" w:cs="宋体" w:eastAsia="宋体" w:hint="default"/>
                <w:spacing w:val="-5"/>
                <w:sz w:val="18"/>
                <w:szCs w:val="18"/>
              </w:rPr>
              <w:t>套资金条件的议案》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、《关于公司发行股份购买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资产并募集配套资金暨关联交易符合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关于规范 上市公司重大资产重组若干问题的规定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第四条 </w:t>
            </w:r>
            <w:r>
              <w:rPr>
                <w:rFonts w:ascii="宋体" w:hAnsi="宋体" w:cs="宋体" w:eastAsia="宋体" w:hint="default"/>
                <w:spacing w:val="-5"/>
                <w:sz w:val="18"/>
                <w:szCs w:val="18"/>
              </w:rPr>
              <w:t>规定的议案》</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、《关于公司发行股份购买资产并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募集配套资金暨关联交易符合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重组办法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 </w:t>
            </w:r>
            <w:r>
              <w:rPr>
                <w:rFonts w:ascii="宋体" w:hAnsi="宋体" w:cs="宋体" w:eastAsia="宋体" w:hint="default"/>
                <w:spacing w:val="-5"/>
                <w:sz w:val="18"/>
                <w:szCs w:val="18"/>
              </w:rPr>
              <w:t>十二条第二款规定的议案》</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、《关于公司发行股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份购买资产并募集配套资金暨关联交易的方案 </w:t>
            </w:r>
            <w:r>
              <w:rPr>
                <w:rFonts w:ascii="宋体" w:hAnsi="宋体" w:cs="宋体" w:eastAsia="宋体" w:hint="default"/>
                <w:spacing w:val="-5"/>
                <w:sz w:val="18"/>
                <w:szCs w:val="18"/>
              </w:rPr>
              <w:t>的议案》</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成都卫士通信息产业股份有限公</w:t>
            </w:r>
            <w:r>
              <w:rPr>
                <w:rFonts w:ascii="宋体" w:hAnsi="宋体" w:cs="宋体" w:eastAsia="宋体" w:hint="default"/>
                <w:spacing w:val="-70"/>
                <w:sz w:val="18"/>
                <w:szCs w:val="18"/>
              </w:rPr>
              <w:t> </w:t>
            </w:r>
            <w:r>
              <w:rPr>
                <w:rFonts w:ascii="宋体" w:hAnsi="宋体" w:cs="宋体" w:eastAsia="宋体" w:hint="default"/>
                <w:sz w:val="18"/>
                <w:szCs w:val="18"/>
              </w:rPr>
              <w:t>司发行股份购买资产并募集配套资金暨关联交</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审议通过</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2014-023</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第一次临时股东大 </w:t>
            </w:r>
            <w:r>
              <w:rPr>
                <w:rFonts w:ascii="宋体" w:hAnsi="宋体" w:cs="宋体" w:eastAsia="宋体" w:hint="default"/>
                <w:spacing w:val="-10"/>
                <w:sz w:val="18"/>
                <w:szCs w:val="18"/>
              </w:rPr>
              <w:t>会决议公告；巨潮资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3828"/>
        <w:gridCol w:w="850"/>
        <w:gridCol w:w="1026"/>
        <w:gridCol w:w="1595"/>
      </w:tblGrid>
      <w:tr>
        <w:trPr>
          <w:trHeight w:val="3171"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79"/>
              <w:jc w:val="left"/>
              <w:rPr>
                <w:rFonts w:ascii="宋体" w:hAnsi="宋体" w:cs="宋体" w:eastAsia="宋体" w:hint="default"/>
                <w:sz w:val="18"/>
                <w:szCs w:val="18"/>
              </w:rPr>
            </w:pPr>
            <w:r>
              <w:rPr>
                <w:rFonts w:ascii="宋体" w:hAnsi="宋体" w:cs="宋体" w:eastAsia="宋体" w:hint="default"/>
                <w:spacing w:val="-5"/>
                <w:sz w:val="18"/>
                <w:szCs w:val="18"/>
              </w:rPr>
              <w:t>易报告书（草案）</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及摘要》</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、《关于签订附条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件生效的</w:t>
            </w: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发行股份购买资产协议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pStyle w:val="TableParagraph"/>
              <w:spacing w:line="307" w:lineRule="auto" w:before="13"/>
              <w:ind w:left="22" w:right="91"/>
              <w:jc w:val="left"/>
              <w:rPr>
                <w:rFonts w:ascii="宋体" w:hAnsi="宋体" w:cs="宋体" w:eastAsia="宋体" w:hint="default"/>
                <w:sz w:val="18"/>
                <w:szCs w:val="18"/>
              </w:rPr>
            </w:pPr>
            <w:r>
              <w:rPr>
                <w:rFonts w:ascii="宋体" w:hAnsi="宋体" w:cs="宋体" w:eastAsia="宋体" w:hint="default"/>
                <w:sz w:val="18"/>
                <w:szCs w:val="18"/>
              </w:rPr>
              <w:t>《关于签订附条件生效的</w:t>
            </w:r>
            <w:r>
              <w:rPr>
                <w:rFonts w:ascii="Times New Roman" w:hAnsi="Times New Roman" w:cs="Times New Roman" w:eastAsia="Times New Roman" w:hint="default"/>
                <w:sz w:val="18"/>
                <w:szCs w:val="18"/>
              </w:rPr>
              <w:t>&lt;</w:t>
            </w:r>
            <w:r>
              <w:rPr>
                <w:rFonts w:ascii="宋体" w:hAnsi="宋体" w:cs="宋体" w:eastAsia="宋体" w:hint="default"/>
                <w:sz w:val="18"/>
                <w:szCs w:val="18"/>
              </w:rPr>
              <w:t>盈利预测补偿协议</w:t>
            </w:r>
            <w:r>
              <w:rPr>
                <w:rFonts w:ascii="Times New Roman" w:hAnsi="Times New Roman" w:cs="Times New Roman" w:eastAsia="Times New Roman" w:hint="default"/>
                <w:sz w:val="18"/>
                <w:szCs w:val="18"/>
              </w:rPr>
              <w:t>&gt; </w:t>
            </w:r>
            <w:r>
              <w:rPr>
                <w:rFonts w:ascii="宋体" w:hAnsi="宋体" w:cs="宋体" w:eastAsia="宋体" w:hint="default"/>
                <w:spacing w:val="-5"/>
                <w:sz w:val="18"/>
                <w:szCs w:val="18"/>
              </w:rPr>
              <w:t>的议案》</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、《关于签订附条件生效的</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股份认购</w:t>
            </w:r>
            <w:r>
              <w:rPr>
                <w:rFonts w:ascii="宋体" w:hAnsi="宋体" w:cs="宋体" w:eastAsia="宋体" w:hint="default"/>
                <w:spacing w:val="-70"/>
                <w:sz w:val="18"/>
                <w:szCs w:val="18"/>
              </w:rPr>
              <w:t> </w:t>
            </w:r>
            <w:r>
              <w:rPr>
                <w:rFonts w:ascii="宋体" w:hAnsi="宋体" w:cs="宋体" w:eastAsia="宋体" w:hint="default"/>
                <w:spacing w:val="-5"/>
                <w:sz w:val="18"/>
                <w:szCs w:val="18"/>
              </w:rPr>
              <w:t>协议</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的议案》</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、《关于提请股东大会批准中国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电子科技集团公司第三十研究所免于以要约方 </w:t>
            </w:r>
            <w:r>
              <w:rPr>
                <w:rFonts w:ascii="宋体" w:hAnsi="宋体" w:cs="宋体" w:eastAsia="宋体" w:hint="default"/>
                <w:spacing w:val="-5"/>
                <w:sz w:val="18"/>
                <w:szCs w:val="18"/>
              </w:rPr>
              <w:t>式增持公司股份的议案》</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、《关于提请股东大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会授权董事会全权办理公司本次发行股份购买 资产并募集配套资金暨关联交易有关事宜的议 案》</w:t>
            </w:r>
          </w:p>
        </w:tc>
        <w:tc>
          <w:tcPr>
            <w:tcW w:w="850" w:type="dxa"/>
            <w:tcBorders>
              <w:top w:val="single" w:sz="4" w:space="0" w:color="000000"/>
              <w:left w:val="single" w:sz="4" w:space="0" w:color="000000"/>
              <w:bottom w:val="single" w:sz="4" w:space="0" w:color="000000"/>
              <w:right w:val="single" w:sz="4" w:space="0" w:color="000000"/>
            </w:tcBorders>
          </w:tcPr>
          <w:p>
            <w:pPr/>
          </w:p>
        </w:tc>
        <w:tc>
          <w:tcPr>
            <w:tcW w:w="102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8"/>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《关于选举公司第六届董事会董事的议案》</w:t>
            </w:r>
            <w:r>
              <w:rPr>
                <w:rFonts w:ascii="Times New Roman" w:hAnsi="Times New Roman" w:cs="Times New Roman" w:eastAsia="Times New Roman" w:hint="default"/>
                <w:sz w:val="18"/>
                <w:szCs w:val="18"/>
              </w:rPr>
              <w:t>2</w:t>
            </w:r>
          </w:p>
          <w:p>
            <w:pPr>
              <w:pStyle w:val="TableParagraph"/>
              <w:spacing w:line="319" w:lineRule="auto" w:before="61"/>
              <w:ind w:left="22" w:right="195"/>
              <w:jc w:val="left"/>
              <w:rPr>
                <w:rFonts w:ascii="宋体" w:hAnsi="宋体" w:cs="宋体" w:eastAsia="宋体" w:hint="default"/>
                <w:sz w:val="18"/>
                <w:szCs w:val="18"/>
              </w:rPr>
            </w:pPr>
            <w:r>
              <w:rPr>
                <w:rFonts w:ascii="宋体" w:hAnsi="宋体" w:cs="宋体" w:eastAsia="宋体" w:hint="default"/>
                <w:sz w:val="18"/>
                <w:szCs w:val="18"/>
              </w:rPr>
              <w:t>《关于选举公司第六届监事会非职工代表监事 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2014-024</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1"/>
              <w:ind w:left="23" w:right="20"/>
              <w:jc w:val="left"/>
              <w:rPr>
                <w:rFonts w:ascii="宋体" w:hAnsi="宋体" w:cs="宋体" w:eastAsia="宋体" w:hint="default"/>
                <w:sz w:val="18"/>
                <w:szCs w:val="18"/>
              </w:rPr>
            </w:pPr>
            <w:r>
              <w:rPr>
                <w:rFonts w:ascii="宋体" w:hAnsi="宋体" w:cs="宋体" w:eastAsia="宋体" w:hint="default"/>
                <w:sz w:val="18"/>
                <w:szCs w:val="18"/>
              </w:rPr>
              <w:t>第二次临时股东大 </w:t>
            </w:r>
            <w:r>
              <w:rPr>
                <w:rFonts w:ascii="宋体" w:hAnsi="宋体" w:cs="宋体" w:eastAsia="宋体" w:hint="default"/>
                <w:spacing w:val="-10"/>
                <w:sz w:val="18"/>
                <w:szCs w:val="18"/>
              </w:rPr>
              <w:t>会决议公告；巨潮资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讯网</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内独立董事履行职责的情况" w:id="90"/>
      <w:bookmarkEnd w:id="90"/>
      <w:r>
        <w:rPr>
          <w:b w:val="0"/>
          <w:bCs w:val="0"/>
        </w:rPr>
      </w: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91"/>
      <w:bookmarkEnd w:id="9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张力上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曹德骏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李永强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罗光春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独立董事对公司有关事项提出异议的情况" w:id="92"/>
      <w:bookmarkEnd w:id="9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3、独立董事履行职责的其他说明" w:id="93"/>
      <w:bookmarkEnd w:id="9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1"/>
        <w:ind w:right="0" w:firstLine="360"/>
        <w:jc w:val="left"/>
      </w:pPr>
      <w:r>
        <w:rPr>
          <w:spacing w:val="-7"/>
        </w:rPr>
        <w:t>报告期内，公司独立董事根据《公司法》、《公司章程》、《公司独立董事工作制度》等的规定，切实履行独立董事职责，</w:t>
      </w:r>
      <w:r>
        <w:rPr/>
        <w:t> </w:t>
      </w:r>
      <w:r>
        <w:rPr>
          <w:spacing w:val="-2"/>
        </w:rPr>
        <w:t>对公司日常经营及日常管理等情况进行了解和监督，积极参加相关会议，与公司其他董事、监事、高管及外部审计机构进行</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033"/>
        <w:jc w:val="left"/>
      </w:pPr>
      <w:r>
        <w:rPr/>
        <w:t>良好的沟通交流，对关联交易、募集资金使用、股东回报规划、选举董事等情况发表独立意见，得到了公司的重视和采纳， 对促进公司相关业务规范化、提升公司治理水平及保护中小股东权益起到了积极作用。</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四、董事会下设专门委员会在报告期内履行职责情况" w:id="94"/>
      <w:bookmarkEnd w:id="94"/>
      <w:r>
        <w:rPr>
          <w:b w:val="0"/>
          <w:bCs w:val="0"/>
        </w:rPr>
      </w:r>
      <w:r>
        <w:rPr/>
        <w:t>四、董事会下设专门委员会在报告期内履行职责情况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、审计委员会</w:t>
      </w:r>
    </w:p>
    <w:p>
      <w:pPr>
        <w:pStyle w:val="BodyText"/>
        <w:spacing w:line="240" w:lineRule="auto" w:before="101"/>
        <w:ind w:left="513" w:right="0"/>
        <w:jc w:val="left"/>
      </w:pPr>
      <w:r>
        <w:rPr/>
        <w:t>报告期内，公司董事会审计委员会共召开了</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次会议</w:t>
      </w:r>
      <w:r>
        <w:rPr>
          <w:spacing w:val="1"/>
        </w:rPr>
        <w:t>，</w:t>
      </w:r>
      <w:r>
        <w:rPr/>
        <w:t>分别审议并通过了</w:t>
      </w:r>
      <w:r>
        <w:rPr>
          <w:spacing w:val="-90"/>
        </w:rPr>
        <w:t>：</w:t>
      </w:r>
      <w:r>
        <w:rPr/>
        <w:t>《公司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年度财务报告</w:t>
      </w:r>
      <w:r>
        <w:rPr>
          <w:spacing w:val="-90"/>
        </w:rPr>
        <w:t>》、</w:t>
      </w:r>
      <w:r>
        <w:rPr/>
        <w:t>《公司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p>
    <w:p>
      <w:pPr>
        <w:pStyle w:val="BodyText"/>
        <w:spacing w:line="300" w:lineRule="auto" w:before="63"/>
        <w:ind w:right="1117"/>
        <w:jc w:val="left"/>
      </w:pPr>
      <w:r>
        <w:rPr>
          <w:spacing w:val="-14"/>
        </w:rPr>
        <w:t>度内部控制自我评价报告》、《公司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spacing w:val="-9"/>
        </w:rPr>
        <w:t>年度募集资金存放与使用情况的内部审计报告》、《公司</w:t>
      </w:r>
      <w:r>
        <w:rPr>
          <w:spacing w:val="-4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年度关联交易及关联资 </w:t>
      </w:r>
      <w:r>
        <w:rPr>
          <w:spacing w:val="-10"/>
        </w:rPr>
        <w:t>金往来的审计报告》、《关于</w:t>
      </w:r>
      <w:r>
        <w:rPr>
          <w:rFonts w:ascii="Times New Roman" w:hAnsi="Times New Roman" w:cs="Times New Roman" w:eastAsia="Times New Roman" w:hint="default"/>
          <w:spacing w:val="-10"/>
        </w:rPr>
        <w:t>&lt;</w:t>
      </w:r>
      <w:r>
        <w:rPr>
          <w:spacing w:val="-10"/>
        </w:rPr>
        <w:t>年报审计会计师事务所年度审计工作总结</w:t>
      </w:r>
      <w:r>
        <w:rPr>
          <w:rFonts w:ascii="Times New Roman" w:hAnsi="Times New Roman" w:cs="Times New Roman" w:eastAsia="Times New Roman" w:hint="default"/>
          <w:spacing w:val="-10"/>
        </w:rPr>
        <w:t>&gt;</w:t>
      </w:r>
      <w:r>
        <w:rPr>
          <w:spacing w:val="-10"/>
        </w:rPr>
        <w:t>的议案》、《续聘会计师事务所的议案》、《公司内部</w:t>
      </w:r>
      <w:r>
        <w:rPr>
          <w:spacing w:val="-60"/>
        </w:rPr>
        <w:t> </w:t>
      </w:r>
      <w:r>
        <w:rPr>
          <w:spacing w:val="-60"/>
        </w:rPr>
      </w:r>
      <w:r>
        <w:rPr/>
        <w:t>审计部</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年度工作总结及</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年度工作计划》</w:t>
      </w:r>
    </w:p>
    <w:p>
      <w:pPr>
        <w:pStyle w:val="BodyText"/>
        <w:spacing w:line="300" w:lineRule="auto" w:before="52"/>
        <w:ind w:right="1118" w:firstLine="360"/>
        <w:jc w:val="left"/>
      </w:pPr>
      <w:r>
        <w:rPr/>
        <w:t>《公司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1"/>
        </w:rPr>
        <w:t>年</w:t>
      </w:r>
      <w:r>
        <w:rPr/>
        <w:t>第一季度财务报告</w:t>
      </w:r>
      <w:r>
        <w:rPr>
          <w:spacing w:val="-90"/>
        </w:rPr>
        <w:t>》</w:t>
      </w:r>
      <w:r>
        <w:rPr>
          <w:spacing w:val="-131"/>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年第一季度募集资金存放与使用情况的审计报告</w:t>
      </w:r>
      <w:r>
        <w:rPr>
          <w:spacing w:val="-90"/>
        </w:rPr>
        <w:t>》</w:t>
      </w:r>
      <w:r>
        <w:rPr>
          <w:spacing w:val="-131"/>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年第一季度关联交 易审计报告</w:t>
      </w:r>
      <w:r>
        <w:rPr>
          <w:spacing w:val="-90"/>
        </w:rPr>
        <w:t>》、</w:t>
      </w:r>
      <w:r>
        <w:rPr/>
        <w:t>《内部审计部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年第一季度工作报告及第二季度工作计划</w:t>
      </w:r>
      <w:r>
        <w:rPr>
          <w:spacing w:val="-90"/>
        </w:rPr>
        <w:t>》、</w:t>
      </w:r>
      <w:r>
        <w:rPr/>
        <w:t>《公司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年半年度财务报告</w:t>
      </w:r>
      <w:r>
        <w:rPr>
          <w:spacing w:val="-90"/>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年半</w:t>
      </w:r>
    </w:p>
    <w:p>
      <w:pPr>
        <w:pStyle w:val="BodyText"/>
        <w:spacing w:line="240" w:lineRule="auto" w:before="13"/>
        <w:ind w:right="0"/>
        <w:jc w:val="left"/>
      </w:pPr>
      <w:r>
        <w:rPr/>
        <w:t>年度关联交易审计报告</w:t>
      </w:r>
      <w:r>
        <w:rPr>
          <w:spacing w:val="-90"/>
        </w:rPr>
        <w:t>》、</w:t>
      </w:r>
      <w:r>
        <w:rPr/>
        <w:t>《内部审计部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年半年度工作报告及第三季度工作计划</w:t>
      </w:r>
      <w:r>
        <w:rPr>
          <w:spacing w:val="-90"/>
        </w:rPr>
        <w:t>》、</w:t>
      </w:r>
      <w:r>
        <w:rPr/>
        <w:t>《公司</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1"/>
        </w:rPr>
        <w:t>年</w:t>
      </w:r>
      <w:r>
        <w:rPr/>
        <w:t>第三季度财务报告</w:t>
      </w:r>
      <w:r>
        <w:rPr>
          <w:spacing w:val="-90"/>
        </w:rPr>
        <w:t>》</w:t>
      </w:r>
      <w:r>
        <w:rPr/>
        <w:t>、</w:t>
      </w:r>
    </w:p>
    <w:p>
      <w:pPr>
        <w:pStyle w:val="BodyText"/>
        <w:spacing w:line="240" w:lineRule="auto" w:before="64"/>
        <w:ind w:right="0"/>
        <w:jc w:val="left"/>
      </w:pP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年第三季度关联交易审计报告</w:t>
      </w:r>
      <w:r>
        <w:rPr>
          <w:spacing w:val="-90"/>
        </w:rPr>
        <w:t>》、</w:t>
      </w:r>
      <w:r>
        <w:rPr/>
        <w:t>《内部审计部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年第三季度工作报告及第四季度工作计划》等。</w:t>
      </w:r>
    </w:p>
    <w:p>
      <w:pPr>
        <w:pStyle w:val="BodyText"/>
        <w:spacing w:line="240" w:lineRule="auto" w:before="102"/>
        <w:ind w:left="514" w:right="0"/>
        <w:jc w:val="left"/>
      </w:pPr>
      <w:r>
        <w:rPr>
          <w:rFonts w:ascii="Times New Roman" w:hAnsi="Times New Roman" w:cs="Times New Roman" w:eastAsia="Times New Roman" w:hint="default"/>
        </w:rPr>
        <w:t>2</w:t>
      </w:r>
      <w:r>
        <w:rPr/>
        <w:t>、薪酬与考核委员会</w:t>
      </w:r>
    </w:p>
    <w:p>
      <w:pPr>
        <w:pStyle w:val="BodyText"/>
        <w:spacing w:line="302" w:lineRule="auto" w:before="101"/>
        <w:ind w:right="1125" w:firstLine="360"/>
        <w:jc w:val="left"/>
      </w:pPr>
      <w:r>
        <w:rPr/>
        <w:t>报告期内，公司薪酬与考核委员会召开了</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次会议，讨论了公司高级管理人员的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年度工作绩效，并确定了薪酬方 案提交董事会审议。</w:t>
      </w:r>
    </w:p>
    <w:p>
      <w:pPr>
        <w:pStyle w:val="BodyText"/>
        <w:spacing w:line="240" w:lineRule="auto" w:before="70"/>
        <w:ind w:left="513" w:right="0"/>
        <w:jc w:val="left"/>
      </w:pPr>
      <w:r>
        <w:rPr>
          <w:rFonts w:ascii="Times New Roman" w:hAnsi="Times New Roman" w:cs="Times New Roman" w:eastAsia="Times New Roman" w:hint="default"/>
        </w:rPr>
        <w:t>3</w:t>
      </w:r>
      <w:r>
        <w:rPr/>
        <w:t>、提名委员会</w:t>
      </w:r>
    </w:p>
    <w:p>
      <w:pPr>
        <w:pStyle w:val="BodyText"/>
        <w:spacing w:line="302" w:lineRule="auto" w:before="101"/>
        <w:ind w:right="1118" w:firstLine="360"/>
        <w:jc w:val="left"/>
      </w:pPr>
      <w:r>
        <w:rPr/>
        <w:t>报告期内</w:t>
      </w:r>
      <w:r>
        <w:rPr>
          <w:spacing w:val="-21"/>
        </w:rPr>
        <w:t>，</w:t>
      </w:r>
      <w:r>
        <w:rPr/>
        <w:t>公司提名委员会共召开了</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1"/>
        </w:rPr>
        <w:t>次</w:t>
      </w:r>
      <w:r>
        <w:rPr/>
        <w:t>会议</w:t>
      </w:r>
      <w:r>
        <w:rPr>
          <w:spacing w:val="-21"/>
        </w:rPr>
        <w:t>，</w:t>
      </w:r>
      <w:r>
        <w:rPr/>
        <w:t>审议并通过</w:t>
      </w:r>
      <w:r>
        <w:rPr>
          <w:spacing w:val="-21"/>
        </w:rPr>
        <w:t>了</w:t>
      </w:r>
      <w:r>
        <w:rPr/>
        <w:t>《关于同意聘任雷利民先生为公司总经理的议案</w:t>
      </w:r>
      <w:r>
        <w:rPr>
          <w:spacing w:val="-90"/>
        </w:rPr>
        <w:t>》</w:t>
      </w:r>
      <w:r>
        <w:rPr>
          <w:spacing w:val="-111"/>
        </w:rPr>
        <w:t>、</w:t>
      </w:r>
      <w:r>
        <w:rPr/>
        <w:t>《关于</w:t>
      </w:r>
      <w:r>
        <w:rPr/>
        <w:t> 提名公司第六届董事会董事候选人的议案</w:t>
      </w:r>
      <w:r>
        <w:rPr>
          <w:spacing w:val="-90"/>
        </w:rPr>
        <w:t>》、</w:t>
      </w:r>
      <w:r>
        <w:rPr/>
        <w:t>《关于同意聘任黄仁亮先生为公司副总经理的议案</w:t>
      </w:r>
      <w:r>
        <w:rPr>
          <w:spacing w:val="-90"/>
        </w:rPr>
        <w:t>》</w:t>
      </w:r>
      <w:r>
        <w:rPr/>
        <w:t>。</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五、监事会工作情况" w:id="95"/>
      <w:bookmarkEnd w:id="95"/>
      <w:r>
        <w:rPr>
          <w:b w:val="0"/>
          <w:bCs w:val="0"/>
        </w:rPr>
      </w:r>
      <w:r>
        <w:rPr/>
        <w:t>五、监事会工作情况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相对于控股股东在业务、人员、资产、机构、财务等方面的独立完整情况" w:id="96"/>
      <w:bookmarkEnd w:id="96"/>
      <w:r>
        <w:rPr>
          <w:b w:val="0"/>
          <w:bCs w:val="0"/>
        </w:rPr>
      </w:r>
      <w:r>
        <w:rPr/>
        <w:t>六、公司相对于控股股东在业务、人员、资产、机构、财务等方面的独立完整情况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公司与控股股东在业务、人员、资产、机构、财务等方面相互独立，公司具有独立完整的业务及自主经营能力。</w:t>
      </w:r>
    </w:p>
    <w:p>
      <w:pPr>
        <w:pStyle w:val="BodyText"/>
        <w:spacing w:line="302" w:lineRule="auto" w:before="115"/>
        <w:ind w:left="154" w:right="1122" w:firstLine="360"/>
        <w:jc w:val="left"/>
      </w:pPr>
      <w:r>
        <w:rPr>
          <w:rFonts w:ascii="Times New Roman" w:hAnsi="Times New Roman" w:cs="Times New Roman" w:eastAsia="Times New Roman" w:hint="default"/>
        </w:rPr>
        <w:t>1</w:t>
      </w:r>
      <w:r>
        <w:rPr/>
        <w:t>、业务：公司拥有独立、完整的研发、生产、采购和销售系统，独立开展业务，不存在对股东的依赖或与股东单位共 同使用同一采购、销售渠道或同一商标的情况，控股股东不存在直接或间接干预公司经营的情形。</w:t>
      </w:r>
    </w:p>
    <w:p>
      <w:pPr>
        <w:pStyle w:val="BodyText"/>
        <w:spacing w:line="312" w:lineRule="auto" w:before="69"/>
        <w:ind w:left="154" w:right="0" w:firstLine="360"/>
        <w:jc w:val="left"/>
      </w:pPr>
      <w:r>
        <w:rPr>
          <w:rFonts w:ascii="Times New Roman" w:hAnsi="Times New Roman" w:cs="Times New Roman" w:eastAsia="Times New Roman" w:hint="default"/>
        </w:rPr>
        <w:t>2</w:t>
      </w:r>
      <w:r>
        <w:rPr/>
        <w:t>、人员：公司董事、监事及高级管理人员均严格按照相关法律、法规和公司《章程》的规定产生。公司总经理、副总 </w:t>
      </w:r>
      <w:r>
        <w:rPr>
          <w:spacing w:val="-2"/>
        </w:rPr>
        <w:t>经理、总工程师、财务总监、董事会秘书等高级管理人员均专职于公司并在公司领取报酬，未在股东单位及其下属企业担任</w:t>
      </w:r>
      <w:r>
        <w:rPr>
          <w:spacing w:val="-66"/>
        </w:rPr>
        <w:t> </w:t>
      </w:r>
      <w:r>
        <w:rPr>
          <w:spacing w:val="-66"/>
        </w:rPr>
      </w:r>
      <w:r>
        <w:rPr>
          <w:spacing w:val="-4"/>
        </w:rPr>
        <w:t>除董事、监事以外的任何职务。公司设有人力资源部，有完整的人力资源管理制度，拥有独立的劳动、人事及薪酬考核体系，</w:t>
      </w:r>
      <w:r>
        <w:rPr>
          <w:spacing w:val="-44"/>
        </w:rPr>
        <w:t> </w:t>
      </w:r>
      <w:r>
        <w:rPr>
          <w:spacing w:val="-44"/>
        </w:rPr>
      </w:r>
      <w:r>
        <w:rPr/>
        <w:t>不存在受控股股东干涉的现象。</w:t>
      </w:r>
    </w:p>
    <w:p>
      <w:pPr>
        <w:pStyle w:val="BodyText"/>
        <w:spacing w:line="309" w:lineRule="auto" w:before="61"/>
        <w:ind w:left="154" w:right="1133" w:firstLine="360"/>
        <w:jc w:val="both"/>
      </w:pPr>
      <w:r>
        <w:rPr>
          <w:rFonts w:ascii="Times New Roman" w:hAnsi="Times New Roman" w:cs="Times New Roman" w:eastAsia="Times New Roman" w:hint="default"/>
        </w:rPr>
        <w:t>3</w:t>
      </w:r>
      <w:r>
        <w:rPr/>
        <w:t>、资产：公司业务和生产经营必需的机器设备、商标和专有技术及其他资产由公司独立享有、权属明晰，不存在与股 </w:t>
      </w:r>
      <w:r>
        <w:rPr>
          <w:spacing w:val="-2"/>
        </w:rPr>
        <w:t>东共有的情况。公司拥有独立的经营场所。公司没有为各股东及其子公司提供任何形式的担保，公司对所有资产拥有全权的</w:t>
      </w:r>
      <w:r>
        <w:rPr>
          <w:spacing w:val="-66"/>
        </w:rPr>
        <w:t> </w:t>
      </w:r>
      <w:r>
        <w:rPr>
          <w:spacing w:val="-66"/>
        </w:rPr>
      </w:r>
      <w:r>
        <w:rPr/>
        <w:t>控制和支配权，不存在资产、资金被股东占用而损害公司利益的情况。</w:t>
      </w:r>
    </w:p>
    <w:p>
      <w:pPr>
        <w:pStyle w:val="BodyText"/>
        <w:spacing w:line="312" w:lineRule="auto" w:before="63"/>
        <w:ind w:left="154" w:right="1131" w:firstLine="360"/>
        <w:jc w:val="both"/>
      </w:pPr>
      <w:r>
        <w:rPr>
          <w:rFonts w:ascii="Times New Roman" w:hAnsi="Times New Roman" w:cs="Times New Roman" w:eastAsia="Times New Roman" w:hint="default"/>
        </w:rPr>
        <w:t>4</w:t>
      </w:r>
      <w:r>
        <w:rPr/>
        <w:t>、机构：公司建立健全了股东大会、董事会、监事会及总经理负责的经理层等机构及相应的三会议事规则和总经理工 </w:t>
      </w:r>
      <w:r>
        <w:rPr>
          <w:spacing w:val="-2"/>
        </w:rPr>
        <w:t>作细则，形成了完善的法人治理结构和规范的运作体系。公司为适应生产经营需要，设置了健全的组织构架体系及相应的规</w:t>
      </w:r>
      <w:r>
        <w:rPr>
          <w:spacing w:val="-66"/>
        </w:rPr>
        <w:t> </w:t>
      </w:r>
      <w:r>
        <w:rPr>
          <w:spacing w:val="-66"/>
        </w:rPr>
      </w:r>
      <w:r>
        <w:rPr>
          <w:spacing w:val="-2"/>
        </w:rPr>
        <w:t>章制度，独立运作。公司与股东单位之间不存在混合经营、合署办公的情况，公司各职能部门与股东单位及其职能部门之间</w:t>
      </w:r>
      <w:r>
        <w:rPr>
          <w:spacing w:val="-66"/>
        </w:rPr>
        <w:t> </w:t>
      </w:r>
      <w:r>
        <w:rPr>
          <w:spacing w:val="-66"/>
        </w:rPr>
      </w:r>
      <w:r>
        <w:rPr/>
        <w:t>不存在上下级关系，不存在股东单位干预本公司组织机构设立与运作的情况。</w:t>
      </w:r>
    </w:p>
    <w:p>
      <w:pPr>
        <w:spacing w:after="0" w:line="312"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4" w:right="1140" w:firstLine="360"/>
        <w:jc w:val="both"/>
      </w:pPr>
      <w:r>
        <w:rPr>
          <w:rFonts w:ascii="Times New Roman" w:hAnsi="Times New Roman" w:cs="Times New Roman" w:eastAsia="Times New Roman" w:hint="default"/>
        </w:rPr>
        <w:t>5</w:t>
      </w:r>
      <w:r>
        <w:rPr/>
        <w:t>、财务：公司设有独立的财务会计部门，建立了独立的会计核算体系，并制定了符合上市公司要求的、规范的内部控 制制度。公司独立开设银行账户，独立纳税。</w:t>
      </w:r>
    </w:p>
    <w:p>
      <w:pPr>
        <w:spacing w:line="240" w:lineRule="auto" w:before="5"/>
        <w:rPr>
          <w:rFonts w:ascii="宋体" w:hAnsi="宋体" w:cs="宋体" w:eastAsia="宋体" w:hint="default"/>
          <w:sz w:val="21"/>
          <w:szCs w:val="21"/>
        </w:rPr>
      </w:pPr>
    </w:p>
    <w:p>
      <w:pPr>
        <w:pStyle w:val="Heading2"/>
        <w:spacing w:line="240" w:lineRule="auto"/>
        <w:ind w:left="154" w:right="0"/>
        <w:jc w:val="left"/>
        <w:rPr>
          <w:b w:val="0"/>
          <w:bCs w:val="0"/>
        </w:rPr>
      </w:pPr>
      <w:bookmarkStart w:name="七、高级管理人员的考评及激励情况" w:id="97"/>
      <w:bookmarkEnd w:id="97"/>
      <w:r>
        <w:rPr>
          <w:b w:val="0"/>
          <w:bCs w:val="0"/>
        </w:rPr>
      </w:r>
      <w:r>
        <w:rPr/>
        <w:t>七、高级管理人员的考评及激励情况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30" w:firstLine="360"/>
        <w:jc w:val="both"/>
      </w:pPr>
      <w:r>
        <w:rPr>
          <w:spacing w:val="-2"/>
        </w:rPr>
        <w:t>公司建立了公正、有效的高级管理人员的绩效评价表中和激励约束机制，报告期内，公司董事会和薪酬与考核委员会按</w:t>
      </w:r>
      <w:r>
        <w:rPr/>
        <w:t> </w:t>
      </w:r>
      <w:r>
        <w:rPr>
          <w:spacing w:val="-2"/>
        </w:rPr>
        <w:t>照公司《董事会薪酬与考核委员会实施细则》的规定及要求，按年度对公司高级管理人员的业绩和履职情况进行考评。报告</w:t>
      </w:r>
      <w:r>
        <w:rPr>
          <w:spacing w:val="-65"/>
        </w:rPr>
        <w:t> </w:t>
      </w:r>
      <w:r>
        <w:rPr>
          <w:spacing w:val="-65"/>
        </w:rPr>
      </w:r>
      <w:r>
        <w:rPr>
          <w:spacing w:val="-2"/>
        </w:rPr>
        <w:t>期内，公司董事会依据公司年度经营业绩状况，高级管理人员的岗位职责和年度工作目标完成情况，经过综合考评，根据考</w:t>
      </w:r>
      <w:r>
        <w:rPr>
          <w:spacing w:val="-66"/>
        </w:rPr>
        <w:t> </w:t>
      </w:r>
      <w:r>
        <w:rPr>
          <w:spacing w:val="-66"/>
        </w:rPr>
      </w:r>
      <w:r>
        <w:rPr/>
        <w:t>评结果拟定高级管理人员的薪酬绩效初步方案并提请审议，促进了高级管理人员良好的履行职责。</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221"/>
        <w:jc w:val="center"/>
        <w:rPr>
          <w:b w:val="0"/>
          <w:bCs w:val="0"/>
        </w:rPr>
      </w:pPr>
      <w:bookmarkStart w:name="第十节 内部控制" w:id="98"/>
      <w:bookmarkEnd w:id="98"/>
      <w:r>
        <w:rPr>
          <w:b w:val="0"/>
          <w:bCs w:val="0"/>
        </w:rPr>
      </w:r>
      <w:bookmarkStart w:name="_bookmark9" w:id="99"/>
      <w:bookmarkEnd w:id="99"/>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00"/>
      <w:bookmarkEnd w:id="100"/>
      <w:r>
        <w:rPr>
          <w:b w:val="0"/>
          <w:bCs w:val="0"/>
        </w:rPr>
      </w:r>
      <w:r>
        <w:rPr/>
        <w:t>一、内部控制建设情况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2" w:firstLine="360"/>
        <w:jc w:val="both"/>
      </w:pPr>
      <w:r>
        <w:rPr>
          <w:spacing w:val="-2"/>
        </w:rPr>
        <w:t>为规范公司法人治理、财务管理、生产经营以及信息披露等工作，保证公司日常工作有序开展，按照《公司法》、《证</w:t>
      </w:r>
      <w:r>
        <w:rPr/>
        <w:t> </w:t>
      </w:r>
      <w:r>
        <w:rPr>
          <w:spacing w:val="-2"/>
        </w:rPr>
        <w:t>券法》、《深圳证券交易所股票上市规则》、《企业内部控制基本规范》等法律法规和规范性文件要求，公司结合自身实际</w:t>
      </w:r>
      <w:r>
        <w:rPr>
          <w:spacing w:val="-67"/>
        </w:rPr>
        <w:t> </w:t>
      </w:r>
      <w:r>
        <w:rPr>
          <w:spacing w:val="-67"/>
        </w:rPr>
      </w:r>
      <w:r>
        <w:rPr>
          <w:spacing w:val="-2"/>
        </w:rPr>
        <w:t>情况及发展需要，制定了一整套贯穿于生产经营管理各个层面的内部控制体系，在日常工作中不断完善并严格遵照执行，促</w:t>
      </w:r>
      <w:r>
        <w:rPr>
          <w:spacing w:val="-66"/>
        </w:rPr>
        <w:t> </w:t>
      </w:r>
      <w:r>
        <w:rPr>
          <w:spacing w:val="-66"/>
        </w:rPr>
      </w:r>
      <w:r>
        <w:rPr/>
        <w:t>进公司的规范运作，有效防范经营决策及管理风险，确保公司的稳健经营。</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bookmarkStart w:name="二、董事会关于内部控制责任的声明" w:id="101"/>
      <w:bookmarkEnd w:id="101"/>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129" w:firstLine="343"/>
        <w:jc w:val="both"/>
      </w:pPr>
      <w:r>
        <w:rPr>
          <w:spacing w:val="-2"/>
        </w:rPr>
        <w:t>按照企业内部控制规范体系的规定，建立健全和有效实施内部控制，评价其有效性，并如实披露内部控制评价报告是公</w:t>
      </w:r>
      <w:r>
        <w:rPr/>
        <w:t> </w:t>
      </w:r>
      <w:r>
        <w:rPr>
          <w:spacing w:val="-2"/>
        </w:rPr>
        <w:t>司董事会的责任。监事会对董事会建立和实施内部控制进行监督。经理层负责组织领导企业内部控制的日常运行。公司董事</w:t>
      </w:r>
      <w:r>
        <w:rPr>
          <w:spacing w:val="-66"/>
        </w:rPr>
        <w:t> </w:t>
      </w:r>
      <w:r>
        <w:rPr>
          <w:spacing w:val="-66"/>
        </w:rPr>
      </w:r>
      <w:r>
        <w:rPr>
          <w:spacing w:val="-2"/>
        </w:rPr>
        <w:t>会、监事会及董事、监事、高级管理人员保证公司《</w:t>
      </w:r>
      <w:r>
        <w:rPr>
          <w:rFonts w:ascii="Times New Roman" w:hAnsi="Times New Roman" w:cs="Times New Roman" w:eastAsia="Times New Roman" w:hint="default"/>
          <w:spacing w:val="-2"/>
        </w:rPr>
        <w:t>2014</w:t>
      </w:r>
      <w:r>
        <w:rPr>
          <w:spacing w:val="-2"/>
        </w:rPr>
        <w:t>年度内部控制自我评价报告》内容不存在任何虚假记载、误导性陈</w:t>
      </w:r>
      <w:r>
        <w:rPr>
          <w:spacing w:val="-63"/>
        </w:rPr>
        <w:t> </w:t>
      </w:r>
      <w:r>
        <w:rPr>
          <w:spacing w:val="-63"/>
        </w:rPr>
      </w:r>
      <w:r>
        <w:rPr/>
        <w:t>述或重大遗漏，并对报告内容的真实性、准确性和完整性承担个别及连带法律责任。</w:t>
      </w:r>
    </w:p>
    <w:p>
      <w:pPr>
        <w:pStyle w:val="BodyText"/>
        <w:spacing w:line="319" w:lineRule="auto" w:before="62"/>
        <w:ind w:right="1033" w:firstLine="360"/>
        <w:jc w:val="left"/>
      </w:pPr>
      <w:r>
        <w:rPr/>
        <w:t>公司内部控制的目标是合理保证经营管理合法合规、资产安全、财务报告及相关信息真实完整，提高经营效率和效果， </w:t>
      </w:r>
      <w:r>
        <w:rPr>
          <w:spacing w:val="-2"/>
        </w:rPr>
        <w:t>促进实现发展战略。由于内部控制存在的固有局限性，故仅能为实现上述目标提供合理保证。此外，由于情况的变化可能导</w:t>
      </w:r>
      <w:r>
        <w:rPr>
          <w:spacing w:val="-66"/>
        </w:rPr>
        <w:t> </w:t>
      </w:r>
      <w:r>
        <w:rPr>
          <w:spacing w:val="-66"/>
        </w:rPr>
      </w:r>
      <w:r>
        <w:rPr>
          <w:spacing w:val="-2"/>
        </w:rPr>
        <w:t>致内部控制变得不恰当，或对控制政策和程序遵循的程度降低，根据内部控制评价结果推测未来内部控制的有效性具有一定</w:t>
      </w:r>
      <w:r>
        <w:rPr>
          <w:spacing w:val="-64"/>
        </w:rPr>
        <w:t> </w:t>
      </w:r>
      <w:r>
        <w:rPr>
          <w:spacing w:val="-64"/>
        </w:rPr>
      </w:r>
      <w:r>
        <w:rPr/>
        <w:t>的风险。</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三、建立财务报告内部控制的依据" w:id="102"/>
      <w:bookmarkEnd w:id="102"/>
      <w:r>
        <w:rPr>
          <w:b w:val="0"/>
          <w:bCs w:val="0"/>
        </w:rPr>
      </w:r>
      <w:r>
        <w:rPr/>
        <w:t>三、建立财务报告内部控制的依据</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2" w:firstLine="270"/>
        <w:jc w:val="both"/>
      </w:pPr>
      <w:r>
        <w:rPr>
          <w:spacing w:val="-2"/>
        </w:rPr>
        <w:t>公司按照《公司法》对财务会计的要求以及《会计法》、《企业会计准则》等法律法规、行业准则的规定，建立了规范、</w:t>
      </w:r>
      <w:r>
        <w:rPr/>
        <w:t> </w:t>
      </w:r>
      <w:r>
        <w:rPr>
          <w:spacing w:val="-4"/>
        </w:rPr>
        <w:t>完整的财务管理控制制度以及相关的操作规程，建立了严格的内部审批流程，划分了清晰的审批权限，对采购、生产、销售、</w:t>
      </w:r>
      <w:r>
        <w:rPr>
          <w:spacing w:val="-44"/>
        </w:rPr>
        <w:t> </w:t>
      </w:r>
      <w:r>
        <w:rPr>
          <w:spacing w:val="-44"/>
        </w:rPr>
      </w:r>
      <w:r>
        <w:rPr/>
        <w:t>财务管理等各个环节进行有效控制，确保会计核算与记录、相关凭证、财务数据的准确性、可靠性和安全性。</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四、内部控制评价报告" w:id="103"/>
      <w:bookmarkEnd w:id="103"/>
      <w:r>
        <w:rPr>
          <w:b w:val="0"/>
          <w:bCs w:val="0"/>
        </w:rPr>
      </w: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《成都卫士通信息产业股份有限公司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年内部控制自我评价报告</w:t>
            </w:r>
            <w:r>
              <w:rPr>
                <w:rFonts w:ascii="宋体" w:hAnsi="宋体" w:cs="宋体" w:eastAsia="宋体" w:hint="default"/>
                <w:spacing w:val="-90"/>
                <w:sz w:val="18"/>
                <w:szCs w:val="18"/>
              </w:rPr>
              <w:t>》</w:t>
            </w:r>
            <w:r>
              <w:rPr>
                <w:rFonts w:ascii="宋体" w:hAnsi="宋体" w:cs="宋体" w:eastAsia="宋体" w:hint="default"/>
                <w:sz w:val="18"/>
                <w:szCs w:val="18"/>
              </w:rPr>
              <w:t>，巨潮资讯网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w:t>
              </w:r>
              <w:r>
                <w:rPr>
                  <w:rFonts w:ascii="Times New Roman" w:hAnsi="Times New Roman" w:cs="Times New Roman" w:eastAsia="Times New Roman" w:hint="default"/>
                  <w:w w:val="99"/>
                  <w:sz w:val="18"/>
                  <w:szCs w:val="18"/>
                </w:rPr>
                <w:t>p://w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1"/>
                  <w:sz w:val="18"/>
                  <w:szCs w:val="18"/>
                </w:rPr>
                <w:t>/</w:t>
              </w:r>
            </w:hyperlink>
            <w:r>
              <w:rPr>
                <w:rFonts w:ascii="宋体" w:hAnsi="宋体" w:cs="宋体" w:eastAsia="宋体" w:hint="default"/>
                <w:spacing w:val="-90"/>
                <w:sz w:val="18"/>
                <w:szCs w:val="18"/>
              </w:rPr>
              <w:t>）。</w:t>
            </w:r>
            <w:r>
              <w:rPr>
                <w:rFonts w:ascii="宋体" w:hAnsi="宋体" w:cs="宋体" w:eastAsia="宋体" w:hint="default"/>
                <w:sz w:val="18"/>
                <w:szCs w:val="18"/>
              </w:rPr>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04"/>
      <w:bookmarkEnd w:id="104"/>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我们认为，卫士通公司于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日在所有重大方面有效地保持了按照财政部颁布的《内部控制基本规范》标准 建立的与财务报表相关的有效的内部控制。</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《内部控制鉴证报告</w:t>
            </w:r>
            <w:r>
              <w:rPr>
                <w:rFonts w:ascii="宋体" w:hAnsi="宋体" w:cs="宋体" w:eastAsia="宋体" w:hint="default"/>
                <w:spacing w:val="-90"/>
                <w:sz w:val="18"/>
                <w:szCs w:val="18"/>
              </w:rPr>
              <w:t>》</w:t>
            </w: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w:t>
              </w:r>
              <w:r>
                <w:rPr>
                  <w:rFonts w:ascii="Times New Roman" w:hAnsi="Times New Roman" w:cs="Times New Roman" w:eastAsia="Times New Roman" w:hint="default"/>
                  <w:spacing w:val="-1"/>
                  <w:sz w:val="18"/>
                  <w:szCs w:val="18"/>
                </w:rPr>
                <w:t>om</w:t>
              </w:r>
              <w:r>
                <w:rPr>
                  <w:rFonts w:ascii="Times New Roman" w:hAnsi="Times New Roman" w:cs="Times New Roman" w:eastAsia="Times New Roman" w:hint="default"/>
                  <w:sz w:val="18"/>
                  <w:szCs w:val="18"/>
                </w:rPr>
                <w:t>.cn</w:t>
              </w:r>
              <w:r>
                <w:rPr>
                  <w:rFonts w:ascii="Times New Roman" w:hAnsi="Times New Roman" w:cs="Times New Roman" w:eastAsia="Times New Roman" w:hint="default"/>
                  <w:spacing w:val="2"/>
                  <w:sz w:val="18"/>
                  <w:szCs w:val="18"/>
                </w:rPr>
                <w:t>/</w:t>
              </w:r>
            </w:hyperlink>
            <w:r>
              <w:rPr>
                <w:rFonts w:ascii="宋体" w:hAnsi="宋体" w:cs="宋体" w:eastAsia="宋体" w:hint="default"/>
                <w:spacing w:val="-90"/>
                <w:sz w:val="18"/>
                <w:szCs w:val="18"/>
              </w:rPr>
              <w:t>）。</w:t>
            </w:r>
            <w:r>
              <w:rPr>
                <w:rFonts w:ascii="宋体" w:hAnsi="宋体" w:cs="宋体" w:eastAsia="宋体" w:hint="default"/>
                <w:sz w:val="18"/>
                <w:szCs w:val="18"/>
              </w:rPr>
            </w:r>
          </w:p>
        </w:tc>
      </w:tr>
    </w:tbl>
    <w:p>
      <w:pPr>
        <w:pStyle w:val="BodyText"/>
        <w:spacing w:line="240" w:lineRule="auto" w:before="51"/>
        <w:ind w:left="154" w:right="0"/>
        <w:jc w:val="left"/>
      </w:pPr>
      <w:r>
        <w:rPr/>
        <w:t>会计师事务所是否出具非标准意见的内部控制鉴证报告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年度报告重大差错责任追究制度的建立与执行情况" w:id="105"/>
      <w:bookmarkEnd w:id="105"/>
      <w:r>
        <w:rPr>
          <w:b w:val="0"/>
          <w:bCs w:val="0"/>
        </w:rPr>
      </w: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3" w:firstLine="360"/>
        <w:jc w:val="both"/>
      </w:pPr>
      <w:r>
        <w:rPr/>
        <w:t>公司第四届董事会第二十一次会议审议通过了《年报信息披露重大差错责任追究制度》，该制度已于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日刊 </w:t>
      </w:r>
      <w:r>
        <w:rPr>
          <w:spacing w:val="-1"/>
        </w:rPr>
        <w:t>载于巨潮资讯网（</w:t>
      </w:r>
      <w:hyperlink r:id="rId12">
        <w:r>
          <w:rPr>
            <w:rFonts w:ascii="Times New Roman" w:hAnsi="Times New Roman" w:cs="Times New Roman" w:eastAsia="Times New Roman" w:hint="default"/>
            <w:spacing w:val="-1"/>
          </w:rPr>
          <w:t>http://www.cninfo.com.cn/</w:t>
        </w:r>
      </w:hyperlink>
      <w:r>
        <w:rPr>
          <w:spacing w:val="-1"/>
        </w:rPr>
        <w:t>）。报告期内，制度执行情况良好，未发生重大会计差错更正、重大遗漏信息补</w:t>
      </w:r>
      <w:r>
        <w:rPr>
          <w:spacing w:val="-81"/>
        </w:rPr>
        <w:t> </w:t>
      </w:r>
      <w:r>
        <w:rPr>
          <w:spacing w:val="-81"/>
        </w:rPr>
      </w:r>
      <w:r>
        <w:rPr/>
        <w:t>充等情况。</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06"/>
      <w:bookmarkEnd w:id="106"/>
      <w:r>
        <w:rPr>
          <w:b w:val="0"/>
          <w:bCs w:val="0"/>
        </w:rPr>
      </w:r>
      <w:bookmarkStart w:name="_bookmark10" w:id="107"/>
      <w:bookmarkEnd w:id="107"/>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08"/>
      <w:bookmarkEnd w:id="108"/>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中天运会计师事务所（特殊普通合伙）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中天运〔</w:t>
            </w:r>
            <w:r>
              <w:rPr>
                <w:rFonts w:ascii="Times New Roman" w:hAnsi="Times New Roman" w:cs="Times New Roman" w:eastAsia="Times New Roman" w:hint="default"/>
                <w:sz w:val="18"/>
                <w:szCs w:val="18"/>
              </w:rPr>
              <w:t>2015</w:t>
            </w:r>
            <w:r>
              <w:rPr>
                <w:rFonts w:ascii="宋体" w:hAnsi="宋体" w:cs="宋体" w:eastAsia="宋体" w:hint="default"/>
                <w:sz w:val="18"/>
                <w:szCs w:val="18"/>
              </w:rPr>
              <w:t>〕审字第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杨敏、苏红梅</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b/>
          <w:bCs/>
          <w:sz w:val="28"/>
          <w:szCs w:val="28"/>
        </w:rPr>
      </w:pPr>
    </w:p>
    <w:p>
      <w:pPr>
        <w:pStyle w:val="Heading3"/>
        <w:spacing w:line="240" w:lineRule="auto"/>
        <w:ind w:left="153" w:right="0"/>
        <w:jc w:val="left"/>
        <w:rPr>
          <w:b w:val="0"/>
          <w:bCs w:val="0"/>
        </w:rPr>
      </w:pPr>
      <w:r>
        <w:rPr>
          <w:w w:val="95"/>
        </w:rPr>
        <w:t>成都卫士通信息产业股份有限公司全体股东：</w:t>
      </w:r>
      <w:r>
        <w:rPr>
          <w:b w:val="0"/>
          <w:bCs w:val="0"/>
        </w:rPr>
      </w:r>
    </w:p>
    <w:p>
      <w:pPr>
        <w:pStyle w:val="BodyText"/>
        <w:spacing w:line="240" w:lineRule="auto" w:before="51"/>
        <w:ind w:left="27"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4367" w:space="40"/>
            <w:col w:w="6523"/>
          </w:cols>
        </w:sectPr>
      </w:pPr>
    </w:p>
    <w:p>
      <w:pPr>
        <w:pStyle w:val="BodyText"/>
        <w:spacing w:line="316" w:lineRule="auto" w:before="103"/>
        <w:ind w:right="1132" w:firstLine="360"/>
        <w:jc w:val="both"/>
      </w:pPr>
      <w:r>
        <w:rPr>
          <w:spacing w:val="-2"/>
        </w:rPr>
        <w:t>我们审计了后附的成都卫士通信息产业股份有限公司（以下简称“卫士通公司”）财务报表，包括</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w:t>
      </w:r>
      <w:r>
        <w:rPr/>
        <w:t> </w:t>
      </w:r>
      <w:r>
        <w:rPr>
          <w:spacing w:val="-2"/>
        </w:rPr>
        <w:t>并及公司资产负债表，</w:t>
      </w:r>
      <w:r>
        <w:rPr>
          <w:rFonts w:ascii="宋体" w:hAnsi="宋体" w:cs="宋体" w:eastAsia="宋体" w:hint="default"/>
          <w:spacing w:val="-2"/>
        </w:rPr>
        <w:t>2014</w:t>
      </w:r>
      <w:r>
        <w:rPr>
          <w:spacing w:val="-2"/>
        </w:rPr>
        <w:t>年度的合并及公司利润表、合并及公司现金流量表、合并及公司所有者权益变动表以及财务报表</w:t>
      </w:r>
      <w:r>
        <w:rPr>
          <w:spacing w:val="-62"/>
        </w:rPr>
        <w:t> </w:t>
      </w:r>
      <w:r>
        <w:rPr>
          <w:spacing w:val="-62"/>
        </w:rPr>
      </w:r>
      <w:r>
        <w:rPr/>
        <w:t>附注。</w:t>
      </w:r>
    </w:p>
    <w:p>
      <w:pPr>
        <w:pStyle w:val="Heading3"/>
        <w:spacing w:line="240" w:lineRule="auto" w:before="32"/>
        <w:ind w:left="576" w:right="0"/>
        <w:jc w:val="left"/>
        <w:rPr>
          <w:b w:val="0"/>
          <w:bCs w:val="0"/>
        </w:rPr>
      </w:pPr>
      <w:r>
        <w:rPr/>
        <w:t>一、管理层对财务报表的责任</w:t>
      </w:r>
      <w:r>
        <w:rPr>
          <w:b w:val="0"/>
          <w:bCs w:val="0"/>
        </w:rPr>
      </w:r>
    </w:p>
    <w:p>
      <w:pPr>
        <w:pStyle w:val="BodyText"/>
        <w:spacing w:line="319" w:lineRule="auto" w:before="103"/>
        <w:ind w:right="1139" w:firstLine="360"/>
        <w:jc w:val="both"/>
      </w:pPr>
      <w:r>
        <w:rPr/>
        <w:t>编制和公允列报财务报表是卫士通公司管理层的责任，这种责任包括：（</w:t>
      </w:r>
      <w:r>
        <w:rPr>
          <w:rFonts w:ascii="宋体" w:hAnsi="宋体" w:cs="宋体" w:eastAsia="宋体" w:hint="default"/>
        </w:rPr>
        <w:t>1</w:t>
      </w:r>
      <w:r>
        <w:rPr/>
        <w:t>）按照企业会计准则的规定编制财务报表， 并使其实现公允反映；（</w:t>
      </w:r>
      <w:r>
        <w:rPr>
          <w:rFonts w:ascii="宋体" w:hAnsi="宋体" w:cs="宋体" w:eastAsia="宋体" w:hint="default"/>
        </w:rPr>
        <w:t>2</w:t>
      </w:r>
      <w:r>
        <w:rPr/>
        <w:t>）设计、执行和维护必要的内部控制，以使财务报表不存在由于舞弊或错误导致的重大错报。</w:t>
      </w:r>
    </w:p>
    <w:p>
      <w:pPr>
        <w:pStyle w:val="Heading3"/>
        <w:spacing w:line="240" w:lineRule="auto" w:before="30"/>
        <w:ind w:left="576" w:right="0"/>
        <w:jc w:val="left"/>
        <w:rPr>
          <w:b w:val="0"/>
          <w:bCs w:val="0"/>
        </w:rPr>
      </w:pPr>
      <w:r>
        <w:rPr/>
        <w:t>二、注册会计师的责任</w:t>
      </w:r>
      <w:r>
        <w:rPr>
          <w:b w:val="0"/>
          <w:bCs w:val="0"/>
        </w:rPr>
      </w:r>
    </w:p>
    <w:p>
      <w:pPr>
        <w:pStyle w:val="BodyText"/>
        <w:spacing w:line="316" w:lineRule="auto" w:before="103"/>
        <w:ind w:right="1131" w:firstLine="360"/>
        <w:jc w:val="both"/>
      </w:pPr>
      <w:r>
        <w:rPr>
          <w:spacing w:val="-2"/>
        </w:rPr>
        <w:t>我们的责任是在执行审计工作的基础上对财务报表发表审计意见。我们按照中国注册会计师审计准则的规定执行了审计</w:t>
      </w:r>
      <w:r>
        <w:rPr/>
        <w:t> </w:t>
      </w: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9" w:lineRule="auto" w:before="58"/>
        <w:ind w:right="1033"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240" w:lineRule="auto" w:before="56"/>
        <w:ind w:left="513" w:right="0"/>
        <w:jc w:val="left"/>
      </w:pPr>
      <w:r>
        <w:rPr/>
        <w:t>我们相信，我们获取的审计证据是充分、适当的，为发表审计意见提供了基础。</w:t>
      </w:r>
    </w:p>
    <w:p>
      <w:pPr>
        <w:pStyle w:val="Heading4"/>
        <w:spacing w:line="273" w:lineRule="auto" w:before="89"/>
        <w:ind w:left="573" w:right="0" w:firstLine="2"/>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我们认为，卫士通公司财务报表在所有重大方面按照企业会计准则的规定编制，公允反映了卫士通公</w:t>
      </w:r>
    </w:p>
    <w:p>
      <w:pPr>
        <w:pStyle w:val="Heading4"/>
        <w:spacing w:line="240" w:lineRule="auto"/>
        <w:ind w:right="0"/>
        <w:jc w:val="left"/>
      </w:pPr>
      <w:r>
        <w:rPr/>
        <w:t>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2014</w:t>
      </w:r>
      <w:r>
        <w:rPr/>
        <w:t>年度的合并及公司经营成果和现金流量。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435" w:type="dxa"/>
        <w:tblLayout w:type="fixed"/>
        <w:tblCellMar>
          <w:top w:w="0" w:type="dxa"/>
          <w:left w:w="0" w:type="dxa"/>
          <w:bottom w:w="0" w:type="dxa"/>
          <w:right w:w="0" w:type="dxa"/>
        </w:tblCellMar>
        <w:tblLook w:val="01E0"/>
      </w:tblPr>
      <w:tblGrid>
        <w:gridCol w:w="4143"/>
        <w:gridCol w:w="2673"/>
      </w:tblGrid>
      <w:tr>
        <w:trPr>
          <w:trHeight w:val="271" w:hRule="exact"/>
        </w:trPr>
        <w:tc>
          <w:tcPr>
            <w:tcW w:w="4143" w:type="dxa"/>
            <w:tcBorders>
              <w:top w:val="nil" w:sz="6" w:space="0" w:color="auto"/>
              <w:left w:val="nil" w:sz="6" w:space="0" w:color="auto"/>
              <w:bottom w:val="nil" w:sz="6" w:space="0" w:color="auto"/>
              <w:right w:val="nil" w:sz="6" w:space="0" w:color="auto"/>
            </w:tcBorders>
          </w:tcPr>
          <w:p>
            <w:pPr>
              <w:pStyle w:val="TableParagraph"/>
              <w:spacing w:line="210" w:lineRule="exact"/>
              <w:ind w:right="172"/>
              <w:jc w:val="center"/>
              <w:rPr>
                <w:rFonts w:ascii="宋体" w:hAnsi="宋体" w:cs="宋体" w:eastAsia="宋体" w:hint="default"/>
                <w:sz w:val="21"/>
                <w:szCs w:val="21"/>
              </w:rPr>
            </w:pPr>
            <w:r>
              <w:rPr>
                <w:rFonts w:ascii="宋体" w:hAnsi="宋体" w:cs="宋体" w:eastAsia="宋体" w:hint="default"/>
                <w:sz w:val="21"/>
                <w:szCs w:val="21"/>
              </w:rPr>
              <w:t>中天运会计师事务所（特殊普通合伙）</w:t>
            </w:r>
          </w:p>
        </w:tc>
        <w:tc>
          <w:tcPr>
            <w:tcW w:w="2673" w:type="dxa"/>
            <w:tcBorders>
              <w:top w:val="nil" w:sz="6" w:space="0" w:color="auto"/>
              <w:left w:val="nil" w:sz="6" w:space="0" w:color="auto"/>
              <w:bottom w:val="nil" w:sz="6" w:space="0" w:color="auto"/>
              <w:right w:val="nil" w:sz="6" w:space="0" w:color="auto"/>
            </w:tcBorders>
          </w:tcPr>
          <w:p>
            <w:pPr>
              <w:pStyle w:val="TableParagraph"/>
              <w:spacing w:line="210" w:lineRule="exact"/>
              <w:ind w:left="372"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332" w:hRule="exact"/>
        </w:trPr>
        <w:tc>
          <w:tcPr>
            <w:tcW w:w="4143" w:type="dxa"/>
            <w:tcBorders>
              <w:top w:val="nil" w:sz="6" w:space="0" w:color="auto"/>
              <w:left w:val="nil" w:sz="6" w:space="0" w:color="auto"/>
              <w:bottom w:val="nil" w:sz="6" w:space="0" w:color="auto"/>
              <w:right w:val="nil" w:sz="6" w:space="0" w:color="auto"/>
            </w:tcBorders>
          </w:tcPr>
          <w:p>
            <w:pPr/>
          </w:p>
        </w:tc>
        <w:tc>
          <w:tcPr>
            <w:tcW w:w="2673" w:type="dxa"/>
            <w:tcBorders>
              <w:top w:val="nil" w:sz="6" w:space="0" w:color="auto"/>
              <w:left w:val="nil" w:sz="6" w:space="0" w:color="auto"/>
              <w:bottom w:val="nil" w:sz="6" w:space="0" w:color="auto"/>
              <w:right w:val="nil" w:sz="6" w:space="0" w:color="auto"/>
            </w:tcBorders>
          </w:tcPr>
          <w:p>
            <w:pPr>
              <w:pStyle w:val="TableParagraph"/>
              <w:spacing w:line="271" w:lineRule="exact"/>
              <w:ind w:left="372"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283" w:hRule="exact"/>
        </w:trPr>
        <w:tc>
          <w:tcPr>
            <w:tcW w:w="4143" w:type="dxa"/>
            <w:tcBorders>
              <w:top w:val="nil" w:sz="6" w:space="0" w:color="auto"/>
              <w:left w:val="nil" w:sz="6" w:space="0" w:color="auto"/>
              <w:bottom w:val="nil" w:sz="6" w:space="0" w:color="auto"/>
              <w:right w:val="nil" w:sz="6" w:space="0" w:color="auto"/>
            </w:tcBorders>
          </w:tcPr>
          <w:p>
            <w:pPr>
              <w:pStyle w:val="TableParagraph"/>
              <w:spacing w:line="287" w:lineRule="exact"/>
              <w:ind w:right="169"/>
              <w:jc w:val="center"/>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2673" w:type="dxa"/>
            <w:tcBorders>
              <w:top w:val="nil" w:sz="6" w:space="0" w:color="auto"/>
              <w:left w:val="nil" w:sz="6" w:space="0" w:color="auto"/>
              <w:bottom w:val="nil" w:sz="6" w:space="0" w:color="auto"/>
              <w:right w:val="nil" w:sz="6" w:space="0" w:color="auto"/>
            </w:tcBorders>
          </w:tcPr>
          <w:p>
            <w:pPr>
              <w:pStyle w:val="TableParagraph"/>
              <w:spacing w:line="271" w:lineRule="exact"/>
              <w:ind w:left="372" w:right="0"/>
              <w:jc w:val="left"/>
              <w:rPr>
                <w:rFonts w:ascii="宋体" w:hAnsi="宋体" w:cs="宋体" w:eastAsia="宋体" w:hint="default"/>
                <w:sz w:val="21"/>
                <w:szCs w:val="21"/>
              </w:rPr>
            </w:pPr>
            <w:r>
              <w:rPr>
                <w:rFonts w:ascii="宋体" w:hAnsi="宋体" w:cs="宋体" w:eastAsia="宋体" w:hint="default"/>
                <w:sz w:val="21"/>
                <w:szCs w:val="21"/>
              </w:rPr>
              <w:t>二〇一五年二月十五日</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2"/>
        <w:spacing w:line="240" w:lineRule="auto" w:before="26"/>
        <w:ind w:left="154" w:right="0"/>
        <w:jc w:val="left"/>
        <w:rPr>
          <w:b w:val="0"/>
          <w:bCs w:val="0"/>
        </w:rPr>
      </w:pPr>
      <w:bookmarkStart w:name="二、财务报表" w:id="109"/>
      <w:bookmarkEnd w:id="10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1、合并资产负债表" w:id="110"/>
      <w:bookmarkEnd w:id="11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编制单位：成都卫士通信息产业股份有限公司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755" w:space="32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2847"/>
        <w:gridCol w:w="233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756,880,309.56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608,917,658.61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23,921,600.00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12,668,000.00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599,943,797.02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427,310,545.47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24,511,666.50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23,768,067.68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38,179,444.87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30,514,571.77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156,124,056.12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83,221,201.78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1,599,560,874.07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1,186,400,045.31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12,933,851.84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279,699,470.07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187,094,814.75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847"/>
        <w:gridCol w:w="233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13,162,298.97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16,363,771.62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1,288,350.73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3,269,375.86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3,497,948.71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19,265,565.86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14,725,961.35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330,338,554.51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224,979,864.70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1,929,899,428.58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1,411,379,910.01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397,986,566.40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280,075,778.82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57,395,439.44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16,269,962.69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6,915,269.25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4,904,110.80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39,611,914.95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37,179,252.28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22,815,712.54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29,368,351.92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847"/>
        <w:gridCol w:w="2338"/>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584,724,902.58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437,797,456.51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61,385,565.08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67,524,986.32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61,385,565.08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67,524,986.32</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646,110,467.66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505,322,442.83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216,261,673.00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172,712,065.00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514,383,985.38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263,465,501.13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41,067,220.69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40,231,909.75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847" w:type="dxa"/>
            <w:tcBorders>
              <w:top w:val="single" w:sz="4" w:space="0" w:color="000000"/>
              <w:left w:val="single" w:sz="13" w:space="0" w:color="D2D2D2"/>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460,391,867.26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343,518,416.86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1,232,104,746.33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819,927,892.74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51,684,214.59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86,129,574.44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1,283,788,960.92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906,057,467.18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1,929,899,428.58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1,411,379,910.01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tabs>
          <w:tab w:pos="3420" w:val="left" w:leader="none"/>
          <w:tab w:pos="7561" w:val="left" w:leader="none"/>
        </w:tabs>
        <w:spacing w:line="240" w:lineRule="auto" w:before="44"/>
        <w:ind w:left="0" w:right="1229"/>
        <w:jc w:val="right"/>
      </w:pPr>
      <w:r>
        <w:rPr/>
        <w:t>法定代表人：李成刚</w:t>
        <w:tab/>
        <w:t>主管会计工作负责人：雷利民</w:t>
        <w:tab/>
        <w:t>会计机构负责人：周天文</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11"/>
      <w:bookmarkEnd w:id="11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283,400,754.94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96,485,477.46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291,691,818.55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246,608,873.45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299,645.94</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171,601.89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57,973,214.18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62,858,637.66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46,435,075.76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37,044,389.28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696,030,509.37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445,318,979.74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394,887,359.38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91,495,274.13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164,141,507.69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64,241,872.94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2,600,146.00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2,993,154.00</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7,622,220.13</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4,908,674.67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571,251,233.20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165,638,975.74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1,267,281,742.57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610,957,955.48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169,773,593.65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85,978,472.55</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4,065,455.36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2,001,052.17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3,539,321.26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3,240,692.99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15,040,103.81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7,180,500.97</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37,160,810.51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26,726,515.03</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229,579,284.59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125,127,233.71</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7,414,546.50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22,637,734.29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373"/>
        <w:gridCol w:w="2705"/>
        <w:gridCol w:w="2479"/>
      </w:tblGrid>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7,414,546.50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22,637,734.29</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236,993,831.09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147,764,968.00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216,261,673.00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172,712,065.00</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614,228,767.69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109,629,748.58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4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41,067,220.69</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38,999,878.94</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158,730,250.10</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141,851,294.96</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1,030,287,911.48</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463,192,987.48</w:t>
            </w:r>
          </w:p>
        </w:tc>
      </w:tr>
      <w:tr>
        <w:trPr>
          <w:trHeight w:val="40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1,267,281,742.57</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610,957,955.48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12"/>
      <w:bookmarkEnd w:id="11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1,236,497,478.15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770,661,542.61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1,236,497,478.15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770,661,542.61</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1,140,983,963.47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744,719,388.92</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767,084,659.55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430,775,108.58</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21" w:type="dxa"/>
            <w:tcBorders>
              <w:top w:val="single" w:sz="4" w:space="0" w:color="000000"/>
              <w:left w:val="single" w:sz="13" w:space="0" w:color="D2D2D2"/>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12,335,152.23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9,783,596.10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963"/>
        <w:gridCol w:w="2410"/>
        <w:gridCol w:w="2196"/>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104,073,338.37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112,399,715.63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212,102,245.17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166,565,950.84</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-2,700,589.96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-2,231,470.92</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48,089,158.11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27,426,488.69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2,295.10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95,515,809.78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28,642,153.69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47,036,201.79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56,659,013.48</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30,990.35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24,910.31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75,745.03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424,697.41</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73,350.12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103,747.93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142,476,266.54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84,876,469.76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17,397,648.35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12,609,136.00</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125,078,618.19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72,267,333.76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119,435,881.99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73,648,080.09</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5,642,736.20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-1,380,746.33</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125,078,618.19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72,267,333.76</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119,435,881.99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73,648,080.09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940"/>
        <w:gridCol w:w="2421"/>
        <w:gridCol w:w="2196"/>
      </w:tblGrid>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5,642,736.20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-1,380,746.33</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0.3406</w:t>
            </w:r>
          </w:p>
        </w:tc>
      </w:tr>
      <w:tr>
        <w:trPr>
          <w:trHeight w:val="402" w:hRule="exact"/>
        </w:trPr>
        <w:tc>
          <w:tcPr>
            <w:tcW w:w="4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0.5523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0.3406</w:t>
            </w:r>
          </w:p>
        </w:tc>
      </w:tr>
    </w:tbl>
    <w:p>
      <w:pPr>
        <w:pStyle w:val="BodyText"/>
        <w:spacing w:line="240" w:lineRule="auto" w:before="51"/>
        <w:ind w:left="154" w:right="0"/>
        <w:jc w:val="left"/>
      </w:pPr>
      <w:r>
        <w:rPr/>
        <w:t>本期发生同一控制下企业合并的，被合并方在合并前实现的净利润为：</w:t>
      </w:r>
      <w:r>
        <w:rPr>
          <w:rFonts w:ascii="Times New Roman" w:hAnsi="Times New Roman" w:cs="Times New Roman" w:eastAsia="Times New Roman" w:hint="default"/>
        </w:rPr>
        <w:t>1,181,143.19</w:t>
      </w:r>
      <w:r>
        <w:rPr>
          <w:rFonts w:ascii="Times New Roman" w:hAnsi="Times New Roman" w:cs="Times New Roman" w:eastAsia="Times New Roman" w:hint="default"/>
          <w:spacing w:val="-2"/>
        </w:rPr>
        <w:t> </w:t>
      </w:r>
      <w:r>
        <w:rPr/>
        <w:t>元，上期被合并方实现的净利润为：</w:t>
      </w:r>
    </w:p>
    <w:p>
      <w:pPr>
        <w:pStyle w:val="BodyText"/>
        <w:spacing w:line="240" w:lineRule="auto" w:before="64"/>
        <w:ind w:right="0"/>
        <w:jc w:val="left"/>
      </w:pPr>
      <w:r>
        <w:rPr>
          <w:rFonts w:ascii="Times New Roman" w:hAnsi="Times New Roman" w:cs="Times New Roman" w:eastAsia="Times New Roman" w:hint="default"/>
        </w:rPr>
        <w:t>36,627,882.21</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4" w:val="left" w:leader="none"/>
          <w:tab w:pos="7715" w:val="left" w:leader="none"/>
        </w:tabs>
        <w:spacing w:line="240" w:lineRule="auto" w:before="126"/>
        <w:ind w:left="154" w:right="0"/>
        <w:jc w:val="left"/>
      </w:pPr>
      <w:r>
        <w:rPr/>
        <w:t>法定代表人：李成刚</w:t>
        <w:tab/>
        <w:t>主管会计工作负责人：雷利民</w:t>
        <w:tab/>
        <w:t>会计机构负责人：周天文</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4、母公司利润表" w:id="113"/>
      <w:bookmarkEnd w:id="113"/>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365"/>
        <w:gridCol w:w="1570"/>
        <w:gridCol w:w="2622"/>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271,370,776.23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201,524,430.04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116,867,314.64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76,769,815.48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2,555,152.98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2,805,769.74</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45,682,950.23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50,486,257.29</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81,802,784.37</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66,540,599.78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-761,369.24</w:t>
            </w:r>
            <w:r>
              <w:rPr>
                <w:rFonts w:ascii="Times New Roman"/>
                <w:sz w:val="18"/>
              </w:rPr>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-687,939.69</w:t>
            </w:r>
            <w:r>
              <w:rPr>
                <w:rFonts w:ascii="Times New Roman"/>
                <w:sz w:val="18"/>
              </w:rPr>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24,207,873.65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13,298,064.41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-480,149.62</w:t>
            </w:r>
            <w:r>
              <w:rPr>
                <w:rFonts w:ascii="Times New Roman"/>
                <w:sz w:val="18"/>
              </w:rPr>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-2,453,476.51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535,919.98</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-10,141,613.48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25,424,574.93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22,006,064.90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22,090.35</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24,350.31</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55,503.88</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55,503.88</w:t>
            </w: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25,904,991.03</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11,864,451.42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5,231,573.49</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1,849,711.22</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20,673,417.54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10,014,740.20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1570"/>
        <w:gridCol w:w="2622"/>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6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70" w:type="dxa"/>
            <w:tcBorders>
              <w:top w:val="single" w:sz="4" w:space="0" w:color="000000"/>
              <w:left w:val="single" w:sz="13" w:space="0" w:color="D2D2D2"/>
              <w:bottom w:val="single" w:sz="4" w:space="0" w:color="000000"/>
              <w:right w:val="single" w:sz="4" w:space="0" w:color="000000"/>
            </w:tcBorders>
          </w:tcPr>
          <w:p>
            <w:pPr/>
          </w:p>
        </w:tc>
        <w:tc>
          <w:tcPr>
            <w:tcW w:w="26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20,673,417.54</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10,014,740.20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0.0956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0.0463</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0.0956</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合并现金流量表" w:id="114"/>
      <w:bookmarkEnd w:id="11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9"/>
        <w:gridCol w:w="2705"/>
        <w:gridCol w:w="2764"/>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6"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1,259,222,714.94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725,237,311.63</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5"/>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05"/>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5"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 金融资产净增加额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17,411,467.39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12,076,850.26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54,392,044.94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65,203,873.76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1,331,026,227.27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802,518,035.65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850,857,610.70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423,646,976.38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089"/>
        <w:gridCol w:w="2705"/>
        <w:gridCol w:w="2764"/>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191,813,324.22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157,169,830.62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111,040,710.69</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68,675,312.75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135,494,362.53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115,183,025.05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1,289,206,008.14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764,675,144.80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41,820,219.13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37,842,890.85</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处置固定资产、无形资产和其他长期资产收回的</w:t>
            </w:r>
            <w:r>
              <w:rPr>
                <w:rFonts w:ascii="宋体" w:hAnsi="宋体" w:cs="宋体" w:eastAsia="宋体" w:hint="default"/>
                <w:sz w:val="18"/>
                <w:szCs w:val="18"/>
              </w:rPr>
              <w:t> 现金净额</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20,665.00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144,514.00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20,665.00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3,744,514.00</w:t>
            </w:r>
          </w:p>
        </w:tc>
      </w:tr>
      <w:tr>
        <w:trPr>
          <w:trHeight w:val="714"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购建固定资产、无形资产和其他长期资产支付的</w:t>
            </w:r>
            <w:r>
              <w:rPr>
                <w:rFonts w:ascii="宋体" w:hAnsi="宋体" w:cs="宋体" w:eastAsia="宋体" w:hint="default"/>
                <w:sz w:val="18"/>
                <w:szCs w:val="18"/>
              </w:rPr>
              <w:t> 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7,619,392.16</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16,794,559.02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64,340,516.39</w:t>
            </w: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71,979,908.55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16,794,559.02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-71,959,243.55</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-13,050,045.02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6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186,928,674.33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37,600,000.00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246,928,674.33</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157,600,000.00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7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5,196,320.64</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17,427,510.82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705" w:type="dxa"/>
            <w:tcBorders>
              <w:top w:val="single" w:sz="4" w:space="0" w:color="000000"/>
              <w:left w:val="single" w:sz="10" w:space="0" w:color="D2D2D2"/>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112"/>
        <w:gridCol w:w="2693"/>
        <w:gridCol w:w="2764"/>
      </w:tblGrid>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5,039.17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5,015.90</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75,201,359.81</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137,432,526.72</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171,727,314.52</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20,167,473.28</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693"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141,588,290.10</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44,960,319.11</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603,522,119.67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558,561,800.56</w:t>
            </w:r>
          </w:p>
        </w:tc>
      </w:tr>
      <w:tr>
        <w:trPr>
          <w:trHeight w:val="40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745,110,409.77</w:t>
            </w:r>
          </w:p>
        </w:tc>
        <w:tc>
          <w:tcPr>
            <w:tcW w:w="2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603,522,119.67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15"/>
      <w:bookmarkEnd w:id="11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7"/>
        <w:gridCol w:w="3698"/>
        <w:gridCol w:w="1913"/>
      </w:tblGrid>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266,576,537.12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215,497,074.13</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7,070,986.41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5,428,898.71</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11,257,617.28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15,633,956.74</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284,905,140.81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236,559,929.58</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86,469,730.53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102,838,564.31</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62,347,538.25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49,794,527.26</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23,063,088.71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22,242,183.09</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58,054,272.40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106,039,178.21</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229,934,629.89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280,914,452.87</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54,970,510.92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-44,354,523.29</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w:t>
            </w:r>
            <w:r>
              <w:rPr>
                <w:rFonts w:ascii="宋体" w:hAnsi="宋体" w:cs="宋体" w:eastAsia="宋体" w:hint="default"/>
                <w:sz w:val="18"/>
                <w:szCs w:val="18"/>
              </w:rPr>
              <w:t> 的现金净额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31,600.00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31,600.00</w:t>
            </w:r>
          </w:p>
        </w:tc>
      </w:tr>
      <w:tr>
        <w:trPr>
          <w:trHeight w:val="714"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购建固定资产、无形资产和其他长期资产支付</w:t>
            </w:r>
            <w:r>
              <w:rPr>
                <w:rFonts w:ascii="宋体" w:hAnsi="宋体" w:cs="宋体" w:eastAsia="宋体" w:hint="default"/>
                <w:sz w:val="18"/>
                <w:szCs w:val="18"/>
              </w:rPr>
              <w:t> 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2,412,343.95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2,649,319.05</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50,191,700.00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4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947"/>
        <w:gridCol w:w="3698"/>
        <w:gridCol w:w="1913"/>
      </w:tblGrid>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52,604,043.95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2,649,319.05</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-52,601,243.95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-2,617,719.05</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186,928,674.33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186,928,674.33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1,727,120.65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4,734,867.50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5,015.90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1,732,159.82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4,739,883.40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185,196,514.51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-4,739,883.40</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369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187,565,781.48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-51,712,125.74</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94,962,335.35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146,674,461.09</w:t>
            </w:r>
          </w:p>
        </w:tc>
      </w:tr>
      <w:tr>
        <w:trPr>
          <w:trHeight w:val="402" w:hRule="exact"/>
        </w:trPr>
        <w:tc>
          <w:tcPr>
            <w:tcW w:w="3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6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282,528,116.83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94,962,335.35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16"/>
      <w:bookmarkEnd w:id="11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9"/>
        <w:gridCol w:w="562"/>
        <w:gridCol w:w="530"/>
        <w:gridCol w:w="532"/>
        <w:gridCol w:w="530"/>
        <w:gridCol w:w="665"/>
        <w:gridCol w:w="665"/>
        <w:gridCol w:w="665"/>
        <w:gridCol w:w="665"/>
        <w:gridCol w:w="664"/>
        <w:gridCol w:w="666"/>
        <w:gridCol w:w="665"/>
        <w:gridCol w:w="665"/>
        <w:gridCol w:w="659"/>
      </w:tblGrid>
      <w:tr>
        <w:trPr>
          <w:trHeight w:val="402" w:hRule="exact"/>
        </w:trPr>
        <w:tc>
          <w:tcPr>
            <w:tcW w:w="1439"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9" w:type="dxa"/>
            <w:vMerge/>
            <w:tcBorders>
              <w:left w:val="single" w:sz="4" w:space="0" w:color="000000"/>
              <w:right w:val="single" w:sz="4" w:space="0" w:color="000000"/>
            </w:tcBorders>
            <w:shd w:val="clear" w:color="auto" w:fill="D2D2D2"/>
          </w:tcPr>
          <w:p>
            <w:pPr/>
          </w:p>
        </w:tc>
        <w:tc>
          <w:tcPr>
            <w:tcW w:w="6809"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9" w:type="dxa"/>
            <w:vMerge/>
            <w:tcBorders>
              <w:left w:val="single" w:sz="4" w:space="0" w:color="000000"/>
              <w:bottom w:val="nil" w:sz="6" w:space="0" w:color="auto"/>
              <w:right w:val="single" w:sz="4" w:space="0" w:color="000000"/>
            </w:tcBorders>
            <w:shd w:val="clear" w:color="auto" w:fill="D2D2D2"/>
          </w:tcPr>
          <w:p>
            <w:pPr/>
          </w:p>
        </w:tc>
        <w:tc>
          <w:tcPr>
            <w:tcW w:w="6809"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9"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9"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9"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9"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9"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,501.13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40,231,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909.75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343,518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,416.86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86,129,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574.44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906,057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,467.18</w:t>
            </w:r>
          </w:p>
        </w:tc>
      </w:tr>
      <w:tr>
        <w:trPr>
          <w:trHeight w:val="392" w:hRule="exact"/>
        </w:trPr>
        <w:tc>
          <w:tcPr>
            <w:tcW w:w="14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43"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,501.13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40,231,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909.75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343,518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,416.86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86,129,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574.44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906,057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,467.18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250,918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,484.25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835,310</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116,873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,450.40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-34,445,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359.85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377,731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,493.74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119,435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,881.99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5,642,7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36.20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125,078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,618.19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250,918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,484.25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294,468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,092.25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43,549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,608.0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250,918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,484.25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294,468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,092.25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2,067,3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41.75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-3,794,4</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62.40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20.65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2,067,3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41.75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-2,067,3</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41.75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20.65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20.65</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-1,232,0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30.81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1,232,0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30.81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-40,088,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096.05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-40,088,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096.05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216,26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1,673.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514,383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,985.38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41,067,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220.69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460,391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,867.26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51,684,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214.59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88,960.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92</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109,613</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,835.59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38,985,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088.08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202,676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,894.05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76,176,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000.85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600,163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,883.57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 w:right="0"/>
              <w:jc w:val="left"/>
              <w:rPr>
                <w:rFonts w:ascii="Times New Roman" w:hAnsi="Times New Roman" w:cs="Times New Roman" w:eastAsia="Times New Roman" w:hint="default"/>
                <w:sz w:val="18"/>
                <w:szCs w:val="18"/>
              </w:rPr>
            </w:pPr>
            <w:r>
              <w:rPr>
                <w:rFonts w:ascii="Times New Roman"/>
                <w:sz w:val="18"/>
              </w:rPr>
              <w:t>153,851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,665.54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64,904,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155.59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17,680,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549.37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236,436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,370.50</w:t>
            </w:r>
          </w:p>
        </w:tc>
      </w:tr>
      <w:tr>
        <w:trPr>
          <w:trHeight w:val="162"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5,263,2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29.45</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-5,443,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229.45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,501.13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38,985,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088.08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272,844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,279.09</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88,413,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320.77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836,420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,254.07</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3"/>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1,246,8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70,674,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137.77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-2,283,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746.33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69,637,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213.11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73,648,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080.09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-1,380,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746.33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72,267,</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333.76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1,246,8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-2,973,9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42.32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-180,60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-1,907,7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20.65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1,246,8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21.67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-1,246,8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20.65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-180,60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-1,907,7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20.65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-722,40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-722,40</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-722,40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-722,40</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,501.13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40,231,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909.75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343,518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,416.86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86,129,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574.44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906,057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,467.18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8、母公司所有者权益变动表" w:id="117"/>
      <w:bookmarkEnd w:id="11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6"/>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065.00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109,629,7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48.58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38,999,87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141,851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,294.96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463,192,9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065.00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109,629,7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48.58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38,999,87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141,851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,294.96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463,192,9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87.48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43,549,6</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504,599,0</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19.11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2,067,341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16,878,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955.14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567,094,9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20,673,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417.54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20,673,41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7.54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43,549,6</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504,599,0</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19.11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548,148,6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27.11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43,549,6</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504,599,0</w:t>
            </w:r>
          </w:p>
          <w:p>
            <w:pPr>
              <w:pStyle w:val="TableParagraph"/>
              <w:spacing w:line="240" w:lineRule="auto" w:before="106"/>
              <w:ind w:left="366" w:right="0"/>
              <w:jc w:val="left"/>
              <w:rPr>
                <w:rFonts w:ascii="Times New Roman" w:hAnsi="Times New Roman" w:cs="Times New Roman" w:eastAsia="Times New Roman" w:hint="default"/>
                <w:sz w:val="18"/>
                <w:szCs w:val="18"/>
              </w:rPr>
            </w:pPr>
            <w:r>
              <w:rPr>
                <w:rFonts w:ascii="Times New Roman"/>
                <w:sz w:val="18"/>
              </w:rPr>
              <w:t>19.11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548,148,6</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27.11</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2,067,341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-3,794,4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62.40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0.65</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2,067,341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-2,067,3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41.75</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20.65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216,261,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673.00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614,228,7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67.69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41,067,22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158,730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,250.10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1,030,287</w:t>
            </w:r>
          </w:p>
          <w:p>
            <w:pPr>
              <w:pStyle w:val="TableParagraph"/>
              <w:spacing w:line="240" w:lineRule="auto" w:before="106"/>
              <w:ind w:left="191" w:right="0"/>
              <w:jc w:val="center"/>
              <w:rPr>
                <w:rFonts w:ascii="Times New Roman" w:hAnsi="Times New Roman" w:cs="Times New Roman" w:eastAsia="Times New Roman" w:hint="default"/>
                <w:sz w:val="18"/>
                <w:szCs w:val="18"/>
              </w:rPr>
            </w:pPr>
            <w:r>
              <w:rPr>
                <w:rFonts w:ascii="Times New Roman"/>
                <w:sz w:val="18"/>
              </w:rPr>
              <w:t>,911.48</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065.00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101,070,6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54.03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38,985,08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8.08</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143,445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,297.90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456,213,1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05.01</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8,559,094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-986,683.</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-8,880,1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48.47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-1,307,73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7.08</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065.00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109,629,7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48.58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37,998,40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134,565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,149.43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454,905,3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67.93</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1,001,474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7,286,1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45.53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8,287,619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10,014,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740.20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10,014,74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1,001,474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-2,728,5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94.67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1,246,821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-1,246,8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21.67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-1,727,1</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20.65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-245,347.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245,347</w:t>
            </w:r>
          </w:p>
          <w:p>
            <w:pPr>
              <w:pStyle w:val="TableParagraph"/>
              <w:spacing w:line="240" w:lineRule="auto" w:before="106"/>
              <w:ind w:left="418" w:right="0"/>
              <w:jc w:val="left"/>
              <w:rPr>
                <w:rFonts w:ascii="Times New Roman" w:hAnsi="Times New Roman" w:cs="Times New Roman" w:eastAsia="Times New Roman" w:hint="default"/>
                <w:sz w:val="18"/>
                <w:szCs w:val="18"/>
              </w:rPr>
            </w:pPr>
            <w:r>
              <w:rPr>
                <w:rFonts w:ascii="Times New Roman"/>
                <w:sz w:val="18"/>
              </w:rPr>
              <w:t>.65</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172,712,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065.00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109,629,7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48.58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38,999,87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8.94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141,851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,294.96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463,192,9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87.48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公司基本情况" w:id="118"/>
      <w:bookmarkEnd w:id="118"/>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4"/>
        <w:spacing w:line="307" w:lineRule="auto" w:before="0"/>
        <w:ind w:left="573" w:right="1269"/>
        <w:jc w:val="left"/>
        <w:rPr>
          <w:rFonts w:ascii="Times New Roman" w:hAnsi="Times New Roman" w:cs="Times New Roman" w:eastAsia="Times New Roman" w:hint="default"/>
        </w:rPr>
      </w:pPr>
      <w:r>
        <w:rPr/>
        <w:t>（一）公司历史沿革 成都卫士通信息产业股份有限公司（以下简称</w:t>
      </w:r>
      <w:r>
        <w:rPr>
          <w:rFonts w:ascii="Times New Roman" w:hAnsi="Times New Roman" w:cs="Times New Roman" w:eastAsia="Times New Roman" w:hint="default"/>
        </w:rPr>
        <w:t>“</w:t>
      </w:r>
      <w:r>
        <w:rPr/>
        <w:t>卫士通公司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）是于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p>
    <w:p>
      <w:pPr>
        <w:pStyle w:val="Heading4"/>
        <w:spacing w:line="247" w:lineRule="exact" w:before="0"/>
        <w:ind w:left="154" w:right="0"/>
        <w:jc w:val="both"/>
      </w:pPr>
      <w:r>
        <w:rPr/>
        <w:t>日经成都市经济体制改革委员会</w:t>
      </w:r>
      <w:r>
        <w:rPr>
          <w:rFonts w:ascii="Times New Roman" w:hAnsi="Times New Roman" w:cs="Times New Roman" w:eastAsia="Times New Roman" w:hint="default"/>
        </w:rPr>
        <w:t>“</w:t>
      </w:r>
      <w:r>
        <w:rPr/>
        <w:t>成体改</w:t>
      </w:r>
      <w:r>
        <w:rPr>
          <w:rFonts w:ascii="Times New Roman" w:hAnsi="Times New Roman" w:cs="Times New Roman" w:eastAsia="Times New Roman" w:hint="default"/>
        </w:rPr>
        <w:t>[1998]</w:t>
      </w:r>
      <w:r>
        <w:rPr/>
        <w:t>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批准成立的股份有限公司，取得了成都市工商行政</w:t>
      </w:r>
    </w:p>
    <w:p>
      <w:pPr>
        <w:pStyle w:val="Heading4"/>
        <w:spacing w:line="259" w:lineRule="auto" w:before="21"/>
        <w:ind w:left="154" w:right="1133"/>
        <w:jc w:val="both"/>
      </w:pPr>
      <w:r>
        <w:rPr>
          <w:spacing w:val="-3"/>
        </w:rPr>
        <w:t>管理局核发的</w:t>
      </w:r>
      <w:r>
        <w:rPr>
          <w:rFonts w:ascii="Times New Roman" w:hAnsi="Times New Roman" w:cs="Times New Roman" w:eastAsia="Times New Roman" w:hint="default"/>
          <w:spacing w:val="-3"/>
        </w:rPr>
        <w:t>510109000045289</w:t>
      </w:r>
      <w:r>
        <w:rPr>
          <w:spacing w:val="-3"/>
        </w:rPr>
        <w:t>号《企业法人营业执照》。公司由中国电子科技集团公司第三十研究所（以</w:t>
      </w:r>
      <w:r>
        <w:rPr>
          <w:spacing w:val="-77"/>
        </w:rPr>
        <w:t> </w:t>
      </w:r>
      <w:r>
        <w:rPr>
          <w:spacing w:val="-77"/>
        </w:rPr>
      </w:r>
      <w:r>
        <w:rPr/>
        <w:t>下或称</w:t>
      </w:r>
      <w:r>
        <w:rPr>
          <w:rFonts w:ascii="Times New Roman" w:hAnsi="Times New Roman" w:cs="Times New Roman" w:eastAsia="Times New Roman" w:hint="default"/>
        </w:rPr>
        <w:t>“</w:t>
      </w:r>
      <w:r>
        <w:rPr/>
        <w:t>三十所</w:t>
      </w:r>
      <w:r>
        <w:rPr>
          <w:rFonts w:ascii="Times New Roman" w:hAnsi="Times New Roman" w:cs="Times New Roman" w:eastAsia="Times New Roman" w:hint="default"/>
        </w:rPr>
        <w:t>”</w:t>
      </w:r>
      <w:r>
        <w:rPr/>
        <w:t>）、西南通信研究所、成都西通开发公司及罗天文等</w:t>
      </w:r>
      <w:r>
        <w:rPr>
          <w:rFonts w:ascii="Times New Roman" w:hAnsi="Times New Roman" w:cs="Times New Roman" w:eastAsia="Times New Roman" w:hint="default"/>
        </w:rPr>
        <w:t>1418</w:t>
      </w:r>
      <w:r>
        <w:rPr/>
        <w:t>名自然人共同出资以发起设立方 式组建，公司注册资本人民币</w:t>
      </w:r>
      <w:r>
        <w:rPr>
          <w:rFonts w:ascii="Times New Roman" w:hAnsi="Times New Roman" w:cs="Times New Roman" w:eastAsia="Times New Roman" w:hint="default"/>
        </w:rPr>
        <w:t>1,201.00</w:t>
      </w:r>
      <w:r>
        <w:rPr/>
        <w:t>万元。</w:t>
      </w:r>
    </w:p>
    <w:p>
      <w:pPr>
        <w:pStyle w:val="Heading4"/>
        <w:spacing w:line="256" w:lineRule="auto" w:before="41"/>
        <w:ind w:left="154" w:right="0" w:firstLine="420"/>
        <w:jc w:val="left"/>
      </w:pPr>
      <w:r>
        <w:rPr>
          <w:spacing w:val="2"/>
        </w:rPr>
        <w:t>公司于</w:t>
      </w:r>
      <w:r>
        <w:rPr>
          <w:rFonts w:ascii="Times New Roman" w:hAnsi="Times New Roman" w:cs="Times New Roman" w:eastAsia="Times New Roman" w:hint="default"/>
          <w:spacing w:val="2"/>
        </w:rPr>
        <w:t>2000</w:t>
      </w:r>
      <w:r>
        <w:rPr>
          <w:spacing w:val="2"/>
        </w:rPr>
        <w:t>年实施</w:t>
      </w:r>
      <w:r>
        <w:rPr>
          <w:rFonts w:ascii="Times New Roman" w:hAnsi="Times New Roman" w:cs="Times New Roman" w:eastAsia="Times New Roman" w:hint="default"/>
          <w:spacing w:val="2"/>
        </w:rPr>
        <w:t>1999</w:t>
      </w:r>
      <w:r>
        <w:rPr>
          <w:spacing w:val="2"/>
        </w:rPr>
        <w:t>年度分配方案，以</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日累计可供分配利润向全体股东每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5.6</w:t>
      </w:r>
      <w:r>
        <w:rPr>
          <w:rFonts w:ascii="Times New Roman" w:hAnsi="Times New Roman" w:cs="Times New Roman" w:eastAsia="Times New Roman" w:hint="default"/>
        </w:rPr>
        <w:t> </w:t>
      </w:r>
      <w:r>
        <w:rPr/>
        <w:t>股，共计派发股票股利</w:t>
      </w:r>
      <w:r>
        <w:rPr>
          <w:rFonts w:ascii="Times New Roman" w:hAnsi="Times New Roman" w:cs="Times New Roman" w:eastAsia="Times New Roman" w:hint="default"/>
        </w:rPr>
        <w:t>6,725,600.00</w:t>
      </w:r>
      <w:r>
        <w:rPr/>
        <w:t>元，变更后总股本</w:t>
      </w:r>
      <w:r>
        <w:rPr>
          <w:rFonts w:ascii="Times New Roman" w:hAnsi="Times New Roman" w:cs="Times New Roman" w:eastAsia="Times New Roman" w:hint="default"/>
        </w:rPr>
        <w:t>18,735,600</w:t>
      </w:r>
      <w:r>
        <w:rPr/>
        <w:t>股。</w:t>
      </w:r>
    </w:p>
    <w:p>
      <w:pPr>
        <w:pStyle w:val="Heading4"/>
        <w:spacing w:line="240" w:lineRule="auto" w:before="5"/>
        <w:ind w:left="574" w:right="0"/>
        <w:jc w:val="left"/>
      </w:pPr>
      <w:r>
        <w:rPr/>
        <w:t>公司于</w:t>
      </w:r>
      <w:r>
        <w:rPr>
          <w:rFonts w:ascii="Times New Roman" w:hAnsi="Times New Roman" w:cs="Times New Roman" w:eastAsia="Times New Roman" w:hint="default"/>
        </w:rPr>
        <w:t>2001</w:t>
      </w:r>
      <w:r>
        <w:rPr/>
        <w:t>年实施</w:t>
      </w:r>
      <w:r>
        <w:rPr>
          <w:rFonts w:ascii="Times New Roman" w:hAnsi="Times New Roman" w:cs="Times New Roman" w:eastAsia="Times New Roman" w:hint="default"/>
        </w:rPr>
        <w:t>2000</w:t>
      </w:r>
      <w:r>
        <w:rPr/>
        <w:t>年度分配方案，以</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日累计可供分配利润向全体股东每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3</w:t>
      </w:r>
      <w:r>
        <w:rPr/>
        <w:t>股，</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pPr>
      <w:r>
        <w:rPr/>
        <w:t>共计派发股票股利</w:t>
      </w:r>
      <w:r>
        <w:rPr>
          <w:rFonts w:ascii="Times New Roman" w:hAnsi="Times New Roman" w:cs="Times New Roman" w:eastAsia="Times New Roman" w:hint="default"/>
        </w:rPr>
        <w:t>5,620,680.00</w:t>
      </w:r>
      <w:r>
        <w:rPr/>
        <w:t>元，变更后总股本</w:t>
      </w:r>
      <w:r>
        <w:rPr>
          <w:rFonts w:ascii="Times New Roman" w:hAnsi="Times New Roman" w:cs="Times New Roman" w:eastAsia="Times New Roman" w:hint="default"/>
        </w:rPr>
        <w:t>24,356,280</w:t>
      </w:r>
      <w:r>
        <w:rPr/>
        <w:t>股。</w:t>
      </w:r>
    </w:p>
    <w:p>
      <w:pPr>
        <w:pStyle w:val="Heading4"/>
        <w:spacing w:line="240" w:lineRule="auto" w:before="21"/>
        <w:ind w:left="573" w:right="0"/>
        <w:jc w:val="left"/>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月公司发起人股东在持有本公司股份满三年后进行合法转让，自然人股东分别转让</w:t>
      </w:r>
      <w:r>
        <w:rPr>
          <w:rFonts w:ascii="Times New Roman" w:hAnsi="Times New Roman" w:cs="Times New Roman" w:eastAsia="Times New Roman" w:hint="default"/>
        </w:rPr>
        <w:t>860</w:t>
      </w:r>
      <w:r>
        <w:rPr/>
        <w:t>万股和</w:t>
      </w:r>
    </w:p>
    <w:p>
      <w:pPr>
        <w:pStyle w:val="Heading4"/>
        <w:spacing w:line="261" w:lineRule="auto" w:before="21"/>
        <w:ind w:right="1026"/>
        <w:jc w:val="both"/>
      </w:pPr>
      <w:r>
        <w:rPr>
          <w:rFonts w:ascii="Times New Roman" w:hAnsi="Times New Roman" w:cs="Times New Roman" w:eastAsia="Times New Roman" w:hint="default"/>
        </w:rPr>
        <w:t>120</w:t>
      </w:r>
      <w:r>
        <w:rPr/>
        <w:t>万股给成都新兴创业投资有限责任公司和成都三实立科技实业有限公司，同时自然人股东内部也进行</w:t>
      </w:r>
      <w:r>
        <w:rPr>
          <w:spacing w:val="-35"/>
        </w:rPr>
        <w:t> </w:t>
      </w:r>
      <w:r>
        <w:rPr>
          <w:spacing w:val="-35"/>
        </w:rPr>
      </w:r>
      <w:r>
        <w:rPr/>
        <w:t>了转让，上述股权转让已在成都市工商行政管理局办理备案登记。转让后，股本结构变化为中国电子科技</w:t>
      </w:r>
      <w:r>
        <w:rPr/>
        <w:t> </w:t>
      </w:r>
      <w:r>
        <w:rPr>
          <w:spacing w:val="2"/>
        </w:rPr>
        <w:t>集团公司第三十研究所持股</w:t>
      </w:r>
      <w:r>
        <w:rPr>
          <w:rFonts w:ascii="Times New Roman" w:hAnsi="Times New Roman" w:cs="Times New Roman" w:eastAsia="Times New Roman" w:hint="default"/>
          <w:spacing w:val="2"/>
        </w:rPr>
        <w:t>42.96%</w:t>
      </w:r>
      <w:r>
        <w:rPr>
          <w:spacing w:val="2"/>
        </w:rPr>
        <w:t>，成都新兴创业投资有限责任公司持股</w:t>
      </w:r>
      <w:r>
        <w:rPr>
          <w:rFonts w:ascii="Times New Roman" w:hAnsi="Times New Roman" w:cs="Times New Roman" w:eastAsia="Times New Roman" w:hint="default"/>
          <w:spacing w:val="2"/>
        </w:rPr>
        <w:t>35.31%</w:t>
      </w:r>
      <w:r>
        <w:rPr>
          <w:spacing w:val="2"/>
        </w:rPr>
        <w:t>，西南通信研究所持股</w:t>
      </w:r>
      <w:r>
        <w:rPr>
          <w:spacing w:val="-73"/>
        </w:rPr>
        <w:t> </w:t>
      </w:r>
      <w:r>
        <w:rPr>
          <w:spacing w:val="-73"/>
        </w:rPr>
      </w:r>
      <w:r>
        <w:rPr>
          <w:rFonts w:ascii="Times New Roman" w:hAnsi="Times New Roman" w:cs="Times New Roman" w:eastAsia="Times New Roman" w:hint="default"/>
          <w:spacing w:val="-3"/>
        </w:rPr>
        <w:t>5%</w:t>
      </w:r>
      <w:r>
        <w:rPr>
          <w:spacing w:val="-3"/>
        </w:rPr>
        <w:t>，成都三实立科技实业有限公司持股</w:t>
      </w:r>
      <w:r>
        <w:rPr>
          <w:rFonts w:ascii="Times New Roman" w:hAnsi="Times New Roman" w:cs="Times New Roman" w:eastAsia="Times New Roman" w:hint="default"/>
          <w:spacing w:val="-3"/>
        </w:rPr>
        <w:t>4.93%</w:t>
      </w:r>
      <w:r>
        <w:rPr>
          <w:spacing w:val="-3"/>
        </w:rPr>
        <w:t>，成都西通开发公司持股</w:t>
      </w:r>
      <w:r>
        <w:rPr>
          <w:rFonts w:ascii="Times New Roman" w:hAnsi="Times New Roman" w:cs="Times New Roman" w:eastAsia="Times New Roman" w:hint="default"/>
          <w:spacing w:val="-3"/>
        </w:rPr>
        <w:t>2.08%</w:t>
      </w:r>
      <w:r>
        <w:rPr>
          <w:spacing w:val="-3"/>
        </w:rPr>
        <w:t>，</w:t>
      </w:r>
      <w:r>
        <w:rPr>
          <w:rFonts w:ascii="Times New Roman" w:hAnsi="Times New Roman" w:cs="Times New Roman" w:eastAsia="Times New Roman" w:hint="default"/>
          <w:spacing w:val="-3"/>
        </w:rPr>
        <w:t>16</w:t>
      </w:r>
      <w:r>
        <w:rPr>
          <w:spacing w:val="-3"/>
        </w:rPr>
        <w:t>名自然人股东持股</w:t>
      </w:r>
      <w:r>
        <w:rPr>
          <w:rFonts w:ascii="Times New Roman" w:hAnsi="Times New Roman" w:cs="Times New Roman" w:eastAsia="Times New Roman" w:hint="default"/>
          <w:spacing w:val="-3"/>
        </w:rPr>
        <w:t>9.72%</w:t>
      </w:r>
      <w:r>
        <w:rPr>
          <w:spacing w:val="-3"/>
        </w:rPr>
        <w:t>。</w:t>
      </w:r>
    </w:p>
    <w:p>
      <w:pPr>
        <w:pStyle w:val="Heading4"/>
        <w:spacing w:line="256" w:lineRule="auto" w:before="0"/>
        <w:ind w:left="154" w:right="1055" w:firstLine="420"/>
        <w:jc w:val="both"/>
      </w:pPr>
      <w:r>
        <w:rPr/>
        <w:t>公司于</w:t>
      </w:r>
      <w:r>
        <w:rPr>
          <w:rFonts w:ascii="Times New Roman" w:hAnsi="Times New Roman" w:cs="Times New Roman" w:eastAsia="Times New Roman" w:hint="default"/>
        </w:rPr>
        <w:t>2002</w:t>
      </w:r>
      <w:r>
        <w:rPr/>
        <w:t>年实施</w:t>
      </w:r>
      <w:r>
        <w:rPr>
          <w:rFonts w:ascii="Times New Roman" w:hAnsi="Times New Roman" w:cs="Times New Roman" w:eastAsia="Times New Roman" w:hint="default"/>
        </w:rPr>
        <w:t>2001</w:t>
      </w:r>
      <w:r>
        <w:rPr/>
        <w:t>年度分配方案，以</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日累计未分配利润向全体股东每</w:t>
      </w:r>
      <w:r>
        <w:rPr>
          <w:rFonts w:ascii="Times New Roman" w:hAnsi="Times New Roman" w:cs="Times New Roman" w:eastAsia="Times New Roman" w:hint="default"/>
        </w:rPr>
        <w:t>10</w:t>
      </w:r>
      <w:r>
        <w:rPr/>
        <w:t>股送</w:t>
      </w:r>
      <w:r>
        <w:rPr>
          <w:rFonts w:ascii="Times New Roman" w:hAnsi="Times New Roman" w:cs="Times New Roman" w:eastAsia="Times New Roman" w:hint="default"/>
        </w:rPr>
        <w:t>4.5</w:t>
      </w:r>
      <w:r>
        <w:rPr/>
        <w:t>股， 共计派发股票股利</w:t>
      </w:r>
      <w:r>
        <w:rPr>
          <w:rFonts w:ascii="Times New Roman" w:hAnsi="Times New Roman" w:cs="Times New Roman" w:eastAsia="Times New Roman" w:hint="default"/>
        </w:rPr>
        <w:t>10,960,326.00</w:t>
      </w:r>
      <w:r>
        <w:rPr/>
        <w:t>元，变更后总股本</w:t>
      </w:r>
      <w:r>
        <w:rPr>
          <w:rFonts w:ascii="Times New Roman" w:hAnsi="Times New Roman" w:cs="Times New Roman" w:eastAsia="Times New Roman" w:hint="default"/>
        </w:rPr>
        <w:t>35,316,606</w:t>
      </w:r>
      <w:r>
        <w:rPr/>
        <w:t>股。</w:t>
      </w:r>
    </w:p>
    <w:p>
      <w:pPr>
        <w:pStyle w:val="Heading4"/>
        <w:spacing w:line="256" w:lineRule="auto" w:before="5"/>
        <w:ind w:left="154" w:right="0" w:firstLine="420"/>
        <w:jc w:val="left"/>
      </w:pPr>
      <w:r>
        <w:rPr>
          <w:spacing w:val="-2"/>
        </w:rPr>
        <w:t>公司于</w:t>
      </w:r>
      <w:r>
        <w:rPr>
          <w:rFonts w:ascii="Times New Roman" w:hAnsi="Times New Roman" w:cs="Times New Roman" w:eastAsia="Times New Roman" w:hint="default"/>
          <w:spacing w:val="-2"/>
        </w:rPr>
        <w:t>2003</w:t>
      </w:r>
      <w:r>
        <w:rPr>
          <w:spacing w:val="-2"/>
        </w:rPr>
        <w:t>年实施</w:t>
      </w:r>
      <w:r>
        <w:rPr>
          <w:rFonts w:ascii="Times New Roman" w:hAnsi="Times New Roman" w:cs="Times New Roman" w:eastAsia="Times New Roman" w:hint="default"/>
          <w:spacing w:val="-2"/>
        </w:rPr>
        <w:t>2002</w:t>
      </w:r>
      <w:r>
        <w:rPr>
          <w:spacing w:val="-2"/>
        </w:rPr>
        <w:t>年度分配方案，以</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日累计未分配利润向全体股东每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1.44</w:t>
      </w:r>
      <w:r>
        <w:rPr>
          <w:spacing w:val="-2"/>
        </w:rPr>
        <w:t>股， </w:t>
      </w:r>
      <w:r>
        <w:rPr/>
        <w:t>共计派发股票股利</w:t>
      </w:r>
      <w:r>
        <w:rPr>
          <w:rFonts w:ascii="Times New Roman" w:hAnsi="Times New Roman" w:cs="Times New Roman" w:eastAsia="Times New Roman" w:hint="default"/>
        </w:rPr>
        <w:t>5,085,581.00</w:t>
      </w:r>
      <w:r>
        <w:rPr/>
        <w:t>元，变更后总股本</w:t>
      </w:r>
      <w:r>
        <w:rPr>
          <w:rFonts w:ascii="Times New Roman" w:hAnsi="Times New Roman" w:cs="Times New Roman" w:eastAsia="Times New Roman" w:hint="default"/>
        </w:rPr>
        <w:t>40,402,187</w:t>
      </w:r>
      <w:r>
        <w:rPr/>
        <w:t>股。</w:t>
      </w:r>
    </w:p>
    <w:p>
      <w:pPr>
        <w:pStyle w:val="Heading4"/>
        <w:spacing w:line="240" w:lineRule="auto" w:before="5"/>
        <w:ind w:left="574" w:right="0"/>
        <w:jc w:val="left"/>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月，成都西通开发公司、西南通信研究所根据中国电子科技集团公司电科财（</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093</w:t>
      </w:r>
      <w:r>
        <w:rPr/>
        <w:t>号文</w:t>
      </w:r>
    </w:p>
    <w:p>
      <w:pPr>
        <w:pStyle w:val="Heading4"/>
        <w:spacing w:line="264" w:lineRule="auto" w:before="21"/>
        <w:ind w:right="0"/>
        <w:jc w:val="left"/>
      </w:pPr>
      <w:r>
        <w:rPr/>
        <w:t>《关于同意中国电子科技集团公司第三十研究所全资公司进行资本结构调整的批复》，分别与中国电子科 </w:t>
      </w:r>
      <w:r>
        <w:rPr>
          <w:spacing w:val="-2"/>
        </w:rPr>
        <w:t>技集团公司第三十研究所签订《股权划转协议》，将持有的本公司</w:t>
      </w:r>
      <w:r>
        <w:rPr>
          <w:rFonts w:ascii="Times New Roman" w:hAnsi="Times New Roman" w:cs="Times New Roman" w:eastAsia="Times New Roman" w:hint="default"/>
          <w:spacing w:val="-2"/>
        </w:rPr>
        <w:t>841,011</w:t>
      </w:r>
      <w:r>
        <w:rPr>
          <w:spacing w:val="-2"/>
        </w:rPr>
        <w:t>股、</w:t>
      </w:r>
      <w:r>
        <w:rPr>
          <w:rFonts w:ascii="Times New Roman" w:hAnsi="Times New Roman" w:cs="Times New Roman" w:eastAsia="Times New Roman" w:hint="default"/>
          <w:spacing w:val="-2"/>
        </w:rPr>
        <w:t>2,018,427</w:t>
      </w:r>
      <w:r>
        <w:rPr>
          <w:spacing w:val="-2"/>
        </w:rPr>
        <w:t>股的股权无偿划转</w:t>
      </w:r>
      <w:r>
        <w:rPr>
          <w:spacing w:val="-77"/>
        </w:rPr>
        <w:t> </w:t>
      </w:r>
      <w:r>
        <w:rPr>
          <w:spacing w:val="-77"/>
        </w:rPr>
      </w:r>
      <w:r>
        <w:rPr/>
        <w:t>归中国电子科技集团公司第三十研究所持有。划转后，公司的股权结构为中国电子科技集团公司第三十研</w:t>
      </w:r>
      <w:r>
        <w:rPr/>
        <w:t> </w:t>
      </w:r>
      <w:r>
        <w:rPr>
          <w:spacing w:val="-2"/>
        </w:rPr>
        <w:t>究所持股</w:t>
      </w:r>
      <w:r>
        <w:rPr>
          <w:rFonts w:ascii="Times New Roman" w:hAnsi="Times New Roman" w:cs="Times New Roman" w:eastAsia="Times New Roman" w:hint="default"/>
          <w:spacing w:val="-2"/>
        </w:rPr>
        <w:t>50.04%</w:t>
      </w:r>
      <w:r>
        <w:rPr>
          <w:spacing w:val="-2"/>
        </w:rPr>
        <w:t>，成都新兴创业投资有限责任公司持股</w:t>
      </w:r>
      <w:r>
        <w:rPr>
          <w:rFonts w:ascii="Times New Roman" w:hAnsi="Times New Roman" w:cs="Times New Roman" w:eastAsia="Times New Roman" w:hint="default"/>
          <w:spacing w:val="-2"/>
        </w:rPr>
        <w:t>35.31%</w:t>
      </w:r>
      <w:r>
        <w:rPr>
          <w:spacing w:val="-2"/>
        </w:rPr>
        <w:t>，成都三实立科技实业有限公司持股</w:t>
      </w:r>
      <w:r>
        <w:rPr>
          <w:rFonts w:ascii="Times New Roman" w:hAnsi="Times New Roman" w:cs="Times New Roman" w:eastAsia="Times New Roman" w:hint="default"/>
          <w:spacing w:val="-2"/>
        </w:rPr>
        <w:t>4.93%</w:t>
      </w:r>
      <w:r>
        <w:rPr>
          <w:spacing w:val="-2"/>
        </w:rPr>
        <w:t>，</w:t>
      </w:r>
      <w:r>
        <w:rPr>
          <w:spacing w:val="-74"/>
        </w:rPr>
        <w:t> </w:t>
      </w:r>
      <w:r>
        <w:rPr>
          <w:rFonts w:ascii="Times New Roman" w:hAnsi="Times New Roman" w:cs="Times New Roman" w:eastAsia="Times New Roman" w:hint="default"/>
        </w:rPr>
        <w:t>16</w:t>
      </w:r>
      <w:r>
        <w:rPr/>
        <w:t>名自然人股东持股</w:t>
      </w:r>
      <w:r>
        <w:rPr>
          <w:rFonts w:ascii="Times New Roman" w:hAnsi="Times New Roman" w:cs="Times New Roman" w:eastAsia="Times New Roman" w:hint="default"/>
        </w:rPr>
        <w:t>9.72%</w:t>
      </w:r>
      <w:r>
        <w:rPr/>
        <w:t>。</w:t>
      </w:r>
    </w:p>
    <w:p>
      <w:pPr>
        <w:pStyle w:val="Heading4"/>
        <w:spacing w:line="256" w:lineRule="auto" w:before="0"/>
        <w:ind w:right="1132" w:firstLine="420"/>
        <w:jc w:val="both"/>
      </w:pPr>
      <w:r>
        <w:rPr>
          <w:rFonts w:ascii="Times New Roman" w:hAnsi="Times New Roman" w:cs="Times New Roman" w:eastAsia="Times New Roman" w:hint="default"/>
          <w:spacing w:val="-2"/>
        </w:rPr>
        <w:t>2004</w:t>
      </w:r>
      <w:r>
        <w:rPr>
          <w:spacing w:val="-2"/>
        </w:rPr>
        <w:t>年实施</w:t>
      </w:r>
      <w:r>
        <w:rPr>
          <w:rFonts w:ascii="Times New Roman" w:hAnsi="Times New Roman" w:cs="Times New Roman" w:eastAsia="Times New Roman" w:hint="default"/>
          <w:spacing w:val="-2"/>
        </w:rPr>
        <w:t>2003</w:t>
      </w:r>
      <w:r>
        <w:rPr>
          <w:spacing w:val="-2"/>
        </w:rPr>
        <w:t>年度分配方案，以</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日累计未分配利润向全体股东每</w:t>
      </w:r>
      <w:r>
        <w:rPr>
          <w:rFonts w:ascii="Times New Roman" w:hAnsi="Times New Roman" w:cs="Times New Roman" w:eastAsia="Times New Roman" w:hint="default"/>
          <w:spacing w:val="-2"/>
        </w:rPr>
        <w:t>10</w:t>
      </w:r>
      <w:r>
        <w:rPr>
          <w:spacing w:val="-2"/>
        </w:rPr>
        <w:t>股送</w:t>
      </w:r>
      <w:r>
        <w:rPr>
          <w:rFonts w:ascii="Times New Roman" w:hAnsi="Times New Roman" w:cs="Times New Roman" w:eastAsia="Times New Roman" w:hint="default"/>
          <w:spacing w:val="-2"/>
        </w:rPr>
        <w:t>2.4</w:t>
      </w:r>
      <w:r>
        <w:rPr>
          <w:spacing w:val="-2"/>
        </w:rPr>
        <w:t>股，共计派</w:t>
      </w:r>
      <w:r>
        <w:rPr/>
        <w:t> 发股票股利</w:t>
      </w:r>
      <w:r>
        <w:rPr>
          <w:rFonts w:ascii="Times New Roman" w:hAnsi="Times New Roman" w:cs="Times New Roman" w:eastAsia="Times New Roman" w:hint="default"/>
        </w:rPr>
        <w:t>9,696,518.00</w:t>
      </w:r>
      <w:r>
        <w:rPr/>
        <w:t>元，变更后总股本</w:t>
      </w:r>
      <w:r>
        <w:rPr>
          <w:rFonts w:ascii="Times New Roman" w:hAnsi="Times New Roman" w:cs="Times New Roman" w:eastAsia="Times New Roman" w:hint="default"/>
        </w:rPr>
        <w:t>50,098,705</w:t>
      </w:r>
      <w:r>
        <w:rPr/>
        <w:t>股。</w:t>
      </w:r>
    </w:p>
    <w:p>
      <w:pPr>
        <w:pStyle w:val="Heading4"/>
        <w:spacing w:line="256" w:lineRule="auto" w:before="5"/>
        <w:ind w:right="1127" w:firstLine="420"/>
        <w:jc w:val="both"/>
      </w:pPr>
      <w:r>
        <w:rPr/>
        <w:t>根据公司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日召开的</w:t>
      </w:r>
      <w:r>
        <w:rPr>
          <w:rFonts w:ascii="Times New Roman" w:hAnsi="Times New Roman" w:cs="Times New Roman" w:eastAsia="Times New Roman" w:hint="default"/>
        </w:rPr>
        <w:t>2007</w:t>
      </w:r>
      <w:r>
        <w:rPr/>
        <w:t>年第三次临时股东大会决议和中国证券监督管理委员会</w:t>
      </w:r>
      <w:r>
        <w:rPr>
          <w:rFonts w:ascii="Times New Roman" w:hAnsi="Times New Roman" w:cs="Times New Roman" w:eastAsia="Times New Roman" w:hint="default"/>
        </w:rPr>
        <w:t>“</w:t>
      </w:r>
      <w:r>
        <w:rPr/>
        <w:t>证监许</w:t>
      </w:r>
      <w:r>
        <w:rPr>
          <w:spacing w:val="2"/>
        </w:rPr>
        <w:t> </w:t>
      </w:r>
      <w:r>
        <w:rPr>
          <w:spacing w:val="-2"/>
        </w:rPr>
        <w:t>可</w:t>
      </w:r>
      <w:r>
        <w:rPr>
          <w:rFonts w:ascii="Times New Roman" w:hAnsi="Times New Roman" w:cs="Times New Roman" w:eastAsia="Times New Roman" w:hint="default"/>
          <w:spacing w:val="-2"/>
        </w:rPr>
        <w:t>[2008]926</w:t>
      </w:r>
      <w:r>
        <w:rPr>
          <w:spacing w:val="-2"/>
        </w:rPr>
        <w:t>号</w:t>
      </w:r>
      <w:r>
        <w:rPr>
          <w:rFonts w:ascii="Times New Roman" w:hAnsi="Times New Roman" w:cs="Times New Roman" w:eastAsia="Times New Roman" w:hint="default"/>
          <w:spacing w:val="-2"/>
        </w:rPr>
        <w:t>”</w:t>
      </w:r>
      <w:r>
        <w:rPr>
          <w:spacing w:val="-2"/>
        </w:rPr>
        <w:t>文核准，公司于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日首次公开发行</w:t>
      </w:r>
      <w:r>
        <w:rPr>
          <w:rFonts w:ascii="Times New Roman" w:hAnsi="Times New Roman" w:cs="Times New Roman" w:eastAsia="Times New Roman" w:hint="default"/>
          <w:spacing w:val="-2"/>
        </w:rPr>
        <w:t>17,000,000</w:t>
      </w:r>
      <w:r>
        <w:rPr>
          <w:spacing w:val="-2"/>
        </w:rPr>
        <w:t>股人民币普通股（</w:t>
      </w:r>
      <w:r>
        <w:rPr>
          <w:rFonts w:ascii="Times New Roman" w:hAnsi="Times New Roman" w:cs="Times New Roman" w:eastAsia="Times New Roman" w:hint="default"/>
          <w:spacing w:val="-2"/>
        </w:rPr>
        <w:t>A</w:t>
      </w:r>
      <w:r>
        <w:rPr>
          <w:spacing w:val="-2"/>
        </w:rPr>
        <w:t>股），发行价格</w:t>
      </w:r>
      <w:r>
        <w:rPr>
          <w:spacing w:val="-82"/>
        </w:rPr>
        <w:t> </w:t>
      </w:r>
      <w:r>
        <w:rPr>
          <w:spacing w:val="-82"/>
        </w:rPr>
      </w:r>
      <w:r>
        <w:rPr/>
        <w:t>为</w:t>
      </w:r>
      <w:r>
        <w:rPr>
          <w:rFonts w:ascii="Times New Roman" w:hAnsi="Times New Roman" w:cs="Times New Roman" w:eastAsia="Times New Roman" w:hint="default"/>
        </w:rPr>
        <w:t>12.12</w:t>
      </w:r>
      <w:r>
        <w:rPr/>
        <w:t>元</w:t>
      </w:r>
      <w:r>
        <w:rPr>
          <w:rFonts w:ascii="Times New Roman" w:hAnsi="Times New Roman" w:cs="Times New Roman" w:eastAsia="Times New Roman" w:hint="default"/>
        </w:rPr>
        <w:t>/</w:t>
      </w:r>
      <w:r>
        <w:rPr/>
        <w:t>股。公司申请增加股本</w:t>
      </w:r>
      <w:r>
        <w:rPr>
          <w:rFonts w:ascii="Times New Roman" w:hAnsi="Times New Roman" w:cs="Times New Roman" w:eastAsia="Times New Roman" w:hint="default"/>
        </w:rPr>
        <w:t>17,000,000</w:t>
      </w:r>
      <w:r>
        <w:rPr/>
        <w:t>股，变更后公司总股本增至</w:t>
      </w:r>
      <w:r>
        <w:rPr>
          <w:rFonts w:ascii="Times New Roman" w:hAnsi="Times New Roman" w:cs="Times New Roman" w:eastAsia="Times New Roman" w:hint="default"/>
        </w:rPr>
        <w:t>67,098,705</w:t>
      </w:r>
      <w:r>
        <w:rPr/>
        <w:t>股。</w:t>
      </w:r>
    </w:p>
    <w:p>
      <w:pPr>
        <w:pStyle w:val="Heading4"/>
        <w:spacing w:line="256" w:lineRule="auto" w:before="5"/>
        <w:ind w:left="154" w:right="1130" w:firstLine="420"/>
        <w:jc w:val="both"/>
      </w:pPr>
      <w:r>
        <w:rPr>
          <w:rFonts w:ascii="Times New Roman" w:hAnsi="Times New Roman" w:cs="Times New Roman" w:eastAsia="Times New Roman" w:hint="default"/>
        </w:rPr>
        <w:t>2009</w:t>
      </w:r>
      <w:r>
        <w:rPr/>
        <w:t>年公司实施了</w:t>
      </w:r>
      <w:r>
        <w:rPr>
          <w:rFonts w:ascii="Times New Roman" w:hAnsi="Times New Roman" w:cs="Times New Roman" w:eastAsia="Times New Roman" w:hint="default"/>
        </w:rPr>
        <w:t>2008</w:t>
      </w:r>
      <w:r>
        <w:rPr/>
        <w:t>年年度利润分配方案，以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67,098,705</w:t>
      </w:r>
      <w:r>
        <w:rPr/>
        <w:t>股为基数，以资本 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w:t>
      </w:r>
      <w:r>
        <w:rPr/>
        <w:t>股，变更后公司总股本增至</w:t>
      </w:r>
      <w:r>
        <w:rPr>
          <w:rFonts w:ascii="Times New Roman" w:hAnsi="Times New Roman" w:cs="Times New Roman" w:eastAsia="Times New Roman" w:hint="default"/>
        </w:rPr>
        <w:t>80,518,446</w:t>
      </w:r>
      <w:r>
        <w:rPr/>
        <w:t>股。</w:t>
      </w:r>
    </w:p>
    <w:p>
      <w:pPr>
        <w:pStyle w:val="Heading4"/>
        <w:spacing w:line="256" w:lineRule="auto" w:before="5"/>
        <w:ind w:left="154" w:right="1131" w:firstLine="420"/>
        <w:jc w:val="both"/>
      </w:pPr>
      <w:r>
        <w:rPr>
          <w:rFonts w:ascii="Times New Roman" w:hAnsi="Times New Roman" w:cs="Times New Roman" w:eastAsia="Times New Roman" w:hint="default"/>
        </w:rPr>
        <w:t>2010</w:t>
      </w:r>
      <w:r>
        <w:rPr/>
        <w:t>年公司实施了</w:t>
      </w:r>
      <w:r>
        <w:rPr>
          <w:rFonts w:ascii="Times New Roman" w:hAnsi="Times New Roman" w:cs="Times New Roman" w:eastAsia="Times New Roman" w:hint="default"/>
        </w:rPr>
        <w:t>2009</w:t>
      </w:r>
      <w:r>
        <w:rPr/>
        <w:t>年年度利润分配方案，以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80,518,446</w:t>
      </w:r>
      <w:r>
        <w:rPr/>
        <w:t>股为基数，以资本 公积金和未分配利润向全体股东每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6.5</w:t>
      </w:r>
      <w:r>
        <w:rPr/>
        <w:t>股，变更后公司总股本增至</w:t>
      </w:r>
      <w:r>
        <w:rPr>
          <w:rFonts w:ascii="Times New Roman" w:hAnsi="Times New Roman" w:cs="Times New Roman" w:eastAsia="Times New Roman" w:hint="default"/>
        </w:rPr>
        <w:t>132,855,435</w:t>
      </w:r>
      <w:r>
        <w:rPr/>
        <w:t>股。</w:t>
      </w:r>
    </w:p>
    <w:p>
      <w:pPr>
        <w:pStyle w:val="Heading4"/>
        <w:spacing w:line="256" w:lineRule="auto" w:before="5"/>
        <w:ind w:right="1131" w:firstLine="420"/>
        <w:jc w:val="both"/>
      </w:pPr>
      <w:r>
        <w:rPr>
          <w:rFonts w:ascii="Times New Roman" w:hAnsi="Times New Roman" w:cs="Times New Roman" w:eastAsia="Times New Roman" w:hint="default"/>
          <w:spacing w:val="-1"/>
        </w:rPr>
        <w:t>2011</w:t>
      </w:r>
      <w:r>
        <w:rPr>
          <w:spacing w:val="-1"/>
        </w:rPr>
        <w:t>年公司实施了</w:t>
      </w:r>
      <w:r>
        <w:rPr>
          <w:rFonts w:ascii="Times New Roman" w:hAnsi="Times New Roman" w:cs="Times New Roman" w:eastAsia="Times New Roman" w:hint="default"/>
          <w:spacing w:val="-1"/>
        </w:rPr>
        <w:t>2010</w:t>
      </w:r>
      <w:r>
        <w:rPr>
          <w:spacing w:val="-1"/>
        </w:rPr>
        <w:t>年年度利润分配方案，以</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132,855,435</w:t>
      </w:r>
      <w:r>
        <w:rPr>
          <w:spacing w:val="-1"/>
        </w:rPr>
        <w:t>股为基数，以资本</w:t>
      </w:r>
      <w:r>
        <w:rPr/>
        <w:t> 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股，变更后公司总股本增至</w:t>
      </w:r>
      <w:r>
        <w:rPr>
          <w:rFonts w:ascii="Times New Roman" w:hAnsi="Times New Roman" w:cs="Times New Roman" w:eastAsia="Times New Roman" w:hint="default"/>
        </w:rPr>
        <w:t>172,712,065</w:t>
      </w:r>
      <w:r>
        <w:rPr/>
        <w:t>股。</w:t>
      </w:r>
    </w:p>
    <w:p>
      <w:pPr>
        <w:pStyle w:val="Heading4"/>
        <w:spacing w:line="266" w:lineRule="auto" w:before="5"/>
        <w:ind w:right="1131" w:firstLine="420"/>
        <w:jc w:val="both"/>
      </w:pPr>
      <w:r>
        <w:rPr>
          <w:spacing w:val="-1"/>
        </w:rPr>
        <w:t>根据中国证券监督管理委员会《关于核准成都卫士通信息产业股份有限公司向中国电子科技集团第三</w:t>
      </w:r>
      <w:r>
        <w:rPr/>
        <w:t> </w:t>
      </w:r>
      <w:r>
        <w:rPr>
          <w:spacing w:val="-2"/>
        </w:rPr>
        <w:t>十研究所等发行股份购买资产并募集配套资金的批复》（证监许可</w:t>
      </w:r>
      <w:r>
        <w:rPr>
          <w:rFonts w:ascii="Times New Roman" w:hAnsi="Times New Roman" w:cs="Times New Roman" w:eastAsia="Times New Roman" w:hint="default"/>
          <w:spacing w:val="-2"/>
        </w:rPr>
        <w:t>[2014]729</w:t>
      </w:r>
      <w:r>
        <w:rPr>
          <w:spacing w:val="-2"/>
        </w:rPr>
        <w:t>号）、《成都卫士通信息产业</w:t>
      </w:r>
      <w:r>
        <w:rPr>
          <w:spacing w:val="-64"/>
        </w:rPr>
        <w:t> </w:t>
      </w:r>
      <w:r>
        <w:rPr>
          <w:spacing w:val="-64"/>
        </w:rPr>
      </w:r>
      <w:r>
        <w:rPr>
          <w:spacing w:val="-1"/>
        </w:rPr>
        <w:t>股份有限公司二零一四年第一次临时股东大会决议》和《成都卫士通信息产业股份有限公司第五届董事会</w:t>
      </w:r>
      <w:r>
        <w:rPr>
          <w:spacing w:val="-81"/>
        </w:rPr>
        <w:t> </w:t>
      </w:r>
      <w:r>
        <w:rPr>
          <w:spacing w:val="-81"/>
        </w:rPr>
      </w:r>
      <w:r>
        <w:rPr>
          <w:spacing w:val="-1"/>
        </w:rPr>
        <w:t>第二十四次会议决议》，公司采取非公开发行股票的方式向三十所、四川蜀祥创业投资有限公司（现更名</w:t>
      </w:r>
      <w:r>
        <w:rPr>
          <w:spacing w:val="-86"/>
        </w:rPr>
        <w:t> </w:t>
      </w:r>
      <w:r>
        <w:rPr>
          <w:spacing w:val="-86"/>
        </w:rPr>
      </w:r>
      <w:r>
        <w:rPr>
          <w:spacing w:val="10"/>
        </w:rPr>
        <w:t>为</w:t>
      </w:r>
      <w:r>
        <w:rPr>
          <w:rFonts w:ascii="Times New Roman" w:hAnsi="Times New Roman" w:cs="Times New Roman" w:eastAsia="Times New Roman" w:hint="default"/>
          <w:spacing w:val="10"/>
        </w:rPr>
        <w:t>“</w:t>
      </w:r>
      <w:r>
        <w:rPr>
          <w:rFonts w:ascii="Times New Roman" w:hAnsi="Times New Roman" w:cs="Times New Roman" w:eastAsia="Times New Roman" w:hint="default"/>
          <w:spacing w:val="-29"/>
        </w:rPr>
        <w:t> </w:t>
      </w:r>
      <w:r>
        <w:rPr>
          <w:spacing w:val="17"/>
        </w:rPr>
        <w:t>四川发展投资有限公司</w:t>
      </w:r>
      <w:r>
        <w:rPr>
          <w:rFonts w:ascii="Times New Roman" w:hAnsi="Times New Roman" w:cs="Times New Roman" w:eastAsia="Times New Roman" w:hint="default"/>
          <w:spacing w:val="17"/>
        </w:rPr>
        <w:t>”</w:t>
      </w:r>
      <w:r>
        <w:rPr>
          <w:spacing w:val="17"/>
        </w:rPr>
        <w:t>）</w:t>
      </w:r>
      <w:r>
        <w:rPr>
          <w:spacing w:val="-81"/>
        </w:rPr>
        <w:t> </w:t>
      </w:r>
      <w:r>
        <w:rPr>
          <w:spacing w:val="18"/>
        </w:rPr>
        <w:t>和成都国信安信息产业基地有限公司发行股份，</w:t>
      </w:r>
      <w:r>
        <w:rPr>
          <w:spacing w:val="-83"/>
        </w:rPr>
        <w:t> </w:t>
      </w:r>
      <w:r>
        <w:rPr>
          <w:spacing w:val="17"/>
        </w:rPr>
        <w:t>申请增加注册资本</w:t>
      </w:r>
      <w:r>
        <w:rPr>
          <w:spacing w:val="-98"/>
        </w:rPr>
        <w:t> </w:t>
      </w:r>
      <w:r>
        <w:rPr>
          <w:spacing w:val="-98"/>
        </w:rPr>
      </w:r>
      <w:r>
        <w:rPr>
          <w:rFonts w:ascii="Times New Roman" w:hAnsi="Times New Roman" w:cs="Times New Roman" w:eastAsia="Times New Roman" w:hint="default"/>
        </w:rPr>
        <w:t>32,662,580.00</w:t>
      </w:r>
      <w:r>
        <w:rPr>
          <w:rFonts w:ascii="Times New Roman" w:hAnsi="Times New Roman" w:cs="Times New Roman" w:eastAsia="Times New Roman" w:hint="default"/>
          <w:spacing w:val="-33"/>
        </w:rPr>
        <w:t> </w:t>
      </w:r>
      <w:r>
        <w:rPr>
          <w:spacing w:val="9"/>
        </w:rPr>
        <w:t>元，</w:t>
      </w:r>
      <w:r>
        <w:rPr>
          <w:spacing w:val="-86"/>
        </w:rPr>
        <w:t> </w:t>
      </w:r>
      <w:r>
        <w:rPr>
          <w:spacing w:val="15"/>
        </w:rPr>
        <w:t>变更后的注册资本（</w:t>
      </w:r>
      <w:r>
        <w:rPr>
          <w:spacing w:val="-86"/>
        </w:rPr>
        <w:t> </w:t>
      </w:r>
      <w:r>
        <w:rPr>
          <w:spacing w:val="12"/>
        </w:rPr>
        <w:t>股本）</w:t>
      </w:r>
      <w:r>
        <w:rPr>
          <w:spacing w:val="-86"/>
        </w:rPr>
        <w:t> </w:t>
      </w:r>
      <w:r>
        <w:rPr/>
        <w:t>为</w:t>
      </w:r>
      <w:r>
        <w:rPr>
          <w:spacing w:val="-81"/>
        </w:rPr>
        <w:t> </w:t>
      </w:r>
      <w:r>
        <w:rPr>
          <w:rFonts w:ascii="Times New Roman" w:hAnsi="Times New Roman" w:cs="Times New Roman" w:eastAsia="Times New Roman" w:hint="default"/>
        </w:rPr>
        <w:t>205,374,645.00</w:t>
      </w:r>
      <w:r>
        <w:rPr>
          <w:rFonts w:ascii="Times New Roman" w:hAnsi="Times New Roman" w:cs="Times New Roman" w:eastAsia="Times New Roman" w:hint="default"/>
          <w:spacing w:val="-32"/>
        </w:rPr>
        <w:t> </w:t>
      </w:r>
      <w:r>
        <w:rPr>
          <w:spacing w:val="9"/>
        </w:rPr>
        <w:t>元。</w:t>
      </w:r>
      <w:r>
        <w:rPr>
          <w:spacing w:val="-86"/>
        </w:rPr>
        <w:t> </w:t>
      </w:r>
      <w:r>
        <w:rPr>
          <w:spacing w:val="16"/>
        </w:rPr>
        <w:t>增资后的股权结构为三十所出资</w:t>
      </w:r>
    </w:p>
    <w:p>
      <w:pPr>
        <w:pStyle w:val="Heading4"/>
        <w:spacing w:line="286" w:lineRule="exact" w:before="0"/>
        <w:ind w:right="0"/>
        <w:jc w:val="both"/>
      </w:pPr>
      <w:r>
        <w:rPr>
          <w:rFonts w:ascii="Times New Roman" w:hAnsi="Times New Roman" w:cs="Times New Roman" w:eastAsia="Times New Roman" w:hint="default"/>
        </w:rPr>
        <w:t>82,994,968.00</w:t>
      </w:r>
      <w:r>
        <w:rPr/>
        <w:t>元，占注册资本</w:t>
      </w:r>
      <w:r>
        <w:rPr>
          <w:rFonts w:ascii="Times New Roman" w:hAnsi="Times New Roman" w:cs="Times New Roman" w:eastAsia="Times New Roman" w:hint="default"/>
        </w:rPr>
        <w:t>40.40%</w:t>
      </w:r>
      <w:r>
        <w:rPr/>
        <w:t>；成都国信安信息产业基地有限公司出资</w:t>
      </w:r>
      <w:r>
        <w:rPr>
          <w:rFonts w:ascii="Times New Roman" w:hAnsi="Times New Roman" w:cs="Times New Roman" w:eastAsia="Times New Roman" w:hint="default"/>
        </w:rPr>
        <w:t>1,715,123.00</w:t>
      </w:r>
      <w:r>
        <w:rPr/>
        <w:t>元，占注册资本</w:t>
      </w:r>
    </w:p>
    <w:p>
      <w:pPr>
        <w:pStyle w:val="Heading4"/>
        <w:spacing w:line="256" w:lineRule="auto" w:before="21"/>
        <w:ind w:right="1026"/>
        <w:jc w:val="both"/>
      </w:pPr>
      <w:r>
        <w:rPr>
          <w:rFonts w:ascii="Times New Roman" w:hAnsi="Times New Roman" w:cs="Times New Roman" w:eastAsia="Times New Roman" w:hint="default"/>
          <w:spacing w:val="-3"/>
        </w:rPr>
        <w:t>0.84%</w:t>
      </w:r>
      <w:r>
        <w:rPr>
          <w:spacing w:val="-3"/>
        </w:rPr>
        <w:t>；四川发展投资有限公司出资</w:t>
      </w:r>
      <w:r>
        <w:rPr>
          <w:rFonts w:ascii="Times New Roman" w:hAnsi="Times New Roman" w:cs="Times New Roman" w:eastAsia="Times New Roman" w:hint="default"/>
          <w:spacing w:val="-3"/>
        </w:rPr>
        <w:t>8,107,426.00</w:t>
      </w:r>
      <w:r>
        <w:rPr>
          <w:spacing w:val="-3"/>
        </w:rPr>
        <w:t>元，占注册资本</w:t>
      </w:r>
      <w:r>
        <w:rPr>
          <w:rFonts w:ascii="Times New Roman" w:hAnsi="Times New Roman" w:cs="Times New Roman" w:eastAsia="Times New Roman" w:hint="default"/>
          <w:spacing w:val="-3"/>
        </w:rPr>
        <w:t>3.95%</w:t>
      </w:r>
      <w:r>
        <w:rPr>
          <w:spacing w:val="-3"/>
        </w:rPr>
        <w:t>；其他社会公众股出资</w:t>
      </w:r>
      <w:r>
        <w:rPr>
          <w:rFonts w:ascii="Times New Roman" w:hAnsi="Times New Roman" w:cs="Times New Roman" w:eastAsia="Times New Roman" w:hint="default"/>
          <w:spacing w:val="-3"/>
        </w:rPr>
        <w:t>112,557,128.00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元，占注册资本</w:t>
      </w:r>
      <w:r>
        <w:rPr>
          <w:rFonts w:ascii="Times New Roman" w:hAnsi="Times New Roman" w:cs="Times New Roman" w:eastAsia="Times New Roman" w:hint="default"/>
        </w:rPr>
        <w:t>54.81%</w:t>
      </w:r>
      <w:r>
        <w:rPr/>
        <w:t>。以上增资已经中天运会计师事务所（特殊普通合伙）审验，并于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 出具中天运〔</w:t>
      </w:r>
      <w:r>
        <w:rPr>
          <w:rFonts w:ascii="Times New Roman" w:hAnsi="Times New Roman" w:cs="Times New Roman" w:eastAsia="Times New Roman" w:hint="default"/>
        </w:rPr>
        <w:t>2014</w:t>
      </w:r>
      <w:r>
        <w:rPr/>
        <w:t>〕 验字第</w:t>
      </w:r>
      <w:r>
        <w:rPr>
          <w:rFonts w:ascii="Times New Roman" w:hAnsi="Times New Roman" w:cs="Times New Roman" w:eastAsia="Times New Roman" w:hint="default"/>
        </w:rPr>
        <w:t>90026</w:t>
      </w:r>
      <w:r>
        <w:rPr/>
        <w:t>号验资报告。而后，向三十所非公开发行人民币普通股</w:t>
      </w:r>
      <w:r>
        <w:rPr>
          <w:rFonts w:ascii="Times New Roman" w:hAnsi="Times New Roman" w:cs="Times New Roman" w:eastAsia="Times New Roman" w:hint="default"/>
        </w:rPr>
        <w:t>10,887,028</w:t>
      </w:r>
      <w:r>
        <w:rPr/>
        <w:t>股，</w:t>
      </w:r>
      <w:r>
        <w:rPr>
          <w:spacing w:val="-30"/>
        </w:rPr>
        <w:t> </w:t>
      </w:r>
      <w:r>
        <w:rPr/>
        <w:t>申请增加注册资本</w:t>
      </w:r>
      <w:r>
        <w:rPr>
          <w:rFonts w:ascii="Times New Roman" w:hAnsi="Times New Roman" w:cs="Times New Roman" w:eastAsia="Times New Roman" w:hint="default"/>
        </w:rPr>
        <w:t>10,887,028.00</w:t>
      </w:r>
      <w:r>
        <w:rPr/>
        <w:t>元，变更后的注册资本（股本）为</w:t>
      </w:r>
      <w:r>
        <w:rPr>
          <w:rFonts w:ascii="Times New Roman" w:hAnsi="Times New Roman" w:cs="Times New Roman" w:eastAsia="Times New Roman" w:hint="default"/>
        </w:rPr>
        <w:t>216,261,673.00</w:t>
      </w:r>
      <w:r>
        <w:rPr/>
        <w:t>元。增资后的股权结构为 三十所出资</w:t>
      </w:r>
      <w:r>
        <w:rPr>
          <w:rFonts w:ascii="Times New Roman" w:hAnsi="Times New Roman" w:cs="Times New Roman" w:eastAsia="Times New Roman" w:hint="default"/>
        </w:rPr>
        <w:t>93,881,996.00</w:t>
      </w:r>
      <w:r>
        <w:rPr/>
        <w:t>元，占注册资本</w:t>
      </w:r>
      <w:r>
        <w:rPr>
          <w:rFonts w:ascii="Times New Roman" w:hAnsi="Times New Roman" w:cs="Times New Roman" w:eastAsia="Times New Roman" w:hint="default"/>
        </w:rPr>
        <w:t>43.41%</w:t>
      </w:r>
      <w:r>
        <w:rPr/>
        <w:t>；成都国信安信息产业基地有限公司出资</w:t>
      </w:r>
      <w:r>
        <w:rPr>
          <w:rFonts w:ascii="Times New Roman" w:hAnsi="Times New Roman" w:cs="Times New Roman" w:eastAsia="Times New Roman" w:hint="default"/>
        </w:rPr>
        <w:t>1,715,123.00</w:t>
      </w:r>
      <w:r>
        <w:rPr/>
        <w:t>元，</w:t>
      </w:r>
      <w:r>
        <w:rPr>
          <w:spacing w:val="1"/>
        </w:rPr>
        <w:t> </w:t>
      </w:r>
      <w:r>
        <w:rPr/>
        <w:t>占注册资本</w:t>
      </w:r>
      <w:r>
        <w:rPr>
          <w:rFonts w:ascii="Times New Roman" w:hAnsi="Times New Roman" w:cs="Times New Roman" w:eastAsia="Times New Roman" w:hint="default"/>
        </w:rPr>
        <w:t>0.79%</w:t>
      </w:r>
      <w:r>
        <w:rPr/>
        <w:t>；四川发展投资有限公司出资</w:t>
      </w:r>
      <w:r>
        <w:rPr>
          <w:rFonts w:ascii="Times New Roman" w:hAnsi="Times New Roman" w:cs="Times New Roman" w:eastAsia="Times New Roman" w:hint="default"/>
        </w:rPr>
        <w:t>8,107,426.00</w:t>
      </w:r>
      <w:r>
        <w:rPr/>
        <w:t>元，占注册资本</w:t>
      </w:r>
      <w:r>
        <w:rPr>
          <w:rFonts w:ascii="Times New Roman" w:hAnsi="Times New Roman" w:cs="Times New Roman" w:eastAsia="Times New Roman" w:hint="default"/>
        </w:rPr>
        <w:t>3.75%</w:t>
      </w:r>
      <w:r>
        <w:rPr/>
        <w:t>；其他及社会公众股出</w:t>
      </w:r>
      <w:r>
        <w:rPr>
          <w:spacing w:val="-22"/>
        </w:rPr>
        <w:t> </w:t>
      </w:r>
      <w:r>
        <w:rPr>
          <w:spacing w:val="-22"/>
        </w:rPr>
      </w:r>
      <w:r>
        <w:rPr>
          <w:spacing w:val="-4"/>
        </w:rPr>
        <w:t>资人民币</w:t>
      </w:r>
      <w:r>
        <w:rPr>
          <w:rFonts w:ascii="Times New Roman" w:hAnsi="Times New Roman" w:cs="Times New Roman" w:eastAsia="Times New Roman" w:hint="default"/>
          <w:spacing w:val="-4"/>
        </w:rPr>
        <w:t>112,557,128.00</w:t>
      </w:r>
      <w:r>
        <w:rPr>
          <w:spacing w:val="-4"/>
        </w:rPr>
        <w:t>元，占注册资本</w:t>
      </w:r>
      <w:r>
        <w:rPr>
          <w:rFonts w:ascii="Times New Roman" w:hAnsi="Times New Roman" w:cs="Times New Roman" w:eastAsia="Times New Roman" w:hint="default"/>
          <w:spacing w:val="-4"/>
        </w:rPr>
        <w:t>52.05%</w:t>
      </w:r>
      <w:r>
        <w:rPr>
          <w:spacing w:val="-4"/>
        </w:rPr>
        <w:t>。以上增资已经中天运会计师事务所（特殊普通合伙）审验，</w:t>
      </w:r>
      <w:r>
        <w:rPr>
          <w:spacing w:val="-76"/>
        </w:rPr>
        <w:t> </w:t>
      </w:r>
      <w:r>
        <w:rPr>
          <w:spacing w:val="-76"/>
        </w:rPr>
      </w:r>
      <w:r>
        <w:rPr/>
        <w:t>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日出具中天运〔</w:t>
      </w:r>
      <w:r>
        <w:rPr>
          <w:rFonts w:ascii="Times New Roman" w:hAnsi="Times New Roman" w:cs="Times New Roman" w:eastAsia="Times New Roman" w:hint="default"/>
        </w:rPr>
        <w:t>2014</w:t>
      </w:r>
      <w:r>
        <w:rPr/>
        <w:t>〕验字第</w:t>
      </w:r>
      <w:r>
        <w:rPr>
          <w:rFonts w:ascii="Times New Roman" w:hAnsi="Times New Roman" w:cs="Times New Roman" w:eastAsia="Times New Roman" w:hint="default"/>
        </w:rPr>
        <w:t>90041</w:t>
      </w:r>
      <w:r>
        <w:rPr/>
        <w:t>号验资报告。</w:t>
      </w:r>
    </w:p>
    <w:p>
      <w:pPr>
        <w:pStyle w:val="Heading4"/>
        <w:spacing w:line="240" w:lineRule="auto" w:before="5"/>
        <w:ind w:left="573" w:right="0"/>
        <w:jc w:val="left"/>
      </w:pPr>
      <w:r>
        <w:rPr/>
        <w:t>本公司上述变更已于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日完成工商变更登记手续。</w:t>
      </w:r>
    </w:p>
    <w:p>
      <w:pPr>
        <w:pStyle w:val="Heading4"/>
        <w:spacing w:line="240" w:lineRule="auto" w:before="21"/>
        <w:ind w:left="573" w:right="0"/>
        <w:jc w:val="left"/>
      </w:pPr>
      <w:r>
        <w:rPr/>
        <w:t>（二）公司注册地址、组织形式、总部地址</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right="1137" w:firstLine="420"/>
        <w:jc w:val="both"/>
      </w:pPr>
      <w:r>
        <w:rPr/>
        <w:t>本公司注册地址为成都高新区云华路</w:t>
      </w:r>
      <w:r>
        <w:rPr>
          <w:rFonts w:ascii="Times New Roman" w:hAnsi="Times New Roman" w:cs="Times New Roman" w:eastAsia="Times New Roman" w:hint="default"/>
        </w:rPr>
        <w:t>333</w:t>
      </w:r>
      <w:r>
        <w:rPr/>
        <w:t>号；组织形式为股份有限公司；总部地址位于成都高新区云 华路</w:t>
      </w:r>
      <w:r>
        <w:rPr>
          <w:rFonts w:ascii="Times New Roman" w:hAnsi="Times New Roman" w:cs="Times New Roman" w:eastAsia="Times New Roman" w:hint="default"/>
        </w:rPr>
        <w:t>333</w:t>
      </w:r>
      <w:r>
        <w:rPr/>
        <w:t>号。</w:t>
      </w:r>
    </w:p>
    <w:p>
      <w:pPr>
        <w:pStyle w:val="Heading4"/>
        <w:spacing w:line="240" w:lineRule="auto" w:before="5"/>
        <w:ind w:left="573" w:right="0"/>
        <w:jc w:val="left"/>
      </w:pPr>
      <w:r>
        <w:rPr/>
        <w:t>（三）公司的业务性质、经营范围、主要产品及其变更和营业收入构成</w:t>
      </w:r>
    </w:p>
    <w:p>
      <w:pPr>
        <w:pStyle w:val="Heading4"/>
        <w:spacing w:line="256" w:lineRule="auto" w:before="37"/>
        <w:ind w:left="573" w:right="1118"/>
        <w:jc w:val="left"/>
      </w:pPr>
      <w:r>
        <w:rPr>
          <w:rFonts w:ascii="Times New Roman" w:hAnsi="Times New Roman" w:cs="Times New Roman" w:eastAsia="Times New Roman" w:hint="default"/>
        </w:rPr>
        <w:t>1</w:t>
      </w:r>
      <w:r>
        <w:rPr/>
        <w:t>、业务性质 </w:t>
      </w:r>
      <w:r>
        <w:rPr>
          <w:spacing w:val="-1"/>
        </w:rPr>
        <w:t>信息安全是信息产业的重要分支，也是国家信息化建设和网络社会正常秩序的重要保障。公司的产品</w:t>
      </w:r>
    </w:p>
    <w:p>
      <w:pPr>
        <w:pStyle w:val="Heading4"/>
        <w:spacing w:line="240" w:lineRule="auto" w:before="22"/>
        <w:ind w:right="0"/>
        <w:jc w:val="both"/>
      </w:pPr>
      <w:r>
        <w:rPr/>
        <w:t>体系由密码产品、信息安全产品和安全信息产品三大类组成，以及配套的系统集成与技术服务。</w:t>
      </w:r>
    </w:p>
    <w:p>
      <w:pPr>
        <w:pStyle w:val="Heading4"/>
        <w:spacing w:line="240" w:lineRule="auto" w:before="37"/>
        <w:ind w:left="573" w:right="0"/>
        <w:jc w:val="left"/>
      </w:pPr>
      <w:r>
        <w:rPr>
          <w:rFonts w:ascii="Times New Roman" w:hAnsi="Times New Roman" w:cs="Times New Roman" w:eastAsia="Times New Roman" w:hint="default"/>
        </w:rPr>
        <w:t>2</w:t>
      </w:r>
      <w:r>
        <w:rPr/>
        <w:t>、主要提供的产品和服务包括：</w:t>
      </w:r>
    </w:p>
    <w:p>
      <w:pPr>
        <w:pStyle w:val="Heading4"/>
        <w:spacing w:line="256" w:lineRule="auto" w:before="21"/>
        <w:ind w:right="1026" w:firstLine="420"/>
        <w:jc w:val="left"/>
      </w:pPr>
      <w:r>
        <w:rPr>
          <w:spacing w:val="-7"/>
        </w:rPr>
        <w:t>（</w:t>
      </w:r>
      <w:r>
        <w:rPr>
          <w:rFonts w:ascii="Times New Roman" w:hAnsi="Times New Roman" w:cs="Times New Roman" w:eastAsia="Times New Roman" w:hint="default"/>
          <w:spacing w:val="-7"/>
        </w:rPr>
        <w:t>1</w:t>
      </w:r>
      <w:r>
        <w:rPr>
          <w:spacing w:val="-7"/>
        </w:rPr>
        <w:t>）密码产品是卫士通公司一直以来的核心产品，包括密码芯片（密码算法芯片</w:t>
      </w:r>
      <w:r>
        <w:rPr>
          <w:rFonts w:ascii="Times New Roman" w:hAnsi="Times New Roman" w:cs="Times New Roman" w:eastAsia="Times New Roman" w:hint="default"/>
          <w:spacing w:val="-7"/>
        </w:rPr>
        <w:t>/</w:t>
      </w:r>
      <w:r>
        <w:rPr>
          <w:spacing w:val="-7"/>
        </w:rPr>
        <w:t>物理噪声源芯片等）、</w:t>
      </w:r>
      <w:r>
        <w:rPr/>
        <w:t> 密码模块（</w:t>
      </w:r>
      <w:r>
        <w:rPr>
          <w:rFonts w:ascii="Times New Roman" w:hAnsi="Times New Roman" w:cs="Times New Roman" w:eastAsia="Times New Roman" w:hint="default"/>
        </w:rPr>
        <w:t>USBKey</w:t>
      </w:r>
      <w:r>
        <w:rPr/>
        <w:t>密码模块</w:t>
      </w:r>
      <w:r>
        <w:rPr>
          <w:rFonts w:ascii="Times New Roman" w:hAnsi="Times New Roman" w:cs="Times New Roman" w:eastAsia="Times New Roman" w:hint="default"/>
        </w:rPr>
        <w:t>/SD</w:t>
      </w:r>
      <w:r>
        <w:rPr/>
        <w:t>密码模块</w:t>
      </w:r>
      <w:r>
        <w:rPr>
          <w:rFonts w:ascii="Times New Roman" w:hAnsi="Times New Roman" w:cs="Times New Roman" w:eastAsia="Times New Roman" w:hint="default"/>
        </w:rPr>
        <w:t>/TF</w:t>
      </w:r>
      <w:r>
        <w:rPr/>
        <w:t>密码模块</w:t>
      </w:r>
      <w:r>
        <w:rPr>
          <w:rFonts w:ascii="Times New Roman" w:hAnsi="Times New Roman" w:cs="Times New Roman" w:eastAsia="Times New Roman" w:hint="default"/>
        </w:rPr>
        <w:t>/</w:t>
      </w:r>
      <w:r>
        <w:rPr/>
        <w:t>无线密码模块等）、密码板卡（</w:t>
      </w:r>
      <w:r>
        <w:rPr>
          <w:rFonts w:ascii="Times New Roman" w:hAnsi="Times New Roman" w:cs="Times New Roman" w:eastAsia="Times New Roman" w:hint="default"/>
        </w:rPr>
        <w:t>PCI/PCI-E/PCI-X</w:t>
      </w:r>
      <w:r>
        <w:rPr/>
        <w:t>系 列密码卡等）、密码设备（</w:t>
      </w:r>
      <w:r>
        <w:rPr>
          <w:rFonts w:ascii="Times New Roman" w:hAnsi="Times New Roman" w:cs="Times New Roman" w:eastAsia="Times New Roman" w:hint="default"/>
        </w:rPr>
        <w:t>IPSecVPN</w:t>
      </w:r>
      <w:r>
        <w:rPr/>
        <w:t>网关</w:t>
      </w:r>
      <w:r>
        <w:rPr>
          <w:rFonts w:ascii="Times New Roman" w:hAnsi="Times New Roman" w:cs="Times New Roman" w:eastAsia="Times New Roman" w:hint="default"/>
        </w:rPr>
        <w:t>/SSLVPN</w:t>
      </w:r>
      <w:r>
        <w:rPr/>
        <w:t>网关</w:t>
      </w:r>
      <w:r>
        <w:rPr>
          <w:rFonts w:ascii="Times New Roman" w:hAnsi="Times New Roman" w:cs="Times New Roman" w:eastAsia="Times New Roman" w:hint="default"/>
        </w:rPr>
        <w:t>/</w:t>
      </w:r>
      <w:r>
        <w:rPr/>
        <w:t>专用网络密码机</w:t>
      </w:r>
      <w:r>
        <w:rPr>
          <w:rFonts w:ascii="Times New Roman" w:hAnsi="Times New Roman" w:cs="Times New Roman" w:eastAsia="Times New Roman" w:hint="default"/>
        </w:rPr>
        <w:t>/</w:t>
      </w:r>
      <w:r>
        <w:rPr/>
        <w:t>金融数据密码机</w:t>
      </w:r>
      <w:r>
        <w:rPr>
          <w:rFonts w:ascii="Times New Roman" w:hAnsi="Times New Roman" w:cs="Times New Roman" w:eastAsia="Times New Roman" w:hint="default"/>
        </w:rPr>
        <w:t>/</w:t>
      </w:r>
      <w:r>
        <w:rPr/>
        <w:t>服务器密码机</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签名验签服务器等）和密码系统（密匙管理系统</w:t>
      </w:r>
      <w:r>
        <w:rPr>
          <w:rFonts w:ascii="Times New Roman" w:hAnsi="Times New Roman" w:cs="Times New Roman" w:eastAsia="Times New Roman" w:hint="default"/>
        </w:rPr>
        <w:t>/</w:t>
      </w:r>
      <w:r>
        <w:rPr/>
        <w:t>证书管理系统</w:t>
      </w:r>
      <w:r>
        <w:rPr>
          <w:rFonts w:ascii="Times New Roman" w:hAnsi="Times New Roman" w:cs="Times New Roman" w:eastAsia="Times New Roman" w:hint="default"/>
        </w:rPr>
        <w:t>/</w:t>
      </w:r>
      <w:r>
        <w:rPr/>
        <w:t>密码设备管理系统等）</w:t>
      </w:r>
    </w:p>
    <w:p>
      <w:pPr>
        <w:pStyle w:val="Heading4"/>
        <w:spacing w:line="256" w:lineRule="auto" w:before="5"/>
        <w:ind w:right="1130" w:firstLine="420"/>
        <w:jc w:val="both"/>
      </w:pPr>
      <w:r>
        <w:rPr>
          <w:spacing w:val="-3"/>
        </w:rPr>
        <w:t>（</w:t>
      </w:r>
      <w:r>
        <w:rPr>
          <w:rFonts w:ascii="Times New Roman" w:hAnsi="Times New Roman" w:cs="Times New Roman" w:eastAsia="Times New Roman" w:hint="default"/>
          <w:spacing w:val="-3"/>
        </w:rPr>
        <w:t>2</w:t>
      </w:r>
      <w:r>
        <w:rPr>
          <w:spacing w:val="-3"/>
        </w:rPr>
        <w:t>）信息安全产品包括网络安全产品（防火墙</w:t>
      </w:r>
      <w:r>
        <w:rPr>
          <w:rFonts w:ascii="Times New Roman" w:hAnsi="Times New Roman" w:cs="Times New Roman" w:eastAsia="Times New Roman" w:hint="default"/>
          <w:spacing w:val="-3"/>
        </w:rPr>
        <w:t>/</w:t>
      </w:r>
      <w:r>
        <w:rPr>
          <w:spacing w:val="-3"/>
        </w:rPr>
        <w:t>入侵检测系统</w:t>
      </w:r>
      <w:r>
        <w:rPr>
          <w:rFonts w:ascii="Times New Roman" w:hAnsi="Times New Roman" w:cs="Times New Roman" w:eastAsia="Times New Roman" w:hint="default"/>
          <w:spacing w:val="-3"/>
        </w:rPr>
        <w:t>/</w:t>
      </w:r>
      <w:r>
        <w:rPr>
          <w:spacing w:val="-3"/>
        </w:rPr>
        <w:t>入侵保护系统</w:t>
      </w:r>
      <w:r>
        <w:rPr>
          <w:rFonts w:ascii="Times New Roman" w:hAnsi="Times New Roman" w:cs="Times New Roman" w:eastAsia="Times New Roman" w:hint="default"/>
          <w:spacing w:val="-3"/>
        </w:rPr>
        <w:t>/</w:t>
      </w:r>
      <w:r>
        <w:rPr>
          <w:spacing w:val="-3"/>
        </w:rPr>
        <w:t>网络行为管理与审计系统</w:t>
      </w:r>
      <w:r>
        <w:rPr/>
        <w:t> 等）、主机安全产品（终端安全防护系统</w:t>
      </w:r>
      <w:r>
        <w:rPr>
          <w:rFonts w:ascii="Times New Roman" w:hAnsi="Times New Roman" w:cs="Times New Roman" w:eastAsia="Times New Roman" w:hint="default"/>
        </w:rPr>
        <w:t>/</w:t>
      </w:r>
      <w:r>
        <w:rPr/>
        <w:t>服务器加固系统</w:t>
      </w:r>
      <w:r>
        <w:rPr>
          <w:rFonts w:ascii="Times New Roman" w:hAnsi="Times New Roman" w:cs="Times New Roman" w:eastAsia="Times New Roman" w:hint="default"/>
        </w:rPr>
        <w:t>/</w:t>
      </w:r>
      <w:r>
        <w:rPr/>
        <w:t>主机监控与审计系统等）、应用安全产品（应</w:t>
      </w:r>
      <w:r>
        <w:rPr>
          <w:spacing w:val="-44"/>
        </w:rPr>
        <w:t> </w:t>
      </w:r>
      <w:r>
        <w:rPr>
          <w:spacing w:val="-44"/>
        </w:rPr>
      </w:r>
      <w:r>
        <w:rPr/>
        <w:t>用安全支撑平台</w:t>
      </w:r>
      <w:r>
        <w:rPr>
          <w:rFonts w:ascii="Times New Roman" w:hAnsi="Times New Roman" w:cs="Times New Roman" w:eastAsia="Times New Roman" w:hint="default"/>
        </w:rPr>
        <w:t>/</w:t>
      </w:r>
      <w:r>
        <w:rPr/>
        <w:t>数据库加固系统</w:t>
      </w:r>
      <w:r>
        <w:rPr>
          <w:rFonts w:ascii="Times New Roman" w:hAnsi="Times New Roman" w:cs="Times New Roman" w:eastAsia="Times New Roman" w:hint="default"/>
        </w:rPr>
        <w:t>/</w:t>
      </w:r>
      <w:r>
        <w:rPr/>
        <w:t>应用安全中间件等）、数据安全产品（木马病毒防御系统</w:t>
      </w:r>
      <w:r>
        <w:rPr>
          <w:rFonts w:ascii="Times New Roman" w:hAnsi="Times New Roman" w:cs="Times New Roman" w:eastAsia="Times New Roman" w:hint="default"/>
        </w:rPr>
        <w:t>/</w:t>
      </w:r>
      <w:r>
        <w:rPr/>
        <w:t>数据加密系统</w:t>
      </w:r>
      <w:r>
        <w:rPr>
          <w:spacing w:val="-97"/>
        </w:rPr>
        <w:t> </w:t>
      </w:r>
      <w:r>
        <w:rPr>
          <w:spacing w:val="-97"/>
        </w:rPr>
      </w:r>
      <w:r>
        <w:rPr/>
        <w:t>等）</w:t>
      </w:r>
    </w:p>
    <w:p>
      <w:pPr>
        <w:pStyle w:val="Heading4"/>
        <w:spacing w:line="256" w:lineRule="auto" w:before="22"/>
        <w:ind w:left="154" w:right="0" w:firstLine="420"/>
        <w:jc w:val="left"/>
      </w:pPr>
      <w:r>
        <w:rPr>
          <w:spacing w:val="-1"/>
        </w:rPr>
        <w:t>（</w:t>
      </w:r>
      <w:r>
        <w:rPr>
          <w:rFonts w:ascii="Times New Roman" w:hAnsi="Times New Roman" w:cs="Times New Roman" w:eastAsia="Times New Roman" w:hint="default"/>
          <w:spacing w:val="-1"/>
        </w:rPr>
        <w:t>3</w:t>
      </w:r>
      <w:r>
        <w:rPr>
          <w:spacing w:val="-1"/>
        </w:rPr>
        <w:t>）安全信息产品是卫士通公司积极践行安全与应用紧密融合思路的产物，包括安全电子公文系统、</w:t>
      </w:r>
      <w:r>
        <w:rPr/>
        <w:t> 安全桌面云、安全存储系统等。</w:t>
      </w:r>
    </w:p>
    <w:p>
      <w:pPr>
        <w:pStyle w:val="Heading4"/>
        <w:spacing w:line="256" w:lineRule="auto" w:before="22"/>
        <w:ind w:left="154" w:right="1141" w:firstLine="420"/>
        <w:jc w:val="both"/>
      </w:pPr>
      <w:r>
        <w:rPr/>
        <w:t>（</w:t>
      </w:r>
      <w:r>
        <w:rPr>
          <w:rFonts w:ascii="Times New Roman" w:hAnsi="Times New Roman" w:cs="Times New Roman" w:eastAsia="Times New Roman" w:hint="default"/>
        </w:rPr>
        <w:t>4</w:t>
      </w:r>
      <w:r>
        <w:rPr/>
        <w:t>）系统集成与技术服务是本公司依托雄厚的技术支持和强大的营销网络为各层次用户提供系统集 成及全生命周期安全支持与服务，包括：项目规划、工程建设、解决方案、培训和后续保障。</w:t>
      </w:r>
    </w:p>
    <w:p>
      <w:pPr>
        <w:pStyle w:val="Heading4"/>
        <w:spacing w:line="256" w:lineRule="auto" w:before="22"/>
        <w:ind w:left="573" w:right="1093"/>
        <w:jc w:val="left"/>
      </w:pPr>
      <w:r>
        <w:rPr>
          <w:rFonts w:ascii="Times New Roman" w:hAnsi="Times New Roman" w:cs="Times New Roman" w:eastAsia="Times New Roman" w:hint="default"/>
        </w:rPr>
        <w:t>3</w:t>
      </w:r>
      <w:r>
        <w:rPr/>
        <w:t>、经营范围 本公司营业范围包括通信保密与信息安全、信息网络与多媒体终端及系统产品的开发、生产、销售、</w:t>
      </w:r>
    </w:p>
    <w:p>
      <w:pPr>
        <w:pStyle w:val="Heading4"/>
        <w:spacing w:line="268" w:lineRule="auto" w:before="22"/>
        <w:ind w:right="1110"/>
        <w:jc w:val="both"/>
      </w:pPr>
      <w:r>
        <w:rPr>
          <w:spacing w:val="-1"/>
        </w:rPr>
        <w:t>工程建设（涉及前置审批的批准后方可经营）；税控收款机系列产品、金融及贸易结算电子设备、</w:t>
      </w:r>
      <w:r>
        <w:rPr>
          <w:rFonts w:ascii="Times New Roman" w:hAnsi="Times New Roman" w:cs="Times New Roman" w:eastAsia="Times New Roman" w:hint="default"/>
          <w:spacing w:val="-1"/>
        </w:rPr>
        <w:t>IC</w:t>
      </w:r>
      <w:r>
        <w:rPr>
          <w:spacing w:val="-1"/>
        </w:rPr>
        <w:t>卡机</w:t>
      </w:r>
      <w:r>
        <w:rPr>
          <w:spacing w:val="-81"/>
        </w:rPr>
        <w:t> </w:t>
      </w:r>
      <w:r>
        <w:rPr>
          <w:spacing w:val="-1"/>
        </w:rPr>
        <w:t>具设备、微型计算机系统产品及相关软件等电子信息技术产品的研制、生产、组装、销售、工程集成和技</w:t>
      </w:r>
      <w:r>
        <w:rPr>
          <w:spacing w:val="-82"/>
        </w:rPr>
        <w:t> </w:t>
      </w:r>
      <w:r>
        <w:rPr>
          <w:spacing w:val="-82"/>
        </w:rPr>
      </w:r>
      <w:r>
        <w:rPr/>
        <w:t>术服务；无线通信系统（不含无线电发射设备）、图像设备、电子设备、电子计算机及外围设备、耗材、 </w:t>
      </w:r>
      <w:r>
        <w:rPr>
          <w:spacing w:val="-1"/>
        </w:rPr>
        <w:t>电子元器件、专用芯片的研制、生产、销售、工程建设、系统集成及技术咨询与服务；自营和代理各类商</w:t>
      </w:r>
      <w:r>
        <w:rPr>
          <w:spacing w:val="-83"/>
        </w:rPr>
        <w:t> </w:t>
      </w:r>
      <w:r>
        <w:rPr>
          <w:spacing w:val="-83"/>
        </w:rPr>
      </w:r>
      <w:r>
        <w:rPr/>
        <w:t>品及技术的进出口业务，但国家限定公司经营或禁止进出口的商品及技术除外。</w:t>
      </w:r>
    </w:p>
    <w:p>
      <w:pPr>
        <w:pStyle w:val="Heading4"/>
        <w:spacing w:line="273" w:lineRule="auto" w:before="12"/>
        <w:ind w:left="573" w:right="1378"/>
        <w:jc w:val="left"/>
      </w:pPr>
      <w:r>
        <w:rPr/>
        <w:t>（四）母公司以及最终实质控制人名称 公司的第一大股东为三十所，最终实质控制人为中国电子科技集团公司。</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4"/>
        <w:spacing w:line="264" w:lineRule="auto" w:before="0"/>
        <w:ind w:right="1130" w:firstLine="420"/>
        <w:jc w:val="both"/>
      </w:pPr>
      <w:r>
        <w:rPr>
          <w:spacing w:val="-1"/>
        </w:rPr>
        <w:t>本公司合并财务报表范围以控制为基础给予确定。报告期合并财务报表范围增加成都三零盛安信息系</w:t>
      </w:r>
      <w:r>
        <w:rPr/>
        <w:t> 统有限公司、成都三零瑞通移动通信有限公司、成都三零嘉微电子有限公司</w:t>
      </w:r>
      <w:r>
        <w:rPr>
          <w:rFonts w:ascii="Times New Roman" w:hAnsi="Times New Roman" w:cs="Times New Roman" w:eastAsia="Times New Roman" w:hint="default"/>
        </w:rPr>
        <w:t>3</w:t>
      </w:r>
      <w:r>
        <w:rPr/>
        <w:t>家公司，减少了成都摩宝网</w:t>
      </w:r>
      <w:r>
        <w:rPr>
          <w:spacing w:val="-26"/>
        </w:rPr>
        <w:t> </w:t>
      </w:r>
      <w:r>
        <w:rPr>
          <w:spacing w:val="-26"/>
        </w:rPr>
      </w:r>
      <w:r>
        <w:rPr/>
        <w:t>络科技有限公司，具体情况详见</w:t>
      </w:r>
      <w:r>
        <w:rPr>
          <w:rFonts w:ascii="Times New Roman" w:hAnsi="Times New Roman" w:cs="Times New Roman" w:eastAsia="Times New Roman" w:hint="default"/>
        </w:rPr>
        <w:t>“</w:t>
      </w:r>
      <w:r>
        <w:rPr/>
        <w:t>本财务报表附注六、合并范围的变更</w:t>
      </w:r>
      <w:r>
        <w:rPr>
          <w:rFonts w:ascii="Times New Roman" w:hAnsi="Times New Roman" w:cs="Times New Roman" w:eastAsia="Times New Roman" w:hint="default"/>
        </w:rPr>
        <w:t>”</w:t>
      </w:r>
      <w:r>
        <w:rPr/>
        <w:t>。</w:t>
      </w:r>
    </w:p>
    <w:p>
      <w:pPr>
        <w:pStyle w:val="Heading4"/>
        <w:spacing w:line="256" w:lineRule="auto" w:before="0"/>
        <w:ind w:left="154" w:right="1009" w:firstLine="420"/>
        <w:jc w:val="left"/>
      </w:pPr>
      <w:r>
        <w:rPr/>
        <w:t>报告期合并财务报表范围详见</w:t>
      </w:r>
      <w:r>
        <w:rPr>
          <w:rFonts w:ascii="Times New Roman" w:hAnsi="Times New Roman" w:cs="Times New Roman" w:eastAsia="Times New Roman" w:hint="default"/>
        </w:rPr>
        <w:t>“</w:t>
      </w:r>
      <w:r>
        <w:rPr/>
        <w:t>本财务报表附注七、在其他主体中的权益</w:t>
      </w:r>
      <w:r>
        <w:rPr>
          <w:spacing w:val="-45"/>
        </w:rPr>
        <w:t> </w:t>
      </w:r>
      <w:r>
        <w:rPr>
          <w:rFonts w:ascii="Times New Roman" w:hAnsi="Times New Roman" w:cs="Times New Roman" w:eastAsia="Times New Roman" w:hint="default"/>
          <w:spacing w:val="-5"/>
        </w:rPr>
        <w:t>1</w:t>
      </w:r>
      <w:r>
        <w:rPr>
          <w:spacing w:val="-5"/>
        </w:rPr>
        <w:t>、在子公司中的权益之（</w:t>
      </w:r>
      <w:r>
        <w:rPr>
          <w:rFonts w:ascii="Times New Roman" w:hAnsi="Times New Roman" w:cs="Times New Roman" w:eastAsia="Times New Roman" w:hint="default"/>
          <w:spacing w:val="-5"/>
        </w:rPr>
        <w:t>1</w:t>
      </w:r>
      <w:r>
        <w:rPr>
          <w:spacing w:val="-5"/>
        </w:rPr>
        <w:t>）</w:t>
      </w:r>
      <w:r>
        <w:rPr/>
        <w:t> 企业集团的构成</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Heading2"/>
        <w:spacing w:line="240" w:lineRule="auto"/>
        <w:ind w:left="154" w:right="0"/>
        <w:jc w:val="both"/>
        <w:rPr>
          <w:b w:val="0"/>
          <w:bCs w:val="0"/>
        </w:rPr>
      </w:pPr>
      <w:bookmarkStart w:name="四、财务报表的编制基础" w:id="119"/>
      <w:bookmarkEnd w:id="11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编制基础" w:id="120"/>
      <w:bookmarkEnd w:id="12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Heading4"/>
        <w:spacing w:line="264" w:lineRule="auto" w:before="0"/>
        <w:ind w:right="1130" w:firstLine="420"/>
        <w:jc w:val="both"/>
      </w:pPr>
      <w:r>
        <w:rPr>
          <w:spacing w:val="-1"/>
        </w:rPr>
        <w:t>本公司财务报表以持续经营假设为基础，根据实际发生的交易和事项，按照财政部颁布的《企业会计</w:t>
      </w:r>
      <w:r>
        <w:rPr/>
        <w:t> </w:t>
      </w:r>
      <w:r>
        <w:rPr>
          <w:spacing w:val="-2"/>
        </w:rPr>
        <w:t>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41</w:t>
      </w:r>
      <w:r>
        <w:rPr>
          <w:spacing w:val="-2"/>
        </w:rPr>
        <w:t>项具体会计准则，以及企业会计准则应用指南、企业会计准则解释及其他规定（以下</w:t>
      </w:r>
      <w:r>
        <w:rPr>
          <w:spacing w:val="-103"/>
        </w:rPr>
        <w:t> </w:t>
      </w:r>
      <w:r>
        <w:rPr>
          <w:spacing w:val="-103"/>
        </w:rPr>
      </w:r>
      <w:r>
        <w:rPr/>
        <w:t>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51"/>
        </w:rPr>
        <w:t> </w:t>
      </w:r>
      <w:r>
        <w:rPr/>
        <w:t>号</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56" w:lineRule="auto" w:before="35"/>
        <w:ind w:left="489" w:right="0" w:hanging="336"/>
        <w:jc w:val="left"/>
      </w:pP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 根据企业会计准则的相关规定，本公司会计核算以权责发生制为基础。除某些金融工具外，本财务报</w:t>
      </w:r>
    </w:p>
    <w:p>
      <w:pPr>
        <w:pStyle w:val="Heading4"/>
        <w:spacing w:line="240" w:lineRule="auto" w:before="22"/>
        <w:ind w:right="0"/>
        <w:jc w:val="both"/>
      </w:pPr>
      <w:r>
        <w:rPr/>
        <w:t>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3"/>
        <w:spacing w:line="240" w:lineRule="auto"/>
        <w:ind w:left="153" w:right="0"/>
        <w:jc w:val="both"/>
        <w:rPr>
          <w:b w:val="0"/>
          <w:bCs w:val="0"/>
        </w:rPr>
      </w:pPr>
      <w:bookmarkStart w:name="2、持续经营" w:id="121"/>
      <w:bookmarkEnd w:id="12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t>本公司自报告期末起</w:t>
      </w:r>
      <w:r>
        <w:rPr>
          <w:rFonts w:ascii="Times New Roman" w:hAnsi="Times New Roman" w:cs="Times New Roman" w:eastAsia="Times New Roman" w:hint="default"/>
        </w:rPr>
        <w:t>12</w:t>
      </w:r>
      <w:r>
        <w:rPr/>
        <w:t>个月不存在对本公司持续经营能力产生重大疑虑的因素或事项。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bookmarkStart w:name="五、重要会计政策及会计估计" w:id="122"/>
      <w:bookmarkEnd w:id="12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具体会计政策和会计估计提示：</w:t>
      </w:r>
    </w:p>
    <w:p>
      <w:pPr>
        <w:pStyle w:val="BodyText"/>
        <w:spacing w:line="300" w:lineRule="auto" w:before="115"/>
        <w:ind w:right="1132"/>
        <w:jc w:val="both"/>
      </w:pPr>
      <w:r>
        <w:rPr>
          <w:rFonts w:ascii="Times New Roman" w:hAnsi="Times New Roman" w:cs="Times New Roman" w:eastAsia="Times New Roman" w:hint="default"/>
          <w:spacing w:val="-1"/>
        </w:rPr>
        <w:t>loch</w:t>
      </w:r>
      <w:r>
        <w:rPr>
          <w:spacing w:val="-1"/>
        </w:rPr>
        <w:t>本公司已执行财政部于</w:t>
      </w:r>
      <w:r>
        <w:rPr>
          <w:rFonts w:ascii="Times New Roman" w:hAnsi="Times New Roman" w:cs="Times New Roman" w:eastAsia="Times New Roman" w:hint="default"/>
          <w:spacing w:val="-1"/>
        </w:rPr>
        <w:t>2014</w:t>
      </w:r>
      <w:r>
        <w:rPr>
          <w:spacing w:val="-1"/>
        </w:rPr>
        <w:t>年颁布的新的及修订的企业会计准则，在编制</w:t>
      </w:r>
      <w:r>
        <w:rPr>
          <w:rFonts w:ascii="Times New Roman" w:hAnsi="Times New Roman" w:cs="Times New Roman" w:eastAsia="Times New Roman" w:hint="default"/>
          <w:spacing w:val="-1"/>
        </w:rPr>
        <w:t>2014</w:t>
      </w:r>
      <w:r>
        <w:rPr>
          <w:spacing w:val="-1"/>
        </w:rPr>
        <w:t>年年度财务报告时根据各准则衔接要求进</w:t>
      </w:r>
      <w:r>
        <w:rPr>
          <w:spacing w:val="-65"/>
        </w:rPr>
        <w:t> </w:t>
      </w:r>
      <w:r>
        <w:rPr>
          <w:spacing w:val="-1"/>
        </w:rPr>
        <w:t>行了调整，调整仅对</w:t>
      </w:r>
      <w:r>
        <w:rPr>
          <w:rFonts w:ascii="Times New Roman" w:hAnsi="Times New Roman" w:cs="Times New Roman" w:eastAsia="Times New Roman" w:hint="default"/>
          <w:spacing w:val="-1"/>
        </w:rPr>
        <w:t>“</w:t>
      </w:r>
      <w:r>
        <w:rPr>
          <w:spacing w:val="-1"/>
        </w:rPr>
        <w:t>递延收益</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其他非流动负债</w:t>
      </w:r>
      <w:r>
        <w:rPr>
          <w:rFonts w:ascii="Times New Roman" w:hAnsi="Times New Roman" w:cs="Times New Roman" w:eastAsia="Times New Roman" w:hint="default"/>
          <w:spacing w:val="-1"/>
        </w:rPr>
        <w:t>”</w:t>
      </w:r>
      <w:r>
        <w:rPr>
          <w:spacing w:val="-1"/>
        </w:rPr>
        <w:t>两项财务报表项目列示产生影响，对公司</w:t>
      </w:r>
      <w:r>
        <w:rPr>
          <w:rFonts w:ascii="Times New Roman" w:hAnsi="Times New Roman" w:cs="Times New Roman" w:eastAsia="Times New Roman" w:hint="default"/>
          <w:spacing w:val="-1"/>
        </w:rPr>
        <w:t>2013</w:t>
      </w:r>
      <w:r>
        <w:rPr>
          <w:spacing w:val="-1"/>
        </w:rPr>
        <w:t>年末资产总额、负债总额</w:t>
      </w:r>
      <w:r>
        <w:rPr>
          <w:spacing w:val="-78"/>
        </w:rPr>
        <w:t> </w:t>
      </w:r>
      <w:r>
        <w:rPr>
          <w:spacing w:val="-78"/>
        </w:rPr>
      </w:r>
      <w:r>
        <w:rPr/>
        <w:t>和净资产以及</w:t>
      </w:r>
      <w:r>
        <w:rPr>
          <w:rFonts w:ascii="Times New Roman" w:hAnsi="Times New Roman" w:cs="Times New Roman" w:eastAsia="Times New Roman" w:hint="default"/>
        </w:rPr>
        <w:t>2013</w:t>
      </w:r>
      <w:r>
        <w:rPr/>
        <w:t>年度净利润未产生影响。</w:t>
      </w:r>
    </w:p>
    <w:p>
      <w:pPr>
        <w:spacing w:line="240" w:lineRule="auto" w:before="1"/>
        <w:rPr>
          <w:rFonts w:ascii="宋体" w:hAnsi="宋体" w:cs="宋体" w:eastAsia="宋体" w:hint="default"/>
          <w:sz w:val="22"/>
          <w:szCs w:val="22"/>
        </w:rPr>
      </w:pPr>
    </w:p>
    <w:p>
      <w:pPr>
        <w:pStyle w:val="Heading3"/>
        <w:spacing w:line="240" w:lineRule="auto"/>
        <w:ind w:left="153" w:right="0"/>
        <w:jc w:val="both"/>
        <w:rPr>
          <w:b w:val="0"/>
          <w:bCs w:val="0"/>
        </w:rPr>
      </w:pPr>
      <w:bookmarkStart w:name="1、遵循企业会计准则的声明" w:id="123"/>
      <w:bookmarkEnd w:id="12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right="0"/>
        <w:jc w:val="left"/>
      </w:pPr>
      <w:r>
        <w:rPr>
          <w:spacing w:val="-1"/>
        </w:rPr>
        <w:t>本公司编制的财务报表符合《企业会计准则》的要求，真实、完整地反映了公司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w:t>
      </w:r>
      <w:r>
        <w:rPr>
          <w:spacing w:val="-83"/>
        </w:rPr>
        <w:t> </w:t>
      </w:r>
      <w:r>
        <w:rPr>
          <w:spacing w:val="-83"/>
        </w:rPr>
      </w:r>
      <w:r>
        <w:rPr/>
        <w:t>公司财务状况以及</w:t>
      </w:r>
      <w:r>
        <w:rPr>
          <w:rFonts w:ascii="Times New Roman" w:hAnsi="Times New Roman" w:cs="Times New Roman" w:eastAsia="Times New Roman" w:hint="default"/>
        </w:rPr>
        <w:t>2014</w:t>
      </w:r>
      <w:r>
        <w:rPr/>
        <w:t>年度的合并及公司经营成果和现金流量等相关信息。</w:t>
      </w:r>
    </w:p>
    <w:p>
      <w:pPr>
        <w:spacing w:line="240" w:lineRule="auto" w:before="6"/>
        <w:rPr>
          <w:rFonts w:ascii="宋体" w:hAnsi="宋体" w:cs="宋体" w:eastAsia="宋体" w:hint="default"/>
          <w:sz w:val="23"/>
          <w:szCs w:val="23"/>
        </w:rPr>
      </w:pPr>
    </w:p>
    <w:p>
      <w:pPr>
        <w:pStyle w:val="Heading3"/>
        <w:spacing w:line="240" w:lineRule="auto"/>
        <w:ind w:left="153" w:right="0"/>
        <w:jc w:val="both"/>
        <w:rPr>
          <w:b w:val="0"/>
          <w:bCs w:val="0"/>
        </w:rPr>
      </w:pPr>
      <w:bookmarkStart w:name="2、会计期间" w:id="124"/>
      <w:bookmarkEnd w:id="12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before="0"/>
        <w:ind w:left="573" w:right="0"/>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3"/>
        <w:spacing w:line="240" w:lineRule="auto"/>
        <w:ind w:left="153" w:right="0"/>
        <w:jc w:val="both"/>
        <w:rPr>
          <w:b w:val="0"/>
          <w:bCs w:val="0"/>
        </w:rPr>
      </w:pPr>
      <w:bookmarkStart w:name="3、营业周期" w:id="125"/>
      <w:bookmarkEnd w:id="12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right="0" w:firstLine="420"/>
        <w:jc w:val="left"/>
      </w:pPr>
      <w:r>
        <w:rPr>
          <w:spacing w:val="3"/>
        </w:rPr>
        <w:t>本公司营业周期是指本公司签订合同，购买用于加工的软硬件资产起至实现现金或现金等价物的期</w:t>
      </w:r>
      <w:r>
        <w:rPr/>
        <w:t> 间。本公司以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个月作为一个营业周期，并以其作为资产和负债的流动性划分标准。</w:t>
      </w:r>
    </w:p>
    <w:p>
      <w:pPr>
        <w:spacing w:line="240" w:lineRule="auto" w:before="2"/>
        <w:rPr>
          <w:rFonts w:ascii="宋体" w:hAnsi="宋体" w:cs="宋体" w:eastAsia="宋体" w:hint="default"/>
          <w:sz w:val="22"/>
          <w:szCs w:val="22"/>
        </w:rPr>
      </w:pPr>
    </w:p>
    <w:p>
      <w:pPr>
        <w:spacing w:line="506" w:lineRule="auto" w:before="0"/>
        <w:ind w:left="154" w:right="7812" w:firstLine="0"/>
        <w:jc w:val="left"/>
        <w:rPr>
          <w:rFonts w:ascii="宋体" w:hAnsi="宋体" w:cs="宋体" w:eastAsia="宋体" w:hint="default"/>
          <w:sz w:val="21"/>
          <w:szCs w:val="21"/>
        </w:rPr>
      </w:pPr>
      <w:bookmarkStart w:name="4、记账本位币" w:id="126"/>
      <w:bookmarkEnd w:id="12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pStyle w:val="Heading3"/>
        <w:spacing w:line="240" w:lineRule="auto" w:before="105"/>
        <w:ind w:right="0"/>
        <w:jc w:val="both"/>
        <w:rPr>
          <w:b w:val="0"/>
          <w:bCs w:val="0"/>
        </w:rPr>
      </w:pPr>
      <w:bookmarkStart w:name="5、同一控制下和非同一控制下企业合并的会计处理方法" w:id="127"/>
      <w:bookmarkEnd w:id="12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489" w:right="1891" w:hanging="84"/>
        <w:jc w:val="left"/>
      </w:pPr>
      <w:r>
        <w:rPr/>
        <w:t>本公司将两个或者两个以上单独的企业合并形成一个报告主体的交易或事项确定为企业合并。 企业合并分为同一控制下企业合并和非同一控制下企业合并两种类型。其会计处理如下：</w:t>
      </w:r>
    </w:p>
    <w:p>
      <w:pPr>
        <w:pStyle w:val="Heading3"/>
        <w:spacing w:line="240" w:lineRule="auto" w:before="7"/>
        <w:ind w:left="680" w:right="0"/>
        <w:jc w:val="left"/>
        <w:rPr>
          <w:b w:val="0"/>
          <w:bCs w:val="0"/>
        </w:rPr>
      </w:pPr>
      <w:r>
        <w:rPr>
          <w:rFonts w:ascii="Times New Roman" w:hAnsi="Times New Roman" w:cs="Times New Roman" w:eastAsia="Times New Roman" w:hint="default"/>
        </w:rPr>
        <w:t>1</w:t>
      </w:r>
      <w:r>
        <w:rPr/>
        <w:t>、同一控制下企业合并在合并日的会计处理</w:t>
      </w:r>
      <w:r>
        <w:rPr>
          <w:b w:val="0"/>
          <w:bCs w:val="0"/>
        </w:rPr>
      </w:r>
    </w:p>
    <w:p>
      <w:pPr>
        <w:spacing w:line="256" w:lineRule="auto" w:before="21"/>
        <w:ind w:left="489" w:right="0" w:firstLine="7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）一次交易实现同一控制下企业合并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对于同一控制下的企业合并，合并方按照合并日在被合并方所有者权益在最终控制方合并报表中的账</w:t>
      </w:r>
    </w:p>
    <w:p>
      <w:pPr>
        <w:pStyle w:val="Heading4"/>
        <w:spacing w:line="273" w:lineRule="auto" w:before="22"/>
        <w:ind w:right="1109"/>
        <w:jc w:val="both"/>
      </w:pPr>
      <w:r>
        <w:rPr>
          <w:spacing w:val="-1"/>
        </w:rPr>
        <w:t>面价值的份额作为长期股权投资的初始投资成本计量。合并方长期股权投资初始投资成本与支付的合并对</w:t>
      </w:r>
      <w:r>
        <w:rPr>
          <w:spacing w:val="-81"/>
        </w:rPr>
        <w:t> </w:t>
      </w:r>
      <w:r>
        <w:rPr>
          <w:spacing w:val="-81"/>
        </w:rPr>
      </w:r>
      <w:r>
        <w:rPr/>
        <w:t>价账面价值（或发行股份面值总额）之间的差额，调整资本公积；资本公积不足冲减的，调整留存收益。 合并方为进行企业合并发生的直接相关费用计入当期损益。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56" w:lineRule="auto" w:before="35"/>
        <w:ind w:left="489" w:right="1177" w:firstLine="11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）多次交易分步实现同一控制下企业合并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通过多次交易分步实现同一控制下企业合并的，在母公司财务报表中，合并日时点按照新增后的持股</w:t>
      </w:r>
    </w:p>
    <w:p>
      <w:pPr>
        <w:pStyle w:val="Heading4"/>
        <w:spacing w:line="273" w:lineRule="auto" w:before="22"/>
        <w:ind w:right="1093"/>
        <w:jc w:val="left"/>
      </w:pPr>
      <w:r>
        <w:rPr/>
        <w:t>比例计算被合并方所有者权益在最终控制方合并报表中的账面价值的份额作为该项投资的初始投资成本， 初始投资成本与其原长期股权投资账面价值加上合并日取得进一步股权新支付对价的账面价值之和的差 额，调整资本公积（股本溢价），资本公积不足冲减的，调整留存收益。</w:t>
      </w:r>
    </w:p>
    <w:p>
      <w:pPr>
        <w:pStyle w:val="Heading4"/>
        <w:spacing w:line="268" w:lineRule="auto"/>
        <w:ind w:right="1131" w:firstLine="336"/>
        <w:jc w:val="both"/>
      </w:pPr>
      <w:r>
        <w:rPr/>
        <w:t>在合并财务报表中，应视同参与合并的各方在最终控制方开始控制时作为比较数据追溯调整的最早期 </w:t>
      </w:r>
      <w:r>
        <w:rPr>
          <w:spacing w:val="-1"/>
        </w:rPr>
        <w:t>间进行合并报表编制。对被合并方的有关资产、负债并入合并财务报表增加的净资产调整所有者权益项下</w:t>
      </w:r>
      <w:r>
        <w:rPr>
          <w:spacing w:val="-81"/>
        </w:rPr>
        <w:t> </w:t>
      </w:r>
      <w:r>
        <w:rPr>
          <w:spacing w:val="-81"/>
        </w:rPr>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项目。同时对合并方在取得被合并方控制权之前持有的股权投资与合并方和被合并方同处于同 </w:t>
      </w:r>
      <w:r>
        <w:rPr>
          <w:spacing w:val="-1"/>
        </w:rPr>
        <w:t>一方最终控制之日孰晚日起至合并日之间已经确认损益、其他综合收益部分冲减合并报表期初留存收益或</w:t>
      </w:r>
      <w:r>
        <w:rPr>
          <w:spacing w:val="-81"/>
        </w:rPr>
        <w:t> </w:t>
      </w:r>
      <w:r>
        <w:rPr>
          <w:spacing w:val="-81"/>
        </w:rPr>
      </w:r>
      <w:r>
        <w:rPr/>
        <w:t>当期损益，但被合并方重新计量设定受益计划净负债或净资产变动而产生的其他综合收益除外。</w:t>
      </w:r>
    </w:p>
    <w:p>
      <w:pPr>
        <w:pStyle w:val="Heading3"/>
        <w:spacing w:line="240" w:lineRule="auto" w:before="12"/>
        <w:ind w:left="489" w:right="0"/>
        <w:jc w:val="left"/>
        <w:rPr>
          <w:b w:val="0"/>
          <w:bCs w:val="0"/>
        </w:rPr>
      </w:pPr>
      <w:r>
        <w:rPr>
          <w:rFonts w:ascii="Times New Roman" w:hAnsi="Times New Roman" w:cs="Times New Roman" w:eastAsia="Times New Roman" w:hint="default"/>
        </w:rPr>
        <w:t>2</w:t>
      </w:r>
      <w:r>
        <w:rPr/>
        <w:t>、非同一控制下企业合并在购买日的会计处理</w:t>
      </w:r>
      <w:r>
        <w:rPr>
          <w:b w:val="0"/>
          <w:bCs w:val="0"/>
        </w:rPr>
      </w:r>
    </w:p>
    <w:p>
      <w:pPr>
        <w:spacing w:line="256" w:lineRule="auto" w:before="21"/>
        <w:ind w:left="489" w:right="1012" w:firstLine="69"/>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）一次交易实现非同一控制下企业合并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对于非同一控制下的企业合并，合并成本为购买方在购买日为取得对被购买方的控制权而付出的资产、</w:t>
      </w:r>
    </w:p>
    <w:p>
      <w:pPr>
        <w:pStyle w:val="Heading4"/>
        <w:spacing w:line="273" w:lineRule="auto" w:before="22"/>
        <w:ind w:right="1131"/>
        <w:jc w:val="both"/>
      </w:pPr>
      <w:r>
        <w:rPr>
          <w:spacing w:val="-1"/>
        </w:rPr>
        <w:t>发生或承担的负债以及发行的权益性证券的公允价值。购买方为进行企业合并发生的各项直接相关费用计</w:t>
      </w:r>
      <w:r>
        <w:rPr>
          <w:spacing w:val="-81"/>
        </w:rPr>
        <w:t> </w:t>
      </w:r>
      <w:r>
        <w:rPr>
          <w:spacing w:val="-81"/>
        </w:rPr>
      </w:r>
      <w:r>
        <w:rPr>
          <w:spacing w:val="-1"/>
        </w:rPr>
        <w:t>入当期损益。在合并合同中对可能影响合并成本的未来事项作出约定的，购买日如果估计未来事项很可能</w:t>
      </w:r>
      <w:r>
        <w:rPr>
          <w:spacing w:val="-81"/>
        </w:rPr>
        <w:t> </w:t>
      </w:r>
      <w:r>
        <w:rPr>
          <w:spacing w:val="-81"/>
        </w:rPr>
      </w:r>
      <w:r>
        <w:rPr/>
        <w:t>发生并且对合并成本的影响金额能够可靠计量的，也计入合并成本。</w:t>
      </w:r>
    </w:p>
    <w:p>
      <w:pPr>
        <w:pStyle w:val="Heading4"/>
        <w:spacing w:line="273" w:lineRule="auto"/>
        <w:ind w:right="1131" w:firstLine="336"/>
        <w:jc w:val="both"/>
      </w:pPr>
      <w:r>
        <w:rPr/>
        <w:t>非同一控制下企业合并中所取得的被购买方符合确认条件的可辨认资产、负债及或有负债，在购买日 </w:t>
      </w:r>
      <w:r>
        <w:rPr>
          <w:spacing w:val="-1"/>
        </w:rPr>
        <w:t>以公允价值计量。购买方对合并成本大于合并中取得的被购买方可辨认净资产公允价值份额的差额，确认</w:t>
      </w:r>
      <w:r>
        <w:rPr>
          <w:spacing w:val="-81"/>
        </w:rPr>
        <w:t> </w:t>
      </w:r>
      <w:r>
        <w:rPr>
          <w:spacing w:val="-81"/>
        </w:rPr>
      </w:r>
      <w:r>
        <w:rPr>
          <w:spacing w:val="-1"/>
        </w:rPr>
        <w:t>为商誉。购买方对合并成本小于合并中取得的被购买方可辨认净资产公允价值份额的，经复核后合并成本</w:t>
      </w:r>
      <w:r>
        <w:rPr>
          <w:spacing w:val="-81"/>
        </w:rPr>
        <w:t> </w:t>
      </w:r>
      <w:r>
        <w:rPr>
          <w:spacing w:val="-81"/>
        </w:rPr>
      </w:r>
      <w:r>
        <w:rPr/>
        <w:t>仍小于合并中取得的被购买方可辨认净资产公允价值份额的差额，计入当期损益。</w:t>
      </w:r>
    </w:p>
    <w:p>
      <w:pPr>
        <w:spacing w:line="256" w:lineRule="auto" w:before="7"/>
        <w:ind w:left="490" w:right="1176" w:firstLine="11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）多次交易分步实现非同一控制下企业合并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通过多次交易分步实现非同一控制下企业合并的，在母公司财务报表中，以购买日之前所持被购买方</w:t>
      </w:r>
    </w:p>
    <w:p>
      <w:pPr>
        <w:pStyle w:val="Heading4"/>
        <w:spacing w:line="273" w:lineRule="auto" w:before="23"/>
        <w:ind w:left="154" w:right="0"/>
        <w:jc w:val="left"/>
      </w:pPr>
      <w:r>
        <w:rPr>
          <w:spacing w:val="-1"/>
        </w:rPr>
        <w:t>的股权投资的账面价值与购买日新增投资成本之和，作为该项投资的初始投资成本；购买日之前持有的被</w:t>
      </w:r>
      <w:r>
        <w:rPr>
          <w:spacing w:val="-81"/>
        </w:rPr>
        <w:t> </w:t>
      </w:r>
      <w:r>
        <w:rPr>
          <w:spacing w:val="-81"/>
        </w:rPr>
      </w:r>
      <w:r>
        <w:rPr/>
        <w:t>购买方的股权涉及其他综合收益的，应当在处置该项投资时将与其相关的其他综合收益转入当期投资收</w:t>
      </w:r>
      <w:r>
        <w:rPr/>
        <w:t> 益，但被购买方重新计量设定受益计划净负债或净资产变动而产生的其他综合收益除外。</w:t>
      </w:r>
    </w:p>
    <w:p>
      <w:pPr>
        <w:pStyle w:val="Heading4"/>
        <w:spacing w:line="273" w:lineRule="auto"/>
        <w:ind w:right="1131" w:firstLine="336"/>
        <w:jc w:val="both"/>
      </w:pPr>
      <w:r>
        <w:rPr/>
        <w:t>在合并财务报表中，对于购买日之前持有的被购买方的股权，按照该股权在购买日的公允价值进行重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合收益的，与其相关的其他综合收益应当转为购买日所属当期投资收益。同时，购买日之前所持被购买方</w:t>
      </w:r>
      <w:r>
        <w:rPr>
          <w:spacing w:val="-83"/>
        </w:rPr>
        <w:t> </w:t>
      </w:r>
      <w:r>
        <w:rPr>
          <w:spacing w:val="-83"/>
        </w:rPr>
      </w:r>
      <w:r>
        <w:rPr>
          <w:spacing w:val="-1"/>
        </w:rPr>
        <w:t>的股权于购买日的公允价值与购买日新购入股权所支付对价之和作为合并成本，合并成本与购买日中取得</w:t>
      </w:r>
      <w:r>
        <w:rPr>
          <w:spacing w:val="-81"/>
        </w:rPr>
        <w:t> </w:t>
      </w:r>
      <w:r>
        <w:rPr>
          <w:spacing w:val="-81"/>
        </w:rPr>
      </w:r>
      <w:r>
        <w:rPr/>
        <w:t>的被购买方可辨认净资产公允价值份额的差额，确认为商誉或合并当期损益。</w:t>
      </w:r>
    </w:p>
    <w:p>
      <w:pPr>
        <w:pStyle w:val="Heading3"/>
        <w:spacing w:line="240" w:lineRule="auto" w:before="7"/>
        <w:ind w:left="566" w:right="0"/>
        <w:jc w:val="left"/>
        <w:rPr>
          <w:b w:val="0"/>
          <w:bCs w:val="0"/>
        </w:rPr>
      </w:pPr>
      <w:r>
        <w:rPr>
          <w:rFonts w:ascii="Times New Roman" w:hAnsi="Times New Roman" w:cs="Times New Roman" w:eastAsia="Times New Roman" w:hint="default"/>
        </w:rPr>
        <w:t>3</w:t>
      </w:r>
      <w:r>
        <w:rPr/>
        <w:t>、分步处置子公司股权至丧失控制权的会计处理方法</w:t>
      </w:r>
      <w:r>
        <w:rPr>
          <w:b w:val="0"/>
          <w:bCs w:val="0"/>
        </w:rPr>
      </w:r>
    </w:p>
    <w:p>
      <w:pPr>
        <w:spacing w:line="256" w:lineRule="auto" w:before="21"/>
        <w:ind w:left="490" w:right="0" w:firstLine="7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）判断分步处置股权至丧失控制权过程中的各项交易是否属于</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的原则</w:t>
      </w:r>
      <w:r>
        <w:rPr>
          <w:rFonts w:ascii="宋体" w:hAnsi="宋体" w:cs="宋体" w:eastAsia="宋体" w:hint="default"/>
          <w:b/>
          <w:bCs/>
          <w:w w:val="99"/>
          <w:sz w:val="21"/>
          <w:szCs w:val="21"/>
        </w:rPr>
        <w:t> </w:t>
      </w:r>
      <w:r>
        <w:rPr>
          <w:rFonts w:ascii="宋体" w:hAnsi="宋体" w:cs="宋体" w:eastAsia="宋体" w:hint="default"/>
          <w:sz w:val="21"/>
          <w:szCs w:val="21"/>
        </w:rPr>
        <w:t>处置对子公司股权投资的各项交易的条款、条件以及经济影响符合以下一种或多种情况时，将多次交</w:t>
      </w:r>
    </w:p>
    <w:p>
      <w:pPr>
        <w:pStyle w:val="Heading4"/>
        <w:spacing w:line="240" w:lineRule="auto" w:before="22"/>
        <w:ind w:left="154" w:right="0"/>
        <w:jc w:val="left"/>
      </w:pPr>
      <w:r>
        <w:rPr/>
        <w:t>易事项作为一揽子交易进行会计处理。具体原则：</w:t>
      </w:r>
    </w:p>
    <w:p>
      <w:pPr>
        <w:pStyle w:val="Heading4"/>
        <w:spacing w:line="240" w:lineRule="auto" w:before="37"/>
        <w:ind w:left="574" w:right="0"/>
        <w:jc w:val="left"/>
      </w:pPr>
      <w:r>
        <w:rPr/>
        <w:t>①这些交易是同时或者在考虑了彼此影响的情况下订立的；</w:t>
      </w:r>
    </w:p>
    <w:p>
      <w:pPr>
        <w:pStyle w:val="Heading4"/>
        <w:spacing w:line="240" w:lineRule="auto" w:before="37"/>
        <w:ind w:left="573" w:right="0"/>
        <w:jc w:val="left"/>
      </w:pPr>
      <w:r>
        <w:rPr/>
        <w:t>②这些交易整体才能达成一项完整的商业结果；</w:t>
      </w:r>
    </w:p>
    <w:p>
      <w:pPr>
        <w:pStyle w:val="Heading4"/>
        <w:spacing w:line="240" w:lineRule="auto" w:before="37"/>
        <w:ind w:left="574" w:right="0"/>
        <w:jc w:val="left"/>
      </w:pPr>
      <w:r>
        <w:rPr/>
        <w:t>③一项交易的发生取决于其他至少一项交易的发生；</w:t>
      </w:r>
    </w:p>
    <w:p>
      <w:pPr>
        <w:pStyle w:val="Heading4"/>
        <w:spacing w:line="240" w:lineRule="auto" w:before="37"/>
        <w:ind w:left="574" w:right="0"/>
        <w:jc w:val="left"/>
      </w:pPr>
      <w:r>
        <w:rPr/>
        <w:t>④一项交易单独看是不经济的，但是和其他交易一并考虑时是经济的。</w:t>
      </w:r>
    </w:p>
    <w:p>
      <w:pPr>
        <w:spacing w:line="256" w:lineRule="auto" w:before="37"/>
        <w:ind w:left="490" w:right="0" w:firstLine="7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）属于</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的分步处置股权至丧失控制权的各项交易的会计处理方法</w:t>
      </w:r>
      <w:r>
        <w:rPr>
          <w:rFonts w:ascii="宋体" w:hAnsi="宋体" w:cs="宋体" w:eastAsia="宋体" w:hint="default"/>
          <w:b/>
          <w:bCs/>
          <w:w w:val="99"/>
          <w:sz w:val="21"/>
          <w:szCs w:val="21"/>
        </w:rPr>
        <w:t> </w:t>
      </w:r>
      <w:r>
        <w:rPr>
          <w:rFonts w:ascii="宋体" w:hAnsi="宋体" w:cs="宋体" w:eastAsia="宋体" w:hint="default"/>
          <w:sz w:val="21"/>
          <w:szCs w:val="21"/>
        </w:rPr>
        <w:t>对于属于</w:t>
      </w:r>
      <w:r>
        <w:rPr>
          <w:rFonts w:ascii="Times New Roman" w:hAnsi="Times New Roman" w:cs="Times New Roman" w:eastAsia="Times New Roman" w:hint="default"/>
          <w:sz w:val="21"/>
          <w:szCs w:val="21"/>
        </w:rPr>
        <w:t>“</w:t>
      </w:r>
      <w:r>
        <w:rPr>
          <w:rFonts w:ascii="宋体" w:hAnsi="宋体" w:cs="宋体" w:eastAsia="宋体" w:hint="default"/>
          <w:sz w:val="21"/>
          <w:szCs w:val="21"/>
        </w:rPr>
        <w:t>一揽子交易</w:t>
      </w:r>
      <w:r>
        <w:rPr>
          <w:rFonts w:ascii="Times New Roman" w:hAnsi="Times New Roman" w:cs="Times New Roman" w:eastAsia="Times New Roman" w:hint="default"/>
          <w:sz w:val="21"/>
          <w:szCs w:val="21"/>
        </w:rPr>
        <w:t>”</w:t>
      </w:r>
      <w:r>
        <w:rPr>
          <w:rFonts w:ascii="宋体" w:hAnsi="宋体" w:cs="宋体" w:eastAsia="宋体" w:hint="default"/>
          <w:sz w:val="21"/>
          <w:szCs w:val="21"/>
        </w:rPr>
        <w:t>的分步处置股权至丧失控制权的情形，应当将各项交易作为一项处置子公司并</w:t>
      </w:r>
    </w:p>
    <w:p>
      <w:pPr>
        <w:pStyle w:val="Heading4"/>
        <w:spacing w:line="273" w:lineRule="auto" w:before="5"/>
        <w:ind w:left="490" w:right="0" w:hanging="336"/>
        <w:jc w:val="left"/>
      </w:pPr>
      <w:r>
        <w:rPr/>
        <w:t>丧失控制权的交易进行会计处理。具体在母公司财务报表和合并财务报表中会计处理方法如下： 在母公司财务报表中，将每一次处置价款与所处置投资对应的账面价值的差额确认为其他综合收益，</w:t>
      </w:r>
    </w:p>
    <w:p>
      <w:pPr>
        <w:pStyle w:val="Heading4"/>
        <w:spacing w:line="273" w:lineRule="auto"/>
        <w:ind w:left="154" w:right="0"/>
        <w:jc w:val="left"/>
      </w:pPr>
      <w:r>
        <w:rPr>
          <w:spacing w:val="-1"/>
        </w:rPr>
        <w:t>到丧失控制权时再一并转入丧失控制权的当期损益；对于失去控制权之后的剩余股权，按其账面价值确认</w:t>
      </w:r>
      <w:r>
        <w:rPr>
          <w:spacing w:val="-81"/>
        </w:rPr>
        <w:t> </w:t>
      </w:r>
      <w:r>
        <w:rPr>
          <w:spacing w:val="-81"/>
        </w:rPr>
      </w:r>
      <w:r>
        <w:rPr>
          <w:spacing w:val="-1"/>
        </w:rPr>
        <w:t>为长期股权投资或其他相关金融资产，失去控制权之后的剩余股权能够对原有子公司实施共同控制或重大</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489" w:right="1177" w:hanging="336"/>
        <w:jc w:val="left"/>
      </w:pPr>
      <w:r>
        <w:rPr/>
        <w:t>影响的，按权益法的相关规定进行会计处理。 在合并财务报表中，对于失去控制权之前的每一次交易，将处置价款与处置投资对应的享有该子公司</w:t>
      </w:r>
    </w:p>
    <w:p>
      <w:pPr>
        <w:pStyle w:val="Heading4"/>
        <w:spacing w:line="273" w:lineRule="auto"/>
        <w:ind w:right="1024"/>
        <w:jc w:val="left"/>
      </w:pPr>
      <w:r>
        <w:rPr>
          <w:spacing w:val="-3"/>
        </w:rPr>
        <w:t>净资产份额的差额，在合并报表中确认为其他综合收益；在丧失控制权时一并转入丧失控制权当期的损益。</w:t>
      </w:r>
      <w:r>
        <w:rPr>
          <w:spacing w:val="-92"/>
        </w:rPr>
        <w:t> </w:t>
      </w:r>
      <w:r>
        <w:rPr>
          <w:spacing w:val="-92"/>
        </w:rPr>
      </w:r>
      <w:r>
        <w:rPr/>
        <w:t>对于剩余股权，按照其在丧失控制权日的公允价值进行重新计量，处置股权取得的对价与剩余股权公允价</w:t>
      </w:r>
      <w:r>
        <w:rPr/>
        <w:t> 值之和，减去按原持股比例计算应享有原有子公司自购买日开始持续计算的净资产的份额之间的差额，计 入丧失控制权当期的投资收益。与原有子公司股权投资相关的其他综合收益，在丧失控制权时转为当期投 资收益。但原子公司重新计量设定受益计划净负债或净资产变动而产生的其他综合收益除外。</w:t>
      </w:r>
    </w:p>
    <w:p>
      <w:pPr>
        <w:spacing w:line="256" w:lineRule="auto" w:before="7"/>
        <w:ind w:left="489" w:right="0" w:firstLine="7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）不属于</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一揽子交易</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的分步处置股权至丧失控制权的各项交易的会计处理方法</w:t>
      </w:r>
      <w:r>
        <w:rPr>
          <w:rFonts w:ascii="宋体" w:hAnsi="宋体" w:cs="宋体" w:eastAsia="宋体" w:hint="default"/>
          <w:b/>
          <w:bCs/>
          <w:w w:val="99"/>
          <w:sz w:val="21"/>
          <w:szCs w:val="21"/>
        </w:rPr>
        <w:t> </w:t>
      </w:r>
      <w:r>
        <w:rPr>
          <w:rFonts w:ascii="宋体" w:hAnsi="宋体" w:cs="宋体" w:eastAsia="宋体" w:hint="default"/>
          <w:sz w:val="21"/>
          <w:szCs w:val="21"/>
        </w:rPr>
        <w:t>对于失去控制权之前的每一次交易，在母公司财务报表中将处置价款与处置投资对应的账面价值的差</w:t>
      </w:r>
    </w:p>
    <w:p>
      <w:pPr>
        <w:pStyle w:val="Heading4"/>
        <w:spacing w:line="273" w:lineRule="auto" w:before="22"/>
        <w:ind w:right="0"/>
        <w:jc w:val="left"/>
      </w:pPr>
      <w:r>
        <w:rPr>
          <w:spacing w:val="-1"/>
        </w:rPr>
        <w:t>额确认为当期投资收益；在合并财务报表中将处置价款与处置投资对应的享有该子公司净资产份额的差额</w:t>
      </w:r>
      <w:r>
        <w:rPr>
          <w:spacing w:val="-81"/>
        </w:rPr>
        <w:t> </w:t>
      </w:r>
      <w:r>
        <w:rPr>
          <w:spacing w:val="-81"/>
        </w:rPr>
      </w:r>
      <w:r>
        <w:rPr/>
        <w:t>计入资本公积（资本溢价），资本溢价不足冲减的，调整留存收益。</w:t>
      </w:r>
    </w:p>
    <w:p>
      <w:pPr>
        <w:pStyle w:val="Heading4"/>
        <w:spacing w:line="273" w:lineRule="auto"/>
        <w:ind w:right="1131" w:firstLine="336"/>
        <w:jc w:val="both"/>
      </w:pPr>
      <w:r>
        <w:rPr/>
        <w:t>对于失去控制权时的交易，在母公司财务报表中，对于处置的股权，按照处置价款与处置投资对应的 </w:t>
      </w:r>
      <w:r>
        <w:rPr>
          <w:spacing w:val="-1"/>
        </w:rPr>
        <w:t>账面价值的差额确认为当期投资收益；同时，对于剩余股权，按其账面价值确认为长期股权投资或其他相</w:t>
      </w:r>
      <w:r>
        <w:rPr>
          <w:spacing w:val="-83"/>
        </w:rPr>
        <w:t> </w:t>
      </w:r>
      <w:r>
        <w:rPr>
          <w:spacing w:val="-83"/>
        </w:rPr>
      </w:r>
      <w:r>
        <w:rPr>
          <w:spacing w:val="-1"/>
        </w:rPr>
        <w:t>关金融资产。处置后的剩余股权能够对原有子公司实施共同控制或重大影响的，按有关成本法转为权益法</w:t>
      </w:r>
      <w:r>
        <w:rPr>
          <w:spacing w:val="-81"/>
        </w:rPr>
        <w:t> </w:t>
      </w:r>
      <w:r>
        <w:rPr>
          <w:spacing w:val="-81"/>
        </w:rPr>
      </w:r>
      <w:r>
        <w:rPr>
          <w:spacing w:val="-1"/>
        </w:rPr>
        <w:t>的相关规定进行会计处理。在合并财务报表中，对于剩余股权，按照其在丧失控制权日的公允价值进行重</w:t>
      </w:r>
      <w:r>
        <w:rPr>
          <w:spacing w:val="-83"/>
        </w:rPr>
        <w:t> </w:t>
      </w:r>
      <w:r>
        <w:rPr>
          <w:spacing w:val="-83"/>
        </w:rPr>
      </w:r>
      <w:r>
        <w:rPr>
          <w:spacing w:val="-1"/>
        </w:rPr>
        <w:t>新计量。处置股权取得的对价与剩余股权公允价值之和，减去按原持股比例计算应享有原有子公司自购买</w:t>
      </w:r>
      <w:r>
        <w:rPr>
          <w:spacing w:val="-81"/>
        </w:rPr>
        <w:t> </w:t>
      </w:r>
      <w:r>
        <w:rPr>
          <w:spacing w:val="-81"/>
        </w:rPr>
      </w:r>
      <w:r>
        <w:rPr>
          <w:spacing w:val="-1"/>
        </w:rPr>
        <w:t>日开始持续计算的净资产的份额之间的差额，计入丧失控制权当期的投资收益。与原有子公司股权投资相</w:t>
      </w:r>
      <w:r>
        <w:rPr>
          <w:spacing w:val="-81"/>
        </w:rPr>
        <w:t> </w:t>
      </w:r>
      <w:r>
        <w:rPr>
          <w:spacing w:val="-81"/>
        </w:rPr>
      </w:r>
      <w:r>
        <w:rPr>
          <w:spacing w:val="-1"/>
        </w:rPr>
        <w:t>关的其他综合收益，在丧失控制权时转为当期投资收益。但原子公司重新计量设定受益计划净负债或净资</w:t>
      </w:r>
      <w:r>
        <w:rPr>
          <w:spacing w:val="-81"/>
        </w:rPr>
        <w:t> </w:t>
      </w:r>
      <w:r>
        <w:rPr>
          <w:spacing w:val="-81"/>
        </w:rPr>
      </w:r>
      <w:r>
        <w:rPr/>
        <w:t>产变动而产生的其他综合收益除外。</w:t>
      </w:r>
    </w:p>
    <w:p>
      <w:pPr>
        <w:spacing w:line="590" w:lineRule="atLeast" w:before="9"/>
        <w:ind w:left="237" w:right="2269" w:hanging="84"/>
        <w:jc w:val="left"/>
        <w:rPr>
          <w:rFonts w:ascii="宋体" w:hAnsi="宋体" w:cs="宋体" w:eastAsia="宋体" w:hint="default"/>
          <w:sz w:val="21"/>
          <w:szCs w:val="21"/>
        </w:rPr>
      </w:pPr>
      <w:bookmarkStart w:name="6、合并财务报表的编制方法" w:id="128"/>
      <w:bookmarkEnd w:id="12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z w:val="21"/>
          <w:szCs w:val="21"/>
        </w:rPr>
        <w:t>本公司以控制为基础确定合并范围。将拥有实质性控制权的子公司纳入合并财务报表范围。</w:t>
      </w:r>
    </w:p>
    <w:p>
      <w:pPr>
        <w:pStyle w:val="Heading4"/>
        <w:spacing w:line="264" w:lineRule="auto" w:before="37"/>
        <w:ind w:right="1132" w:firstLine="336"/>
        <w:jc w:val="both"/>
      </w:pPr>
      <w:r>
        <w:rPr/>
        <w:t>本公司合并财务报表按照《企业会计准则第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合并财务报表》及相关规定的要求编制，合并时 </w:t>
      </w:r>
      <w:r>
        <w:rPr>
          <w:spacing w:val="-1"/>
        </w:rPr>
        <w:t>抵销合并范围内的所有重大内部交易和往来。子公司的股东权益中不属于母公司所拥有的部分作为少数股</w:t>
      </w:r>
      <w:r>
        <w:rPr>
          <w:spacing w:val="-81"/>
        </w:rPr>
        <w:t> </w:t>
      </w:r>
      <w:r>
        <w:rPr>
          <w:spacing w:val="-81"/>
        </w:rPr>
      </w:r>
      <w:r>
        <w:rPr/>
        <w:t>东权益在合并财务报表中单独列示。</w:t>
      </w:r>
    </w:p>
    <w:p>
      <w:pPr>
        <w:pStyle w:val="Heading4"/>
        <w:spacing w:line="273" w:lineRule="auto" w:before="16"/>
        <w:ind w:right="1130" w:firstLine="336"/>
        <w:jc w:val="both"/>
      </w:pPr>
      <w:r>
        <w:rPr/>
        <w:t>子公司与本公司采用的会计政策或会计期间不一致的，在编制合并财务报表时，按照本公司的会计政</w:t>
      </w:r>
      <w:r>
        <w:rPr>
          <w:spacing w:val="1"/>
        </w:rPr>
        <w:t> </w:t>
      </w:r>
      <w:r>
        <w:rPr/>
        <w:t>策或会计期间对子公司财务报表进行必要的调整。</w:t>
      </w:r>
    </w:p>
    <w:p>
      <w:pPr>
        <w:pStyle w:val="Heading4"/>
        <w:spacing w:line="273" w:lineRule="auto"/>
        <w:ind w:right="1131" w:firstLine="336"/>
        <w:jc w:val="both"/>
      </w:pPr>
      <w:r>
        <w:rPr/>
        <w:t>对于非同一控制下企业合并取得的子公司，在编制合并财务报表时，以购买日可辨认净资产公允价值 </w:t>
      </w:r>
      <w:r>
        <w:rPr>
          <w:spacing w:val="-1"/>
        </w:rPr>
        <w:t>为基础对其个别财务报表进行调整；对于同一控制下企业合并取得的子公司，视同该企业合并于合并当期</w:t>
      </w:r>
      <w:r>
        <w:rPr>
          <w:spacing w:val="-81"/>
        </w:rPr>
        <w:t> </w:t>
      </w:r>
      <w:r>
        <w:rPr>
          <w:spacing w:val="-81"/>
        </w:rPr>
      </w:r>
      <w:r>
        <w:rPr/>
        <w:t>的年初已经发生，从合并当期的年初起将其资产、负债、经营成果和现金流量纳入合并财务报表。</w:t>
      </w:r>
    </w:p>
    <w:p>
      <w:pPr>
        <w:spacing w:line="590" w:lineRule="atLeast" w:before="9"/>
        <w:ind w:left="559" w:right="0" w:hanging="406"/>
        <w:jc w:val="left"/>
        <w:rPr>
          <w:rFonts w:ascii="宋体" w:hAnsi="宋体" w:cs="宋体" w:eastAsia="宋体" w:hint="default"/>
          <w:sz w:val="21"/>
          <w:szCs w:val="21"/>
        </w:rPr>
      </w:pPr>
      <w:bookmarkStart w:name="7、合营安排分类及共同经营会计处理方法" w:id="129"/>
      <w:bookmarkEnd w:id="12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本公司将一项由两个或两个以上的参与方共同控制的安排确定为合营安排。参与方为共同控制的一方</w:t>
      </w:r>
    </w:p>
    <w:p>
      <w:pPr>
        <w:pStyle w:val="Heading4"/>
        <w:spacing w:line="273" w:lineRule="auto" w:before="37"/>
        <w:ind w:left="553" w:right="1113" w:hanging="400"/>
        <w:jc w:val="left"/>
      </w:pPr>
      <w:r>
        <w:rPr/>
        <w:t>时界定为合营安排中的合营方，否则界定为合营安排中的非合营方。 合营安排根据合营方是否为享有该安排相关资产权利且承担相关负债义务，还是仅对该安排的净资产</w:t>
      </w:r>
    </w:p>
    <w:p>
      <w:pPr>
        <w:pStyle w:val="Heading4"/>
        <w:spacing w:line="240" w:lineRule="auto"/>
        <w:ind w:left="154" w:right="0"/>
        <w:jc w:val="left"/>
      </w:pPr>
      <w:r>
        <w:rPr/>
        <w:t>享有权利划分为共同经营或合营企业两种类型。</w:t>
      </w:r>
    </w:p>
    <w:p>
      <w:pPr>
        <w:spacing w:line="256" w:lineRule="auto" w:before="37"/>
        <w:ind w:left="490" w:right="0" w:firstLine="8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、共同经营的会计处理方法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本公司为共同经营中的合营方，应当确认其共同经营中利益份额相关的下列项目，并按照相关企业会</w:t>
      </w:r>
    </w:p>
    <w:p>
      <w:pPr>
        <w:pStyle w:val="Heading4"/>
        <w:spacing w:line="273" w:lineRule="auto" w:before="23"/>
        <w:ind w:left="154" w:right="1023"/>
        <w:jc w:val="left"/>
      </w:pPr>
      <w:r>
        <w:rPr/>
        <w:t>计准则的规定进行会计处理：①确认单独所持有的资产，以及按其份额确认共同持有的资产；②确认单独 </w:t>
      </w:r>
      <w:r>
        <w:rPr>
          <w:spacing w:val="-3"/>
        </w:rPr>
        <w:t>所承担的负债，以及按其份额确认共同承担的负债；③确认出售其享有的共同经营产出份额所产生的收入；</w:t>
      </w:r>
    </w:p>
    <w:p>
      <w:pPr>
        <w:pStyle w:val="Heading4"/>
        <w:spacing w:line="273" w:lineRule="auto"/>
        <w:ind w:left="154" w:right="0"/>
        <w:jc w:val="left"/>
      </w:pPr>
      <w:r>
        <w:rPr>
          <w:spacing w:val="-1"/>
        </w:rPr>
        <w:t>④按其份额确认共同经营因出售产出所产生的收入；⑤确认单独所发生的费用，以及按其份额确认共同经</w:t>
      </w:r>
      <w:r>
        <w:rPr>
          <w:spacing w:val="-81"/>
        </w:rPr>
        <w:t> </w:t>
      </w:r>
      <w:r>
        <w:rPr>
          <w:spacing w:val="-81"/>
        </w:rPr>
      </w:r>
      <w:r>
        <w:rPr/>
        <w:t>营发生的费用。</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left="489" w:right="0"/>
        <w:jc w:val="left"/>
      </w:pPr>
      <w:r>
        <w:rPr/>
        <w:t>本公司为共同经营中非合营方比照上述合营方进行会计处理。</w:t>
      </w:r>
    </w:p>
    <w:p>
      <w:pPr>
        <w:spacing w:line="256" w:lineRule="auto" w:before="37"/>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、合营企业的会计处理方法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本公司为合营企业的合营方，应当按照《企业会计准则第</w:t>
      </w:r>
      <w:r>
        <w:rPr>
          <w:rFonts w:ascii="Times New Roman" w:hAnsi="Times New Roman" w:cs="Times New Roman" w:eastAsia="Times New Roman" w:hint="default"/>
          <w:sz w:val="21"/>
          <w:szCs w:val="21"/>
        </w:rPr>
        <w:t>2</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长期股权投资》的相关规定进行核算</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及会计处理。</w:t>
      </w: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bookmarkStart w:name="8、现金及现金等价物的确定标准" w:id="130"/>
      <w:bookmarkEnd w:id="13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489" w:right="0"/>
        <w:jc w:val="left"/>
      </w:pPr>
      <w:r>
        <w:rPr/>
        <w:t>本公司在编制现金流量表时所确定的现金，是指本公司库存现金以及可以随时用于支付的存款。 本公司在编制现金流量表时所确定的现金等价物，是指本公司持有的期限短、流动性强、易于转换为</w:t>
      </w:r>
    </w:p>
    <w:p>
      <w:pPr>
        <w:pStyle w:val="Heading4"/>
        <w:spacing w:line="240" w:lineRule="auto"/>
        <w:ind w:right="0"/>
        <w:jc w:val="left"/>
      </w:pPr>
      <w:r>
        <w:rPr/>
        <w:t>已知金额现金、价值变动风险很小的投资。</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9、外币业务和外币报表折算" w:id="131"/>
      <w:bookmarkEnd w:id="13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line="256" w:lineRule="auto" w:before="0"/>
        <w:ind w:left="490" w:right="3696" w:firstLine="8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、外币业务折算</w:t>
      </w:r>
      <w:r>
        <w:rPr>
          <w:rFonts w:ascii="宋体" w:hAnsi="宋体" w:cs="宋体" w:eastAsia="宋体" w:hint="default"/>
          <w:b/>
          <w:bCs/>
          <w:w w:val="99"/>
          <w:sz w:val="21"/>
          <w:szCs w:val="21"/>
        </w:rPr>
        <w:t> </w:t>
      </w:r>
      <w:r>
        <w:rPr>
          <w:rFonts w:ascii="宋体" w:hAnsi="宋体" w:cs="宋体" w:eastAsia="宋体" w:hint="default"/>
          <w:sz w:val="21"/>
          <w:szCs w:val="21"/>
        </w:rPr>
        <w:t>本公司对发生的外币交易，采用与交易发生日即期汇率折合本位币入账。</w:t>
      </w:r>
    </w:p>
    <w:p>
      <w:pPr>
        <w:pStyle w:val="Heading4"/>
        <w:spacing w:line="273" w:lineRule="auto" w:before="22"/>
        <w:ind w:right="1132" w:firstLine="336"/>
        <w:jc w:val="both"/>
      </w:pPr>
      <w:r>
        <w:rPr/>
        <w:t>资产负债表日外币货币性项目按资产负债表日即期汇率折算，因该日的即期汇率与初始确认时或者前 </w:t>
      </w:r>
      <w:r>
        <w:rPr>
          <w:spacing w:val="-1"/>
        </w:rPr>
        <w:t>一资产负债表日即期汇率不同而产生的汇兑差额，除符合资本化条件的外币专门借款的汇兑差额在资本化</w:t>
      </w:r>
      <w:r>
        <w:rPr>
          <w:spacing w:val="-81"/>
        </w:rPr>
        <w:t> </w:t>
      </w:r>
      <w:r>
        <w:rPr>
          <w:spacing w:val="-81"/>
        </w:rPr>
      </w:r>
      <w:r>
        <w:rPr/>
        <w:t>期间予以资本化计入相关资产的成本外，均计入当期损益。</w:t>
      </w:r>
    </w:p>
    <w:p>
      <w:pPr>
        <w:pStyle w:val="Heading4"/>
        <w:spacing w:line="273" w:lineRule="auto"/>
        <w:ind w:right="1012" w:firstLine="336"/>
        <w:jc w:val="left"/>
      </w:pPr>
      <w:r>
        <w:rPr>
          <w:spacing w:val="-1"/>
        </w:rPr>
        <w:t>以历史成本计量的外币非货币性项目，仍采用交易发生日的即期汇率折算，不改变其记账本位币金额。</w:t>
      </w:r>
      <w:r>
        <w:rPr/>
        <w:t> 以公允价值计量的外币非货币性项目，采用公允价值确定日的即期汇率折算，折算后的记账本位币金额与 原记账本位币金额的差额，作为公允价值变动</w:t>
      </w:r>
      <w:r>
        <w:rPr>
          <w:rFonts w:ascii="Times New Roman" w:hAnsi="Times New Roman" w:cs="Times New Roman" w:eastAsia="Times New Roman" w:hint="default"/>
        </w:rPr>
        <w:t>(</w:t>
      </w:r>
      <w:r>
        <w:rPr/>
        <w:t>含汇率变动</w:t>
      </w:r>
      <w:r>
        <w:rPr>
          <w:rFonts w:ascii="Times New Roman" w:hAnsi="Times New Roman" w:cs="Times New Roman" w:eastAsia="Times New Roman" w:hint="default"/>
        </w:rPr>
        <w:t>)</w:t>
      </w:r>
      <w:r>
        <w:rPr/>
        <w:t>处理，计入当期损益或确认为其他综合收益。</w:t>
      </w:r>
    </w:p>
    <w:p>
      <w:pPr>
        <w:pStyle w:val="Heading4"/>
        <w:spacing w:line="256" w:lineRule="auto" w:before="0"/>
        <w:ind w:left="490" w:right="0" w:firstLine="86"/>
        <w:jc w:val="left"/>
      </w:pPr>
      <w:r>
        <w:rPr>
          <w:rFonts w:ascii="Times New Roman" w:hAnsi="Times New Roman" w:cs="Times New Roman" w:eastAsia="Times New Roman" w:hint="default"/>
          <w:b/>
          <w:bCs/>
        </w:rPr>
        <w:t>2</w:t>
      </w:r>
      <w:r>
        <w:rPr>
          <w:rFonts w:ascii="宋体" w:hAnsi="宋体" w:cs="宋体" w:eastAsia="宋体" w:hint="default"/>
          <w:b/>
          <w:bCs/>
        </w:rPr>
        <w:t>、外币财务报表折算</w:t>
      </w:r>
      <w:r>
        <w:rPr>
          <w:rFonts w:ascii="宋体" w:hAnsi="宋体" w:cs="宋体" w:eastAsia="宋体" w:hint="default"/>
          <w:b/>
          <w:bCs/>
          <w:w w:val="99"/>
        </w:rPr>
        <w:t> </w:t>
      </w:r>
      <w:r>
        <w:rPr/>
        <w:t>本公司的控股子公司、合营企业、联营企业等，若采用与本公司不同的记账本位币，需对其外币财务</w:t>
      </w:r>
    </w:p>
    <w:p>
      <w:pPr>
        <w:pStyle w:val="Heading4"/>
        <w:spacing w:line="273" w:lineRule="auto" w:before="22"/>
        <w:ind w:left="490" w:right="1128" w:hanging="336"/>
        <w:jc w:val="left"/>
        <w:rPr>
          <w:rFonts w:ascii="Times New Roman" w:hAnsi="Times New Roman" w:cs="Times New Roman" w:eastAsia="Times New Roman" w:hint="default"/>
        </w:rPr>
      </w:pPr>
      <w:r>
        <w:rPr/>
        <w:t>报表折算后，再进行会计核算及合并财务报表的编报。 </w:t>
      </w:r>
      <w:r>
        <w:rPr>
          <w:spacing w:val="-3"/>
        </w:rPr>
        <w:t>资产负债表中的资产和负债项目，采用资产负债表日的即期汇率折算，所有者权益项目除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p>
    <w:p>
      <w:pPr>
        <w:pStyle w:val="Heading4"/>
        <w:spacing w:line="273" w:lineRule="auto" w:before="0"/>
        <w:ind w:right="0"/>
        <w:jc w:val="left"/>
      </w:pPr>
      <w:r>
        <w:rPr>
          <w:spacing w:val="-1"/>
        </w:rPr>
        <w:t>项目外，其他项目采用发生时的即期汇率折算。利润表中的收入和费用项目，采用交易发生日即期汇率折</w:t>
      </w:r>
      <w:r>
        <w:rPr>
          <w:spacing w:val="-83"/>
        </w:rPr>
        <w:t> </w:t>
      </w:r>
      <w:r>
        <w:rPr>
          <w:spacing w:val="-83"/>
        </w:rPr>
      </w:r>
      <w:r>
        <w:rPr/>
        <w:t>算。折算产生的外币财务报表折算差额，在资产负债表中所有者权益项目下单独列示。</w:t>
      </w:r>
    </w:p>
    <w:p>
      <w:pPr>
        <w:pStyle w:val="Heading4"/>
        <w:spacing w:line="273" w:lineRule="auto"/>
        <w:ind w:right="1140" w:firstLine="336"/>
        <w:jc w:val="both"/>
      </w:pPr>
      <w:r>
        <w:rPr/>
        <w:t>外币现金流量按照系统合理方法确定的，采用交易发生日即期汇率折算。汇率变动对现金的影响额， 在现金流量表中单独列示。</w:t>
      </w:r>
    </w:p>
    <w:p>
      <w:pPr>
        <w:pStyle w:val="Heading4"/>
        <w:spacing w:line="273" w:lineRule="auto"/>
        <w:ind w:right="1140" w:firstLine="336"/>
        <w:jc w:val="both"/>
      </w:pPr>
      <w:r>
        <w:rPr/>
        <w:t>处置境外经营时，与该境外经营有关的外币报表折算差额，全部或按处置该境外经营的比例转入处置 当期损益。</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10、金融工具" w:id="132"/>
      <w:bookmarkEnd w:id="13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spacing w:line="256" w:lineRule="auto" w:before="0"/>
        <w:ind w:left="489" w:right="6847" w:firstLine="8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）金融工具的分类、确认和计量</w:t>
      </w:r>
      <w:r>
        <w:rPr>
          <w:rFonts w:ascii="宋体" w:hAnsi="宋体" w:cs="宋体" w:eastAsia="宋体" w:hint="default"/>
          <w:b/>
          <w:bCs/>
          <w:w w:val="99"/>
          <w:sz w:val="21"/>
          <w:szCs w:val="21"/>
        </w:rPr>
        <w:t> </w:t>
      </w:r>
      <w:r>
        <w:rPr>
          <w:rFonts w:ascii="宋体" w:hAnsi="宋体" w:cs="宋体" w:eastAsia="宋体" w:hint="default"/>
          <w:sz w:val="21"/>
          <w:szCs w:val="21"/>
        </w:rPr>
        <w:t>金融工具划分为金融资产或金融负债。</w:t>
      </w:r>
    </w:p>
    <w:p>
      <w:pPr>
        <w:pStyle w:val="Heading4"/>
        <w:spacing w:line="273" w:lineRule="auto" w:before="22"/>
        <w:ind w:right="1109" w:firstLine="336"/>
        <w:jc w:val="both"/>
      </w:pPr>
      <w:r>
        <w:rPr/>
        <w:t>金融资产于初始确认时分类为：以公允价值计量且其变动计入当期损益的金融资产（包括交易性金融 资产和指定为以公允价值计量且其变动计入当期损益的金融资产）、持有至到期投资、贷款和应收款项、 </w:t>
      </w:r>
      <w:r>
        <w:rPr>
          <w:spacing w:val="-1"/>
        </w:rPr>
        <w:t>可供出售金融资产。除应收款项以外的金融资产的分类取决于本公司及其子公司对金融资产的持有意图和</w:t>
      </w:r>
      <w:r>
        <w:rPr>
          <w:spacing w:val="-81"/>
        </w:rPr>
        <w:t> </w:t>
      </w:r>
      <w:r>
        <w:rPr>
          <w:spacing w:val="-81"/>
        </w:rPr>
      </w:r>
      <w:r>
        <w:rPr/>
        <w:t>持有能力等。</w:t>
      </w:r>
    </w:p>
    <w:p>
      <w:pPr>
        <w:pStyle w:val="Heading4"/>
        <w:spacing w:line="273" w:lineRule="auto" w:before="8"/>
        <w:ind w:right="1140" w:firstLine="336"/>
        <w:jc w:val="both"/>
      </w:pPr>
      <w:r>
        <w:rPr/>
        <w:t>金融负债于初始确认时分类为：以公允价值计量且其变动计入当期损益的金融负债（包括交易性金融 负债和指定为以公允价值计量且其变动计入当期损益的金融负债）以及其他金融负债。</w:t>
      </w:r>
    </w:p>
    <w:p>
      <w:pPr>
        <w:pStyle w:val="Heading4"/>
        <w:spacing w:line="273" w:lineRule="auto"/>
        <w:ind w:left="490" w:right="0"/>
        <w:jc w:val="left"/>
      </w:pPr>
      <w:r>
        <w:rPr/>
        <w:t>本公司成为金融工具合同的一方时，确认为一项金融资产或金融负债。 本公司金融资产或金融负债初始确认按公允价值计量。后续计量则分类进行处理：以公允价值计量且</w:t>
      </w:r>
    </w:p>
    <w:p>
      <w:pPr>
        <w:pStyle w:val="Heading4"/>
        <w:spacing w:line="240" w:lineRule="auto"/>
        <w:ind w:left="154" w:right="0"/>
        <w:jc w:val="left"/>
      </w:pPr>
      <w:r>
        <w:rPr/>
        <w:t>其变动计入当期损益的金融资产、可供出售金融资产及以公允价值计量且其变动计入当期损益的金融负债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left="489" w:right="0" w:hanging="336"/>
        <w:jc w:val="left"/>
      </w:pPr>
      <w:r>
        <w:rPr/>
        <w:t>按公允价值计量；持有到期投资、贷款和应收款项以及其他金融负债按摊余成本计量。 本公司金融资产或金融负债后续计量中公允价值变动形成的利得或损失，除与套期保值有关外，按照</w:t>
      </w:r>
    </w:p>
    <w:p>
      <w:pPr>
        <w:pStyle w:val="Heading4"/>
        <w:spacing w:line="273" w:lineRule="auto"/>
        <w:ind w:right="1110"/>
        <w:jc w:val="both"/>
      </w:pPr>
      <w:r>
        <w:rPr>
          <w:spacing w:val="-1"/>
        </w:rPr>
        <w:t>如下方法处理：①以公允价值计量且其变动计入当期损益的金融资产或金融负债公允价值变动形成的利得</w:t>
      </w:r>
      <w:r>
        <w:rPr>
          <w:spacing w:val="-81"/>
        </w:rPr>
        <w:t> </w:t>
      </w:r>
      <w:r>
        <w:rPr>
          <w:spacing w:val="-81"/>
        </w:rPr>
      </w:r>
      <w:r>
        <w:rPr/>
        <w:t>或损失，计入公允价值变动损益；在资产持有期间所取得的利息或现金股利，确认为投资收益；处置时， </w:t>
      </w:r>
      <w:r>
        <w:rPr>
          <w:spacing w:val="-1"/>
        </w:rPr>
        <w:t>将实际收到的金额与初始入账金额之间的差额确认为投资收益，同时调整公允价值变动损益。②可供出售</w:t>
      </w:r>
      <w:r>
        <w:rPr>
          <w:spacing w:val="-80"/>
        </w:rPr>
        <w:t> </w:t>
      </w:r>
      <w:r>
        <w:rPr>
          <w:spacing w:val="-80"/>
        </w:rPr>
      </w:r>
      <w:r>
        <w:rPr>
          <w:spacing w:val="-1"/>
        </w:rPr>
        <w:t>金融资产的公允价值变动计入其他综合收益；持有期间按实际利率法计算的利息，计入投资收益；可供出</w:t>
      </w:r>
      <w:r>
        <w:rPr>
          <w:spacing w:val="-83"/>
        </w:rPr>
        <w:t> </w:t>
      </w:r>
      <w:r>
        <w:rPr>
          <w:spacing w:val="-83"/>
        </w:rPr>
      </w:r>
      <w:r>
        <w:rPr>
          <w:spacing w:val="-1"/>
        </w:rPr>
        <w:t>售权益工具投资的现金股利，于被投资单位宣告发放股利时计入投资收益；处置时，将实际收到的金额与</w:t>
      </w:r>
      <w:r>
        <w:rPr>
          <w:spacing w:val="-83"/>
        </w:rPr>
        <w:t> </w:t>
      </w:r>
      <w:r>
        <w:rPr>
          <w:spacing w:val="-83"/>
        </w:rPr>
      </w:r>
      <w:r>
        <w:rPr/>
        <w:t>账面价值扣除原直接计入其他综合收益的公允价值变动累计额之后的差额确认为投资收益。</w:t>
      </w:r>
    </w:p>
    <w:p>
      <w:pPr>
        <w:spacing w:line="256" w:lineRule="auto" w:before="7"/>
        <w:ind w:left="489" w:right="0" w:firstLine="8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本公司金融资产转移的确认依据：金融资产所有权上几乎所有的风险和报酬转移时，或既没有转移也</w:t>
      </w:r>
    </w:p>
    <w:p>
      <w:pPr>
        <w:pStyle w:val="Heading4"/>
        <w:spacing w:line="273" w:lineRule="auto" w:before="22"/>
        <w:ind w:right="1130"/>
        <w:jc w:val="both"/>
      </w:pPr>
      <w:r>
        <w:rPr>
          <w:spacing w:val="-1"/>
        </w:rPr>
        <w:t>没有保留金融资产所有权上几乎所有的风险和报酬，但放弃了对该金融资产控制的，应当终止确认该项金</w:t>
      </w:r>
      <w:r>
        <w:rPr>
          <w:spacing w:val="-80"/>
        </w:rPr>
        <w:t> </w:t>
      </w:r>
      <w:r>
        <w:rPr>
          <w:spacing w:val="-80"/>
        </w:rPr>
      </w:r>
      <w:r>
        <w:rPr/>
        <w:t>融资产。</w:t>
      </w:r>
    </w:p>
    <w:p>
      <w:pPr>
        <w:pStyle w:val="Heading4"/>
        <w:spacing w:line="273" w:lineRule="auto"/>
        <w:ind w:right="1138" w:firstLine="336"/>
        <w:jc w:val="both"/>
      </w:pPr>
      <w:r>
        <w:rPr/>
        <w:t>本公司金融资产转移的计量：金融资产满足终止确认条件，应进行金融资产转移的计量，即将所转移 </w:t>
      </w:r>
      <w:r>
        <w:rPr>
          <w:spacing w:val="3"/>
        </w:rPr>
        <w:t>金融资产的账面价值与因转移而收到的对价和原直接计入其他综合收益的公允价值变动累计额之和的差</w:t>
      </w:r>
      <w:r>
        <w:rPr>
          <w:spacing w:val="-82"/>
        </w:rPr>
        <w:t> </w:t>
      </w:r>
      <w:r>
        <w:rPr>
          <w:spacing w:val="-82"/>
        </w:rPr>
      </w:r>
      <w:r>
        <w:rPr/>
        <w:t>额部分，计入当期损益。</w:t>
      </w:r>
    </w:p>
    <w:p>
      <w:pPr>
        <w:pStyle w:val="Heading4"/>
        <w:spacing w:line="273" w:lineRule="auto"/>
        <w:ind w:right="1131" w:firstLine="336"/>
        <w:jc w:val="both"/>
      </w:pPr>
      <w:r>
        <w:rPr/>
        <w:t>金融资产部分转移满足终止确认条件的，将所转移金融资产整体的账面价值，在终止确认部分和未终 </w:t>
      </w:r>
      <w:r>
        <w:rPr>
          <w:spacing w:val="-1"/>
        </w:rPr>
        <w:t>止确认部分之间，按照各自的相对公允价值进行分摊，并将终止确认部分的账面价值与终止确认部分的收</w:t>
      </w:r>
      <w:r>
        <w:rPr>
          <w:spacing w:val="-81"/>
        </w:rPr>
        <w:t> </w:t>
      </w:r>
      <w:r>
        <w:rPr>
          <w:spacing w:val="-81"/>
        </w:rPr>
      </w:r>
      <w:r>
        <w:rPr/>
        <w:t>到对价和原直接计入其他综合收益的公允价值变动累计额之和的差额部分，计入当期损益。</w:t>
      </w:r>
    </w:p>
    <w:p>
      <w:pPr>
        <w:spacing w:line="256" w:lineRule="auto" w:before="7"/>
        <w:ind w:left="489" w:right="0" w:firstLine="8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z w:val="21"/>
          <w:szCs w:val="21"/>
        </w:rPr>
        <w:t>本公司金融负债终止确认条件：金融负债的现时义务全部或部分已经解除的，则应终止确认该金融负</w:t>
      </w:r>
    </w:p>
    <w:p>
      <w:pPr>
        <w:pStyle w:val="Heading4"/>
        <w:spacing w:line="240" w:lineRule="auto" w:before="22"/>
        <w:ind w:right="0"/>
        <w:jc w:val="both"/>
      </w:pPr>
      <w:r>
        <w:rPr/>
        <w:t>债或其一部分。</w:t>
      </w:r>
    </w:p>
    <w:p>
      <w:pPr>
        <w:spacing w:line="256" w:lineRule="auto" w:before="37"/>
        <w:ind w:left="489" w:right="0" w:firstLine="8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）金融资产和金融负债的公允价值确认方法</w:t>
      </w:r>
      <w:r>
        <w:rPr>
          <w:rFonts w:ascii="宋体" w:hAnsi="宋体" w:cs="宋体" w:eastAsia="宋体" w:hint="default"/>
          <w:b/>
          <w:bCs/>
          <w:w w:val="99"/>
          <w:sz w:val="21"/>
          <w:szCs w:val="21"/>
        </w:rPr>
        <w:t> </w:t>
      </w:r>
      <w:r>
        <w:rPr>
          <w:rFonts w:ascii="宋体" w:hAnsi="宋体" w:cs="宋体" w:eastAsia="宋体" w:hint="default"/>
          <w:sz w:val="21"/>
          <w:szCs w:val="21"/>
        </w:rPr>
        <w:t>本公司对金融资产和金融负债的公允价值的确认方法：如存在活跃市场的金融工具，以活跃市场中的</w:t>
      </w:r>
    </w:p>
    <w:p>
      <w:pPr>
        <w:pStyle w:val="Heading4"/>
        <w:spacing w:line="273" w:lineRule="auto" w:before="22"/>
        <w:ind w:left="489" w:right="0" w:hanging="336"/>
        <w:jc w:val="left"/>
      </w:pPr>
      <w:r>
        <w:rPr/>
        <w:t>报价确定其公允价值；如不存在活跃市场的金融工具，采用估值技术确定其公允价值。 估值技术包括参考熟悉情况并自愿交易的各方最近进行的市场交易中使用的价格、参照实质上相同的</w:t>
      </w:r>
    </w:p>
    <w:p>
      <w:pPr>
        <w:pStyle w:val="Heading4"/>
        <w:spacing w:line="273" w:lineRule="auto"/>
        <w:ind w:right="1132"/>
        <w:jc w:val="both"/>
      </w:pPr>
      <w:r>
        <w:rPr>
          <w:spacing w:val="-1"/>
        </w:rPr>
        <w:t>其他金融资产的当前公允价值、现金流量折现法等。采用估值技术时，优先最大程度使用市场参数，减少</w:t>
      </w:r>
      <w:r>
        <w:rPr>
          <w:spacing w:val="-85"/>
        </w:rPr>
        <w:t> </w:t>
      </w:r>
      <w:r>
        <w:rPr>
          <w:spacing w:val="-85"/>
        </w:rPr>
      </w:r>
      <w:r>
        <w:rPr/>
        <w:t>使用与本公司及其子公司特定相关的参数。</w:t>
      </w:r>
    </w:p>
    <w:p>
      <w:pPr>
        <w:pStyle w:val="Heading4"/>
        <w:spacing w:line="256" w:lineRule="auto"/>
        <w:ind w:left="490" w:right="0" w:firstLine="86"/>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）金融资产减值</w:t>
      </w:r>
      <w:r>
        <w:rPr>
          <w:rFonts w:ascii="宋体" w:hAnsi="宋体" w:cs="宋体" w:eastAsia="宋体" w:hint="default"/>
          <w:b/>
          <w:bCs/>
          <w:w w:val="99"/>
        </w:rPr>
        <w:t> </w:t>
      </w:r>
      <w:r>
        <w:rPr/>
        <w:t>本公司在资产负债日对除以公允价值计量且变动计入当期损益的金融资产以外的金融资产的账面价值</w:t>
      </w:r>
    </w:p>
    <w:p>
      <w:pPr>
        <w:pStyle w:val="Heading4"/>
        <w:spacing w:line="273" w:lineRule="auto" w:before="22"/>
        <w:ind w:left="154" w:right="1131"/>
        <w:jc w:val="both"/>
      </w:pPr>
      <w:r>
        <w:rPr>
          <w:spacing w:val="-1"/>
        </w:rPr>
        <w:t>进行减值检查，当客观证据表明金融资产发生减值，则应当对该金融资产进行减值测试，以根据测试结果</w:t>
      </w:r>
      <w:r>
        <w:rPr>
          <w:spacing w:val="-83"/>
        </w:rPr>
        <w:t> </w:t>
      </w:r>
      <w:r>
        <w:rPr>
          <w:spacing w:val="-83"/>
        </w:rPr>
      </w:r>
      <w:r>
        <w:rPr/>
        <w:t>计提减值准备。</w:t>
      </w:r>
    </w:p>
    <w:p>
      <w:pPr>
        <w:pStyle w:val="Heading4"/>
        <w:spacing w:line="256" w:lineRule="auto"/>
        <w:ind w:left="489" w:right="0"/>
        <w:jc w:val="left"/>
      </w:pPr>
      <w:r>
        <w:rPr/>
        <w:t>本公司对应收款项减值详见</w:t>
      </w:r>
      <w:r>
        <w:rPr>
          <w:rFonts w:ascii="Times New Roman" w:hAnsi="Times New Roman" w:cs="Times New Roman" w:eastAsia="Times New Roman" w:hint="default"/>
        </w:rPr>
        <w:t>“</w:t>
      </w:r>
      <w:r>
        <w:rPr/>
        <w:t>本附注四之十一应收款项</w:t>
      </w:r>
      <w:r>
        <w:rPr>
          <w:rFonts w:ascii="Times New Roman" w:hAnsi="Times New Roman" w:cs="Times New Roman" w:eastAsia="Times New Roman" w:hint="default"/>
        </w:rPr>
        <w:t>”</w:t>
      </w:r>
      <w:r>
        <w:rPr/>
        <w:t>部分。 本公司持有至到期投资发生减值时，将其账面价值减记至预计未来现金流量现值，减记金额确认为减</w:t>
      </w:r>
    </w:p>
    <w:p>
      <w:pPr>
        <w:pStyle w:val="Heading4"/>
        <w:spacing w:line="273" w:lineRule="auto" w:before="22"/>
        <w:ind w:right="1130"/>
        <w:jc w:val="both"/>
      </w:pPr>
      <w:r>
        <w:rPr>
          <w:spacing w:val="-1"/>
        </w:rPr>
        <w:t>值损失，计入当期损益。可供出售金融资产发生减值时，将原直接计入其他综合收益的因公允价值下降形</w:t>
      </w:r>
      <w:r>
        <w:rPr>
          <w:spacing w:val="-82"/>
        </w:rPr>
        <w:t> </w:t>
      </w:r>
      <w:r>
        <w:rPr>
          <w:spacing w:val="-82"/>
        </w:rPr>
      </w:r>
      <w:r>
        <w:rPr>
          <w:spacing w:val="-1"/>
        </w:rPr>
        <w:t>成的累计损失予以转出并计入当期损益，该转出的累计损失为该资产初始取得成本扣除已收回本金和已摊</w:t>
      </w:r>
      <w:r>
        <w:rPr>
          <w:spacing w:val="-81"/>
        </w:rPr>
        <w:t> </w:t>
      </w:r>
      <w:r>
        <w:rPr>
          <w:spacing w:val="-81"/>
        </w:rPr>
      </w:r>
      <w:r>
        <w:rPr/>
        <w:t>销金额、当前公允价值和原已计入损益的减值损失后的余额。</w:t>
      </w:r>
    </w:p>
    <w:p>
      <w:pPr>
        <w:pStyle w:val="Heading4"/>
        <w:spacing w:line="240" w:lineRule="auto"/>
        <w:ind w:left="489" w:right="0"/>
        <w:jc w:val="left"/>
      </w:pPr>
      <w:r>
        <w:rPr/>
        <w:t>本公司各类可供出售金融资产减值的认定标准包括下列各项：</w:t>
      </w:r>
    </w:p>
    <w:p>
      <w:pPr>
        <w:pStyle w:val="Heading4"/>
        <w:spacing w:line="240" w:lineRule="auto" w:before="37"/>
        <w:ind w:left="574" w:right="0"/>
        <w:jc w:val="left"/>
      </w:pPr>
      <w:r>
        <w:rPr/>
        <w:t>①发行方或债务人发生严重财务困难；</w:t>
      </w:r>
    </w:p>
    <w:p>
      <w:pPr>
        <w:pStyle w:val="Heading4"/>
        <w:spacing w:line="240" w:lineRule="auto" w:before="37"/>
        <w:ind w:left="574" w:right="0"/>
        <w:jc w:val="left"/>
      </w:pPr>
      <w:r>
        <w:rPr/>
        <w:t>②债务人违反了合同条款，如偿付利息或本金发生违约或逾期等；</w:t>
      </w:r>
    </w:p>
    <w:p>
      <w:pPr>
        <w:pStyle w:val="Heading4"/>
        <w:spacing w:line="240" w:lineRule="auto" w:before="37"/>
        <w:ind w:left="574" w:right="0"/>
        <w:jc w:val="left"/>
      </w:pPr>
      <w:r>
        <w:rPr/>
        <w:t>③债权人出于经济或法律等方面因素的考虑，对发生财务困难的债务人作出让步；</w:t>
      </w:r>
    </w:p>
    <w:p>
      <w:pPr>
        <w:pStyle w:val="Heading4"/>
        <w:spacing w:line="240" w:lineRule="auto" w:before="37"/>
        <w:ind w:left="574" w:right="0"/>
        <w:jc w:val="left"/>
      </w:pPr>
      <w:r>
        <w:rPr/>
        <w:t>④债务人很可能倒闭或进行其他财务重组；</w:t>
      </w:r>
    </w:p>
    <w:p>
      <w:pPr>
        <w:pStyle w:val="Heading4"/>
        <w:spacing w:line="240" w:lineRule="auto" w:before="37"/>
        <w:ind w:left="574" w:right="0"/>
        <w:jc w:val="left"/>
      </w:pPr>
      <w:r>
        <w:rPr/>
        <w:t>⑤因发行方发生重大财务困难，该金融资产无法在活跃市场继续交易；</w:t>
      </w:r>
    </w:p>
    <w:p>
      <w:pPr>
        <w:pStyle w:val="Heading4"/>
        <w:spacing w:line="273" w:lineRule="auto" w:before="37"/>
        <w:ind w:left="154" w:right="1131" w:firstLine="420"/>
        <w:jc w:val="both"/>
      </w:pPr>
      <w:r>
        <w:rPr>
          <w:spacing w:val="-1"/>
        </w:rPr>
        <w:t>⑥无法辨认一组金融资产中的某项资产的现金流量是否已经减少，但根据公开的数据对其进行总体评</w:t>
      </w:r>
      <w:r>
        <w:rPr/>
        <w:t> </w:t>
      </w:r>
      <w:r>
        <w:rPr>
          <w:spacing w:val="-1"/>
        </w:rPr>
        <w:t>价后发现，该组金融资产自初始确认以来的预计未来现金流量确已减少且可计量，如该组金融资产的债务</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0"/>
        <w:jc w:val="left"/>
      </w:pP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Heading4"/>
        <w:spacing w:line="273" w:lineRule="auto"/>
        <w:ind w:left="154" w:right="0" w:firstLine="420"/>
        <w:jc w:val="left"/>
      </w:pPr>
      <w:r>
        <w:rPr>
          <w:spacing w:val="-1"/>
        </w:rPr>
        <w:t>⑦权益工具发行方经营所处的技术、市场、经济或法律环境等发生重大不利变化，使权益工具投资人</w:t>
      </w:r>
      <w:r>
        <w:rPr/>
        <w:t> 可能无法收回投资成本；</w:t>
      </w:r>
    </w:p>
    <w:p>
      <w:pPr>
        <w:pStyle w:val="Heading4"/>
        <w:spacing w:line="240" w:lineRule="auto" w:before="8"/>
        <w:ind w:left="574" w:right="0"/>
        <w:jc w:val="left"/>
      </w:pPr>
      <w:r>
        <w:rPr/>
        <w:t>⑧权益工具投资的公允价值发生严重或非暂时性下跌；</w:t>
      </w:r>
    </w:p>
    <w:p>
      <w:pPr>
        <w:pStyle w:val="Heading4"/>
        <w:spacing w:line="240" w:lineRule="auto" w:before="37"/>
        <w:ind w:left="574" w:right="0"/>
        <w:jc w:val="left"/>
      </w:pPr>
      <w:r>
        <w:rPr/>
        <w:t>⑨其他表明金融资产发生减值的客观证据。</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1、应收款项" w:id="133"/>
      <w:bookmarkEnd w:id="13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34"/>
      <w:bookmarkEnd w:id="13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应收款项账面余额在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万元以上的款项</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根据其账面价值与预计未来现金流量现值之间差额确认</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按信用风险特征组合计提坏账准备的应收款项" w:id="135"/>
      <w:bookmarkEnd w:id="13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：特别关联方组合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单项金额上重大但单独计提坏账准备的应收款项" w:id="136"/>
      <w:bookmarkEnd w:id="13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12、存货" w:id="137"/>
      <w:bookmarkEnd w:id="13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left="490" w:right="0" w:firstLine="190"/>
        <w:jc w:val="left"/>
      </w:pP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t>存货是指本公司在日常活动中持有以备出售的产成品或商品、处在生产过程中的在产品、在生产过程</w:t>
      </w:r>
    </w:p>
    <w:p>
      <w:pPr>
        <w:pStyle w:val="Heading4"/>
        <w:spacing w:line="240" w:lineRule="auto" w:before="22"/>
        <w:ind w:left="154" w:right="0"/>
        <w:jc w:val="both"/>
      </w:pPr>
      <w:r>
        <w:rPr/>
        <w:t>或提供劳务过程中耗用的材料和物料等。主要包括原材料、低值易耗品、包装物、在产品、库存商品等。</w:t>
      </w:r>
    </w:p>
    <w:p>
      <w:pPr>
        <w:spacing w:line="264" w:lineRule="auto" w:before="37"/>
        <w:ind w:left="574" w:right="5292" w:firstLine="10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存货发出时，采取先进先出法确定其发出的实际成本。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、存货可变现净值的确定依据和跌价准备的计提方法</w:t>
      </w:r>
      <w:r>
        <w:rPr>
          <w:rFonts w:ascii="宋体" w:hAnsi="宋体" w:cs="宋体" w:eastAsia="宋体" w:hint="default"/>
          <w:sz w:val="21"/>
          <w:szCs w:val="21"/>
        </w:rPr>
      </w:r>
    </w:p>
    <w:p>
      <w:pPr>
        <w:pStyle w:val="Heading4"/>
        <w:spacing w:line="273" w:lineRule="auto" w:before="0"/>
        <w:ind w:right="1131" w:firstLine="420"/>
        <w:jc w:val="both"/>
      </w:pPr>
      <w:r>
        <w:rPr>
          <w:spacing w:val="-1"/>
        </w:rPr>
        <w:t>可变现净值是指在日常活动中，存货的估计售价减去至完工时估计将要发生的成本、估计的销售费用</w:t>
      </w:r>
      <w:r>
        <w:rPr/>
        <w:t> </w:t>
      </w: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Heading4"/>
        <w:spacing w:line="273" w:lineRule="auto"/>
        <w:ind w:right="1131" w:firstLine="420"/>
        <w:jc w:val="both"/>
      </w:pPr>
      <w:r>
        <w:rPr>
          <w:spacing w:val="-1"/>
        </w:rPr>
        <w:t>在资产负债表日，存货按照成本与可变现净值孰低计量。当其可变现净值低于成本时，提取存货跌价</w:t>
      </w:r>
      <w:r>
        <w:rPr/>
        <w:t> 准备。存货跌价准备按单个存货项目的成本高于其可变现净值的差额提取。</w:t>
      </w:r>
    </w:p>
    <w:p>
      <w:pPr>
        <w:pStyle w:val="Heading4"/>
        <w:spacing w:line="273" w:lineRule="auto"/>
        <w:ind w:right="1131" w:firstLine="420"/>
        <w:jc w:val="both"/>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spacing w:line="264" w:lineRule="auto" w:before="7"/>
        <w:ind w:left="573" w:right="6763" w:firstLine="10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本公司的存货盘存制度为永续盘存制。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Heading4"/>
        <w:spacing w:line="273" w:lineRule="exact" w:before="0"/>
        <w:ind w:right="0"/>
        <w:jc w:val="both"/>
      </w:pPr>
      <w:r>
        <w:rPr/>
        <w:t>低值易耗品采用五五摊销法摊销；包装物采用一次转销法摊销。</w:t>
      </w:r>
    </w:p>
    <w:p>
      <w:pPr>
        <w:spacing w:line="240" w:lineRule="auto" w:before="12"/>
        <w:rPr>
          <w:rFonts w:ascii="宋体" w:hAnsi="宋体" w:cs="宋体" w:eastAsia="宋体" w:hint="default"/>
          <w:sz w:val="25"/>
          <w:szCs w:val="25"/>
        </w:rPr>
      </w:pPr>
    </w:p>
    <w:p>
      <w:pPr>
        <w:pStyle w:val="Heading3"/>
        <w:spacing w:line="240" w:lineRule="auto"/>
        <w:ind w:left="153" w:right="0"/>
        <w:jc w:val="both"/>
        <w:rPr>
          <w:b w:val="0"/>
          <w:bCs w:val="0"/>
        </w:rPr>
      </w:pPr>
      <w:bookmarkStart w:name="13、划分为持有待售资产" w:id="138"/>
      <w:bookmarkEnd w:id="13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4、长期股权投资" w:id="139"/>
      <w:bookmarkEnd w:id="13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76" w:right="0"/>
        <w:jc w:val="left"/>
        <w:rPr>
          <w:b w:val="0"/>
          <w:bCs w:val="0"/>
        </w:rPr>
      </w:pPr>
      <w:r>
        <w:rPr>
          <w:rFonts w:ascii="Times New Roman" w:hAnsi="Times New Roman" w:cs="Times New Roman" w:eastAsia="Times New Roman" w:hint="default"/>
        </w:rPr>
        <w:t>1</w:t>
      </w:r>
      <w:r>
        <w:rPr/>
        <w:t>、初始投资成本确定</w:t>
      </w:r>
      <w:r>
        <w:rPr>
          <w:b w:val="0"/>
          <w:bCs w:val="0"/>
        </w:rPr>
      </w:r>
    </w:p>
    <w:p>
      <w:pPr>
        <w:pStyle w:val="Heading4"/>
        <w:spacing w:line="264" w:lineRule="auto" w:before="21"/>
        <w:ind w:left="154" w:right="1131" w:firstLine="315"/>
        <w:jc w:val="both"/>
      </w:pPr>
      <w:r>
        <w:rPr>
          <w:spacing w:val="-1"/>
        </w:rPr>
        <w:t>（</w:t>
      </w:r>
      <w:r>
        <w:rPr>
          <w:rFonts w:ascii="Times New Roman" w:hAnsi="Times New Roman" w:cs="Times New Roman" w:eastAsia="Times New Roman" w:hint="default"/>
          <w:spacing w:val="-1"/>
        </w:rPr>
        <w:t>1</w:t>
      </w:r>
      <w:r>
        <w:rPr>
          <w:spacing w:val="-1"/>
        </w:rPr>
        <w:t>）对于企业合并取得的长期股权投资，如为同一控制下的企业合并，应当按照取得被合并方所有者</w:t>
      </w:r>
      <w:r>
        <w:rPr/>
        <w:t> </w:t>
      </w:r>
      <w:r>
        <w:rPr>
          <w:spacing w:val="-1"/>
        </w:rPr>
        <w:t>权益在最终控制方合并财务报表中的账面价值的份额确认为初始成本；非同一控制下的企业合并，应当按</w:t>
      </w:r>
      <w:r>
        <w:rPr>
          <w:spacing w:val="-81"/>
        </w:rPr>
        <w:t> </w:t>
      </w:r>
      <w:r>
        <w:rPr>
          <w:spacing w:val="-81"/>
        </w:rPr>
      </w:r>
      <w:r>
        <w:rPr/>
        <w:t>购买日确定的合并成本确认为初始成本；</w:t>
      </w:r>
    </w:p>
    <w:p>
      <w:pPr>
        <w:pStyle w:val="Heading4"/>
        <w:spacing w:line="240" w:lineRule="auto" w:before="16"/>
        <w:ind w:left="469" w:right="0"/>
        <w:jc w:val="left"/>
      </w:pPr>
      <w:r>
        <w:rPr/>
        <w:t>（</w:t>
      </w:r>
      <w:r>
        <w:rPr>
          <w:rFonts w:ascii="Times New Roman" w:hAnsi="Times New Roman" w:cs="Times New Roman" w:eastAsia="Times New Roman" w:hint="default"/>
        </w:rPr>
        <w:t>2</w:t>
      </w:r>
      <w:r>
        <w:rPr/>
        <w:t>）以支付现金取得的长期股权投资，初始投资成本为实际支付的购买价款；</w:t>
      </w:r>
    </w:p>
    <w:p>
      <w:pPr>
        <w:pStyle w:val="Heading4"/>
        <w:spacing w:line="240" w:lineRule="auto" w:before="21"/>
        <w:ind w:left="469" w:right="0"/>
        <w:jc w:val="left"/>
      </w:pPr>
      <w:r>
        <w:rPr/>
        <w:t>（</w:t>
      </w:r>
      <w:r>
        <w:rPr>
          <w:rFonts w:ascii="Times New Roman" w:hAnsi="Times New Roman" w:cs="Times New Roman" w:eastAsia="Times New Roman" w:hint="default"/>
        </w:rPr>
        <w:t>3</w:t>
      </w:r>
      <w:r>
        <w:rPr/>
        <w:t>）以发行权益性证券取得的长期股权投资，初始投资成本为发行权益性证券的公允价值；</w:t>
      </w:r>
    </w:p>
    <w:p>
      <w:pPr>
        <w:pStyle w:val="Heading4"/>
        <w:spacing w:line="256" w:lineRule="auto" w:before="21"/>
        <w:ind w:left="574" w:right="0" w:hanging="105"/>
        <w:jc w:val="left"/>
      </w:pPr>
      <w:r>
        <w:rPr/>
        <w:t>（</w:t>
      </w:r>
      <w:r>
        <w:rPr>
          <w:rFonts w:ascii="Times New Roman" w:hAnsi="Times New Roman" w:cs="Times New Roman" w:eastAsia="Times New Roman" w:hint="default"/>
        </w:rPr>
        <w:t>4</w:t>
      </w:r>
      <w:r>
        <w:rPr/>
        <w:t>）非货币性资产交换取得或债务重组取得的，初始投资成本根据准则相关规定确定。 </w:t>
      </w:r>
      <w:r>
        <w:rPr>
          <w:rFonts w:ascii="Times New Roman" w:hAnsi="Times New Roman" w:cs="Times New Roman" w:eastAsia="Times New Roman" w:hint="default"/>
          <w:b/>
          <w:bCs/>
        </w:rPr>
        <w:t>2</w:t>
      </w:r>
      <w:r>
        <w:rPr>
          <w:rFonts w:ascii="宋体" w:hAnsi="宋体" w:cs="宋体" w:eastAsia="宋体" w:hint="default"/>
          <w:b/>
          <w:bCs/>
        </w:rPr>
        <w:t>、后续计量及损益确认方法</w:t>
      </w:r>
      <w:r>
        <w:rPr>
          <w:rFonts w:ascii="宋体" w:hAnsi="宋体" w:cs="宋体" w:eastAsia="宋体" w:hint="default"/>
          <w:b/>
          <w:bCs/>
          <w:w w:val="99"/>
        </w:rPr>
        <w:t> </w:t>
      </w:r>
      <w:r>
        <w:rPr>
          <w:spacing w:val="-1"/>
        </w:rPr>
        <w:t>长期股权投资后续计量分别采用权益法或成本法。采用权益法核算的长期股权投资，按照应享有或应</w:t>
      </w:r>
    </w:p>
    <w:p>
      <w:pPr>
        <w:pStyle w:val="Heading4"/>
        <w:spacing w:line="271" w:lineRule="auto" w:before="22"/>
        <w:ind w:left="154" w:right="1130"/>
        <w:jc w:val="both"/>
      </w:pPr>
      <w:r>
        <w:rPr>
          <w:spacing w:val="-1"/>
        </w:rPr>
        <w:t>分担的被投资单位实现的净损益和其他综合收益的份额，分别确认投资收益和其他综合收益，并调整长期</w:t>
      </w:r>
      <w:r>
        <w:rPr>
          <w:spacing w:val="-81"/>
        </w:rPr>
        <w:t> </w:t>
      </w:r>
      <w:r>
        <w:rPr>
          <w:spacing w:val="-81"/>
        </w:rPr>
      </w:r>
      <w:r>
        <w:rPr>
          <w:spacing w:val="-1"/>
        </w:rPr>
        <w:t>股权投资。当宣告分派的利润或现金股利计算应分得的部分，相应减少长期股权投资的账面价值；对于被</w:t>
      </w:r>
      <w:r>
        <w:rPr>
          <w:spacing w:val="-82"/>
        </w:rPr>
        <w:t> </w:t>
      </w:r>
      <w:r>
        <w:rPr>
          <w:spacing w:val="-82"/>
        </w:rPr>
      </w:r>
      <w:r>
        <w:rPr>
          <w:spacing w:val="-1"/>
        </w:rPr>
        <w:t>投资单位除净损益、其他综合收益和利润分配以外所有者权益的其他变动，应当调整长期股权投资及所有</w:t>
      </w:r>
      <w:r>
        <w:rPr>
          <w:spacing w:val="-81"/>
        </w:rPr>
        <w:t> </w:t>
      </w:r>
      <w:r>
        <w:rPr>
          <w:spacing w:val="-81"/>
        </w:rPr>
      </w:r>
      <w:r>
        <w:rPr/>
        <w:t>者权益项目。</w:t>
      </w:r>
    </w:p>
    <w:p>
      <w:pPr>
        <w:pStyle w:val="Heading4"/>
        <w:spacing w:line="273" w:lineRule="auto" w:before="10"/>
        <w:ind w:left="154" w:right="1131" w:firstLine="420"/>
        <w:jc w:val="both"/>
      </w:pPr>
      <w:r>
        <w:rPr>
          <w:spacing w:val="-1"/>
        </w:rPr>
        <w:t>采用成本法核算的长期股权投资，除追加或收回投资外，账面价值一般不变。当宣告分派的利润或现</w:t>
      </w:r>
      <w:r>
        <w:rPr/>
        <w:t> 金股利计算应分得的部分，确认投资收益。</w:t>
      </w:r>
    </w:p>
    <w:p>
      <w:pPr>
        <w:pStyle w:val="Heading4"/>
        <w:spacing w:line="240" w:lineRule="auto"/>
        <w:ind w:left="574" w:right="0"/>
        <w:jc w:val="left"/>
      </w:pPr>
      <w:r>
        <w:rPr/>
        <w:t>长期股权投资具有共同控制、重大影响的采用权益法核算，具有控制的采用成本法核算。</w:t>
      </w:r>
    </w:p>
    <w:p>
      <w:pPr>
        <w:pStyle w:val="Heading3"/>
        <w:spacing w:line="240" w:lineRule="auto" w:before="37"/>
        <w:ind w:left="742" w:right="0"/>
        <w:jc w:val="left"/>
        <w:rPr>
          <w:b w:val="0"/>
          <w:bCs w:val="0"/>
        </w:rPr>
      </w:pPr>
      <w:r>
        <w:rPr>
          <w:rFonts w:ascii="Times New Roman" w:hAnsi="Times New Roman" w:cs="Times New Roman" w:eastAsia="Times New Roman" w:hint="default"/>
        </w:rPr>
        <w:t>3</w:t>
      </w:r>
      <w:r>
        <w:rPr/>
        <w:t>、确定对被投资单位具有共同控制、重大影响的判断标准</w:t>
      </w:r>
      <w:r>
        <w:rPr>
          <w:b w:val="0"/>
          <w:bCs w:val="0"/>
        </w:rPr>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b/>
          <w:bCs/>
          <w:sz w:val="24"/>
          <w:szCs w:val="24"/>
        </w:rPr>
      </w:pPr>
    </w:p>
    <w:p>
      <w:pPr>
        <w:pStyle w:val="Heading4"/>
        <w:spacing w:line="256" w:lineRule="auto" w:before="35"/>
        <w:ind w:right="0" w:firstLine="420"/>
        <w:jc w:val="left"/>
      </w:pPr>
      <w:r>
        <w:rPr/>
        <w:t>（</w:t>
      </w:r>
      <w:r>
        <w:rPr>
          <w:rFonts w:ascii="Times New Roman" w:hAnsi="Times New Roman" w:cs="Times New Roman" w:eastAsia="Times New Roman" w:hint="default"/>
        </w:rPr>
        <w:t>1</w:t>
      </w:r>
      <w:r>
        <w:rPr/>
        <w:t>）确定对被投资单位具有共同控制的判断标准：两个或多个合营方按照相关约定对某项安排所共 有的控制，并且该安排的相关活动必须经过分享控制权的参与方一致同意后才能决策。</w:t>
      </w:r>
    </w:p>
    <w:p>
      <w:pPr>
        <w:pStyle w:val="Heading4"/>
        <w:spacing w:line="256" w:lineRule="auto" w:before="22"/>
        <w:ind w:right="0" w:firstLine="420"/>
        <w:jc w:val="left"/>
      </w:pPr>
      <w:r>
        <w:rPr>
          <w:spacing w:val="-4"/>
        </w:rPr>
        <w:t>（</w:t>
      </w:r>
      <w:r>
        <w:rPr>
          <w:rFonts w:ascii="Times New Roman" w:hAnsi="Times New Roman" w:cs="Times New Roman" w:eastAsia="Times New Roman" w:hint="default"/>
          <w:spacing w:val="-4"/>
        </w:rPr>
        <w:t>2</w:t>
      </w:r>
      <w:r>
        <w:rPr>
          <w:spacing w:val="-4"/>
        </w:rPr>
        <w:t>）确定对被投资单位具有重大影响的判断标准：当持有被投资单位</w:t>
      </w:r>
      <w:r>
        <w:rPr>
          <w:rFonts w:ascii="Times New Roman" w:hAnsi="Times New Roman" w:cs="Times New Roman" w:eastAsia="Times New Roman" w:hint="default"/>
          <w:spacing w:val="-4"/>
        </w:rPr>
        <w:t>20%</w:t>
      </w:r>
      <w:r>
        <w:rPr>
          <w:spacing w:val="-4"/>
        </w:rPr>
        <w:t>以上至</w:t>
      </w:r>
      <w:r>
        <w:rPr>
          <w:rFonts w:ascii="Times New Roman" w:hAnsi="Times New Roman" w:cs="Times New Roman" w:eastAsia="Times New Roman" w:hint="default"/>
          <w:spacing w:val="-4"/>
        </w:rPr>
        <w:t>50%</w:t>
      </w:r>
      <w:r>
        <w:rPr>
          <w:spacing w:val="-4"/>
        </w:rPr>
        <w:t>的表决权股份时，</w:t>
      </w:r>
      <w:r>
        <w:rPr/>
        <w:t> 具有重大影响。或虽不足</w:t>
      </w:r>
      <w:r>
        <w:rPr>
          <w:rFonts w:ascii="Times New Roman" w:hAnsi="Times New Roman" w:cs="Times New Roman" w:eastAsia="Times New Roman" w:hint="default"/>
        </w:rPr>
        <w:t>20%</w:t>
      </w:r>
      <w:r>
        <w:rPr/>
        <w:t>，但符合下列条件之一时，具有重大影响：</w:t>
      </w:r>
    </w:p>
    <w:p>
      <w:pPr>
        <w:pStyle w:val="Heading4"/>
        <w:spacing w:line="240" w:lineRule="auto" w:before="5"/>
        <w:ind w:left="573" w:right="0"/>
        <w:jc w:val="left"/>
      </w:pPr>
      <w:r>
        <w:rPr/>
        <w:t>①</w:t>
      </w:r>
      <w:r>
        <w:rPr>
          <w:rFonts w:ascii="Times New Roman" w:hAnsi="Times New Roman" w:cs="Times New Roman" w:eastAsia="Times New Roman" w:hint="default"/>
        </w:rPr>
        <w:t>.</w:t>
      </w:r>
      <w:r>
        <w:rPr/>
        <w:t>在被投资单位的董事会或类似的权力机构中派有代表；</w:t>
      </w:r>
    </w:p>
    <w:p>
      <w:pPr>
        <w:pStyle w:val="Heading4"/>
        <w:spacing w:line="240" w:lineRule="auto" w:before="21"/>
        <w:ind w:left="573" w:right="0"/>
        <w:jc w:val="left"/>
      </w:pPr>
      <w:r>
        <w:rPr/>
        <w:t>②</w:t>
      </w:r>
      <w:r>
        <w:rPr>
          <w:rFonts w:ascii="Times New Roman" w:hAnsi="Times New Roman" w:cs="Times New Roman" w:eastAsia="Times New Roman" w:hint="default"/>
        </w:rPr>
        <w:t>.</w:t>
      </w:r>
      <w:r>
        <w:rPr/>
        <w:t>参与被投资单位的政策制定过程；</w:t>
      </w:r>
    </w:p>
    <w:p>
      <w:pPr>
        <w:pStyle w:val="Heading4"/>
        <w:spacing w:line="240" w:lineRule="auto" w:before="21"/>
        <w:ind w:left="573" w:right="0"/>
        <w:jc w:val="left"/>
      </w:pPr>
      <w:r>
        <w:rPr/>
        <w:t>③</w:t>
      </w:r>
      <w:r>
        <w:rPr>
          <w:rFonts w:ascii="Times New Roman" w:hAnsi="Times New Roman" w:cs="Times New Roman" w:eastAsia="Times New Roman" w:hint="default"/>
        </w:rPr>
        <w:t>.</w:t>
      </w:r>
      <w:r>
        <w:rPr/>
        <w:t>向被投资单位派出管理人员；</w:t>
      </w:r>
    </w:p>
    <w:p>
      <w:pPr>
        <w:pStyle w:val="Heading4"/>
        <w:spacing w:line="240" w:lineRule="auto" w:before="21"/>
        <w:ind w:left="574" w:right="0"/>
        <w:jc w:val="left"/>
      </w:pPr>
      <w:r>
        <w:rPr/>
        <w:t>④</w:t>
      </w:r>
      <w:r>
        <w:rPr>
          <w:rFonts w:ascii="Times New Roman" w:hAnsi="Times New Roman" w:cs="Times New Roman" w:eastAsia="Times New Roman" w:hint="default"/>
        </w:rPr>
        <w:t>.</w:t>
      </w:r>
      <w:r>
        <w:rPr/>
        <w:t>被投资单位依赖投资公司的技术或技术资料；</w:t>
      </w:r>
    </w:p>
    <w:p>
      <w:pPr>
        <w:pStyle w:val="Heading4"/>
        <w:spacing w:line="240" w:lineRule="auto" w:before="21"/>
        <w:ind w:left="573" w:right="0"/>
        <w:jc w:val="left"/>
      </w:pPr>
      <w:r>
        <w:rPr/>
        <w:t>⑤</w:t>
      </w:r>
      <w:r>
        <w:rPr>
          <w:rFonts w:ascii="Times New Roman" w:hAnsi="Times New Roman" w:cs="Times New Roman" w:eastAsia="Times New Roman" w:hint="default"/>
        </w:rPr>
        <w:t>.</w:t>
      </w:r>
      <w:r>
        <w:rPr/>
        <w:t>其他能足以证明对被投资单位具有重大影响的情形。</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bookmarkStart w:name="15、投资性房地产" w:id="140"/>
      <w:bookmarkEnd w:id="14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bookmarkStart w:name="16、固定资产" w:id="141"/>
      <w:bookmarkEnd w:id="14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42"/>
      <w:bookmarkEnd w:id="14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0"/>
        <w:jc w:val="left"/>
      </w:pPr>
      <w:r>
        <w:rPr>
          <w:spacing w:val="-2"/>
        </w:rPr>
        <w:t>固定资产指为生产商品、提供劳务、出租或经营管理而持有的，使用寿命超过一个会计年度的有形资产。同时满足以下条件</w:t>
      </w:r>
      <w:r>
        <w:rPr>
          <w:spacing w:val="-66"/>
        </w:rPr>
        <w:t> </w:t>
      </w:r>
      <w:r>
        <w:rPr>
          <w:spacing w:val="-66"/>
        </w:rPr>
      </w:r>
      <w:r>
        <w:rPr/>
        <w:t>时予以确认：①与该固定资产有关的经济利益很可能流入企业；②该固定资产的成本能够可靠地计量。</w:t>
      </w:r>
    </w:p>
    <w:p>
      <w:pPr>
        <w:spacing w:line="240" w:lineRule="auto" w:before="3"/>
        <w:rPr>
          <w:rFonts w:ascii="宋体" w:hAnsi="宋体" w:cs="宋体" w:eastAsia="宋体" w:hint="default"/>
          <w:sz w:val="22"/>
          <w:szCs w:val="22"/>
        </w:rPr>
      </w:pPr>
    </w:p>
    <w:p>
      <w:pPr>
        <w:pStyle w:val="Heading3"/>
        <w:spacing w:line="240" w:lineRule="auto"/>
        <w:ind w:left="153" w:right="0"/>
        <w:jc w:val="left"/>
        <w:rPr>
          <w:b w:val="0"/>
          <w:bCs w:val="0"/>
        </w:rPr>
      </w:pPr>
      <w:bookmarkStart w:name="（2）折旧方法" w:id="143"/>
      <w:bookmarkEnd w:id="14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20.00-12.50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both"/>
        <w:rPr>
          <w:b w:val="0"/>
          <w:bCs w:val="0"/>
        </w:rPr>
      </w:pPr>
      <w:bookmarkStart w:name="（3）融资租入固定资产的认定依据、计价和折旧方法" w:id="144"/>
      <w:bookmarkEnd w:id="14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jc w:val="both"/>
      </w:pPr>
      <w:r>
        <w:rPr>
          <w:spacing w:val="-2"/>
        </w:rPr>
        <w:t>融资租入固定资产的认定依据：实质上转移了与资产所有权有关的全部风险和报酬的租赁。具体认定依据为符合下列一项或</w:t>
      </w:r>
      <w:r>
        <w:rPr>
          <w:spacing w:val="-64"/>
        </w:rPr>
        <w:t> </w:t>
      </w:r>
      <w:r>
        <w:rPr>
          <w:spacing w:val="-64"/>
        </w:rPr>
      </w:r>
      <w:r>
        <w:rPr>
          <w:spacing w:val="-2"/>
        </w:rPr>
        <w:t>数项条件的：①在租赁期届满时，租赁资产的所有权转移给承租人；②承租人有购买租赁资产的选择权，所订立的购买价款</w:t>
      </w:r>
      <w:r>
        <w:rPr>
          <w:spacing w:val="-66"/>
        </w:rPr>
        <w:t> </w:t>
      </w:r>
      <w:r>
        <w:rPr>
          <w:spacing w:val="-66"/>
        </w:rPr>
      </w:r>
      <w:r>
        <w:rPr>
          <w:spacing w:val="-2"/>
        </w:rPr>
        <w:t>预计将远低于行使选择权时租赁资产的公允价值，因而在租赁开始日就可以合理确定承租人会行使这种选择权；③即使资产</w:t>
      </w:r>
      <w:r>
        <w:rPr>
          <w:spacing w:val="-63"/>
        </w:rPr>
        <w:t> </w:t>
      </w:r>
      <w:r>
        <w:rPr>
          <w:spacing w:val="-63"/>
        </w:rPr>
      </w:r>
      <w:r>
        <w:rPr>
          <w:spacing w:val="-2"/>
        </w:rPr>
        <w:t>的所有权不转移，但租赁期占租赁资产使用寿命的大部分；④承租人在租赁开始日的最低租赁付款额现值，几乎相当于租赁</w:t>
      </w:r>
      <w:r>
        <w:rPr>
          <w:spacing w:val="-66"/>
        </w:rPr>
        <w:t> </w:t>
      </w:r>
      <w:r>
        <w:rPr>
          <w:spacing w:val="-66"/>
        </w:rPr>
      </w:r>
      <w:r>
        <w:rPr>
          <w:spacing w:val="-2"/>
        </w:rPr>
        <w:t>开始日租赁资产公允价值；⑤租赁资产性质特殊，如不作较大改造只有承租人才能使用。融资租入固定资产的计价方法：融</w:t>
      </w:r>
      <w:r>
        <w:rPr>
          <w:spacing w:val="-67"/>
        </w:rPr>
        <w:t> </w:t>
      </w:r>
      <w:r>
        <w:rPr>
          <w:spacing w:val="-67"/>
        </w:rPr>
      </w:r>
      <w:r>
        <w:rPr>
          <w:spacing w:val="-2"/>
        </w:rPr>
        <w:t>资租入固定资产初始计价为租赁期开始日租赁资产公允价值与最低租赁付款额现值较低者作为入账价值。融资租入固定资产</w:t>
      </w:r>
      <w:r>
        <w:rPr>
          <w:spacing w:val="-64"/>
        </w:rPr>
        <w:t> </w:t>
      </w:r>
      <w:r>
        <w:rPr>
          <w:spacing w:val="-64"/>
        </w:rPr>
      </w:r>
      <w:r>
        <w:rPr/>
        <w:t>后续计价采用与自有固定资产相一致的折旧政策计提折旧。</w:t>
      </w:r>
    </w:p>
    <w:p>
      <w:pPr>
        <w:spacing w:after="0" w:line="319"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bookmarkStart w:name="17、在建工程" w:id="145"/>
      <w:bookmarkEnd w:id="14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spacing w:line="266" w:lineRule="auto" w:before="0"/>
        <w:ind w:left="574" w:right="508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本公司在建工程分为自营方式建造和出包方式建造两种。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、在建工程结转固定资产的标准和时点</w:t>
      </w:r>
      <w:r>
        <w:rPr>
          <w:rFonts w:ascii="宋体" w:hAnsi="宋体" w:cs="宋体" w:eastAsia="宋体" w:hint="default"/>
          <w:sz w:val="21"/>
          <w:szCs w:val="21"/>
        </w:rPr>
      </w:r>
    </w:p>
    <w:p>
      <w:pPr>
        <w:pStyle w:val="Heading4"/>
        <w:spacing w:line="273" w:lineRule="auto" w:before="0"/>
        <w:ind w:left="154" w:right="1131" w:firstLine="420"/>
        <w:jc w:val="both"/>
      </w:pPr>
      <w:r>
        <w:rPr>
          <w:spacing w:val="-1"/>
        </w:rPr>
        <w:t>本公司在建工程在工程完工达到预定可使用状态时，结转固定资产。预定可使用状态的判断标准，应</w:t>
      </w:r>
      <w:r>
        <w:rPr/>
        <w:t> 符合下列情况之一：</w:t>
      </w:r>
    </w:p>
    <w:p>
      <w:pPr>
        <w:pStyle w:val="Heading4"/>
        <w:spacing w:line="240" w:lineRule="auto"/>
        <w:ind w:left="574" w:right="0"/>
        <w:jc w:val="left"/>
      </w:pPr>
      <w:r>
        <w:rPr/>
        <w:t>①固定资产的实体建造（包括安装）工作已经全部完成或实质上已经全部完成；</w:t>
      </w:r>
    </w:p>
    <w:p>
      <w:pPr>
        <w:pStyle w:val="Heading4"/>
        <w:spacing w:line="273" w:lineRule="auto" w:before="37"/>
        <w:ind w:left="154" w:right="1131" w:firstLine="420"/>
        <w:jc w:val="both"/>
      </w:pPr>
      <w:r>
        <w:rPr>
          <w:spacing w:val="-1"/>
        </w:rPr>
        <w:t>②已经试生产或试运行，并且其结果表明资产能够正常运行或能够稳定地生产出合格产品，或者试运</w:t>
      </w:r>
      <w:r>
        <w:rPr/>
        <w:t> 行结果表明其能够正常运转或营业；</w:t>
      </w:r>
    </w:p>
    <w:p>
      <w:pPr>
        <w:pStyle w:val="Heading4"/>
        <w:spacing w:line="240" w:lineRule="auto"/>
        <w:ind w:left="574" w:right="0"/>
        <w:jc w:val="left"/>
      </w:pPr>
      <w:r>
        <w:rPr/>
        <w:t>③该项建造的固定资产上的支出金额很少或者几乎不再发生；</w:t>
      </w:r>
    </w:p>
    <w:p>
      <w:pPr>
        <w:pStyle w:val="Heading4"/>
        <w:spacing w:line="240" w:lineRule="auto" w:before="37"/>
        <w:ind w:left="574" w:right="0"/>
        <w:jc w:val="left"/>
      </w:pPr>
      <w:r>
        <w:rPr/>
        <w:t>④所购建的固定资产已经达到设计或合同要求，或与设计或合同要求基本相符。</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18、借款费用" w:id="146"/>
      <w:bookmarkEnd w:id="14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spacing w:line="256" w:lineRule="auto" w:before="0"/>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本公司发生的借款费用，可直接归属于符合资本化条件的资产的购建或者生产的，予以资本化，计入</w:t>
      </w:r>
    </w:p>
    <w:p>
      <w:pPr>
        <w:pStyle w:val="Heading4"/>
        <w:spacing w:line="273" w:lineRule="auto" w:before="22"/>
        <w:ind w:right="1131"/>
        <w:jc w:val="both"/>
      </w:pPr>
      <w:r>
        <w:rPr>
          <w:spacing w:val="-1"/>
        </w:rPr>
        <w:t>相关资产成本；其他借款费用，在发生时根据其发生额确认为费用，计入当期损益。符合资本化条件的资</w:t>
      </w:r>
      <w:r>
        <w:rPr>
          <w:spacing w:val="-85"/>
        </w:rPr>
        <w:t> </w:t>
      </w:r>
      <w:r>
        <w:rPr>
          <w:spacing w:val="-85"/>
        </w:rPr>
      </w:r>
      <w:r>
        <w:rPr>
          <w:spacing w:val="-1"/>
        </w:rPr>
        <w:t>产，是指需要经过相当长时间的购建或者生产活动才能达到预定可使用或者可销售状态的固定资产、投资</w:t>
      </w:r>
      <w:r>
        <w:rPr>
          <w:spacing w:val="-81"/>
        </w:rPr>
        <w:t> </w:t>
      </w:r>
      <w:r>
        <w:rPr>
          <w:spacing w:val="-81"/>
        </w:rPr>
      </w:r>
      <w:r>
        <w:rPr/>
        <w:t>性房地产和存货等资产。</w:t>
      </w:r>
    </w:p>
    <w:p>
      <w:pPr>
        <w:spacing w:line="256" w:lineRule="auto" w:before="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、资本化金额计算方法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Heading4"/>
        <w:spacing w:line="240" w:lineRule="auto" w:before="23"/>
        <w:ind w:right="0"/>
        <w:jc w:val="both"/>
      </w:pPr>
      <w:r>
        <w:rPr/>
        <w:t>包括在内。</w:t>
      </w:r>
    </w:p>
    <w:p>
      <w:pPr>
        <w:pStyle w:val="Heading4"/>
        <w:spacing w:line="256" w:lineRule="auto" w:before="37"/>
        <w:ind w:right="1132" w:firstLine="420"/>
        <w:jc w:val="both"/>
      </w:pPr>
      <w:r>
        <w:rPr/>
        <w:t>暂停资本化期间：在购建或生产过程中发生非正常中断、且中断时间连续超过</w:t>
      </w:r>
      <w:r>
        <w:rPr>
          <w:rFonts w:ascii="Times New Roman" w:hAnsi="Times New Roman" w:cs="Times New Roman" w:eastAsia="Times New Roman" w:hint="default"/>
        </w:rPr>
        <w:t>3</w:t>
      </w:r>
      <w:r>
        <w:rPr/>
        <w:t>个月的，应当暂停借 款费用的资本化期间。</w:t>
      </w:r>
    </w:p>
    <w:p>
      <w:pPr>
        <w:pStyle w:val="Heading4"/>
        <w:spacing w:line="273" w:lineRule="auto" w:before="22"/>
        <w:ind w:right="1131" w:firstLine="420"/>
        <w:jc w:val="both"/>
      </w:pPr>
      <w:r>
        <w:rPr>
          <w:spacing w:val="-1"/>
        </w:rPr>
        <w:t>资本化金额计算：①借入专门借款，按照专门借款当期实际发生的利息费用，减去将尚未动用的借款</w:t>
      </w:r>
      <w:r>
        <w:rPr/>
        <w:t> </w:t>
      </w:r>
      <w:r>
        <w:rPr>
          <w:spacing w:val="-1"/>
        </w:rPr>
        <w:t>资金存入银行取得的利息收入或进行暂时性投资取得的投资收益后的金额确定；②占用一般借款按照累计</w:t>
      </w:r>
      <w:r>
        <w:rPr>
          <w:spacing w:val="-81"/>
        </w:rPr>
        <w:t> </w:t>
      </w:r>
      <w:r>
        <w:rPr>
          <w:spacing w:val="-81"/>
        </w:rPr>
      </w:r>
      <w:r>
        <w:rPr>
          <w:spacing w:val="-1"/>
        </w:rPr>
        <w:t>资产支出超过专门借款部分的资产支出加权平均数乘以所占用一般借款的资本化率计算确定，资本化率为</w:t>
      </w:r>
      <w:r>
        <w:rPr>
          <w:spacing w:val="-81"/>
        </w:rPr>
        <w:t> </w:t>
      </w:r>
      <w:r>
        <w:rPr>
          <w:spacing w:val="-81"/>
        </w:rPr>
      </w:r>
      <w:r>
        <w:rPr>
          <w:spacing w:val="-1"/>
        </w:rPr>
        <w:t>一般借款的加权平均利率；③借款存在折价或溢价的，按照实际利率法确定每一会计期间应摊销的折价或</w:t>
      </w:r>
      <w:r>
        <w:rPr>
          <w:spacing w:val="-81"/>
        </w:rPr>
        <w:t> </w:t>
      </w:r>
      <w:r>
        <w:rPr>
          <w:spacing w:val="-81"/>
        </w:rPr>
      </w:r>
      <w:r>
        <w:rPr/>
        <w:t>溢价金额，调整每期利息金额。</w:t>
      </w:r>
    </w:p>
    <w:p>
      <w:pPr>
        <w:pStyle w:val="Heading4"/>
        <w:spacing w:line="273" w:lineRule="auto"/>
        <w:ind w:right="1132" w:firstLine="420"/>
        <w:jc w:val="both"/>
      </w:pPr>
      <w:r>
        <w:rPr>
          <w:spacing w:val="-1"/>
        </w:rPr>
        <w:t>实际利率法是根据借款实际利率计算其摊余折价或溢价或利息费用的方法。其中实际利率是借款在预</w:t>
      </w:r>
      <w:r>
        <w:rPr/>
        <w:t> 期存续期间的未来现金流量，折现为该借款当前账面价值所使用的利率。</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bookmarkStart w:name="19、无形资产" w:id="147"/>
      <w:bookmarkEnd w:id="147"/>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148"/>
      <w:bookmarkEnd w:id="14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spacing w:line="256" w:lineRule="auto" w:before="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本公司无形资产按照成本进行初始计量。购入的无形资产，按实际支付的价款和相关支出作为实际成</w:t>
      </w:r>
    </w:p>
    <w:p>
      <w:pPr>
        <w:pStyle w:val="Heading4"/>
        <w:spacing w:line="273" w:lineRule="auto" w:before="22"/>
        <w:ind w:left="154" w:right="0"/>
        <w:jc w:val="left"/>
      </w:pPr>
      <w:r>
        <w:rPr>
          <w:spacing w:val="-1"/>
        </w:rPr>
        <w:t>本。投资者投入的无形资产，按投资合同或协议约定的价值确定实际成本，但合同或协议约定价值不公允</w:t>
      </w:r>
      <w:r>
        <w:rPr>
          <w:spacing w:val="-83"/>
        </w:rPr>
        <w:t> </w:t>
      </w:r>
      <w:r>
        <w:rPr>
          <w:spacing w:val="-83"/>
        </w:rPr>
      </w:r>
      <w:r>
        <w:rPr/>
        <w:t>的，按公允价值确定实际成本。自行开发的无形资产，其成本为达到预定用途前所发生的支出总额。</w:t>
      </w:r>
    </w:p>
    <w:p>
      <w:pPr>
        <w:pStyle w:val="Heading4"/>
        <w:spacing w:line="273" w:lineRule="auto"/>
        <w:ind w:right="1131" w:firstLine="420"/>
        <w:jc w:val="both"/>
      </w:pPr>
      <w:r>
        <w:rPr>
          <w:spacing w:val="-1"/>
        </w:rPr>
        <w:t>本公司无形资产后续计量，分别为：①使用寿命有限无形资产采用直线法摊销，并在年度终了，对无</w:t>
      </w:r>
      <w:r>
        <w:rPr/>
        <w:t> </w:t>
      </w:r>
      <w:r>
        <w:rPr>
          <w:spacing w:val="-1"/>
        </w:rPr>
        <w:t>形资产的使用寿命和摊销方法进行复核，如与原先估计数存在差异的，进行相应的调整。②使用寿命不确</w:t>
      </w:r>
      <w:r>
        <w:rPr>
          <w:spacing w:val="-83"/>
        </w:rPr>
        <w:t> </w:t>
      </w:r>
      <w:r>
        <w:rPr>
          <w:spacing w:val="-83"/>
        </w:rPr>
      </w:r>
      <w:r>
        <w:rPr>
          <w:spacing w:val="-1"/>
        </w:rPr>
        <w:t>定的无形资产不摊销，但在年度终了，对使用寿命进行复核，当有确凿证据表明其使用寿命是有限的，则</w:t>
      </w:r>
      <w:r>
        <w:rPr>
          <w:spacing w:val="-85"/>
        </w:rPr>
        <w:t> </w:t>
      </w:r>
      <w:r>
        <w:rPr>
          <w:spacing w:val="-85"/>
        </w:rPr>
      </w:r>
      <w:r>
        <w:rPr/>
        <w:t>估计其使用寿命，按直线法进行摊销。</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256" w:lineRule="auto" w:before="35"/>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、使用寿命有限的无形资产使用寿命估计</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本公司对使用寿命有限的无形资产，估计其使用寿命时通常考虑以下因素：①运用该资产生产的产品</w:t>
      </w:r>
    </w:p>
    <w:p>
      <w:pPr>
        <w:pStyle w:val="Heading4"/>
        <w:spacing w:line="273" w:lineRule="auto" w:before="22"/>
        <w:ind w:right="1093"/>
        <w:jc w:val="left"/>
      </w:pPr>
      <w:r>
        <w:rPr>
          <w:spacing w:val="-1"/>
        </w:rPr>
        <w:t>通常的寿命周期、可获得的类似资产使用寿命的信息；②技术、工艺等方面的现阶段情况及对未来发展趋</w:t>
      </w:r>
      <w:r>
        <w:rPr>
          <w:spacing w:val="-83"/>
        </w:rPr>
        <w:t> </w:t>
      </w:r>
      <w:r>
        <w:rPr>
          <w:spacing w:val="-83"/>
        </w:rPr>
      </w:r>
      <w:r>
        <w:rPr/>
        <w:t>势的估计；③以该资产生产的产品或提供劳务的市场需求情况；④现在或潜在的竞争者预期采取的行动；</w:t>
      </w:r>
    </w:p>
    <w:p>
      <w:pPr>
        <w:pStyle w:val="Heading4"/>
        <w:spacing w:line="273" w:lineRule="auto" w:before="8"/>
        <w:ind w:right="1024"/>
        <w:jc w:val="left"/>
      </w:pPr>
      <w:r>
        <w:rPr/>
        <w:t>⑤为维持该资产带来经济利益能力的预期维护支出，以及公司预计支付有关支出的能力；⑥对该资产控制 </w:t>
      </w:r>
      <w:r>
        <w:rPr>
          <w:spacing w:val="-3"/>
        </w:rPr>
        <w:t>期限的相关法律规定或类似限制，如特许使用期、租赁期等；⑦与公司持有其他资产使用寿命的关联性等。</w:t>
      </w:r>
    </w:p>
    <w:p>
      <w:pPr>
        <w:spacing w:line="256" w:lineRule="auto" w:before="7"/>
        <w:ind w:left="57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、使用寿命不确定的判断依据</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本公司将无法预见该资产为公司带来经济利益的期限，或使用期限不确定等无形资产确定为使用寿命</w:t>
      </w:r>
    </w:p>
    <w:p>
      <w:pPr>
        <w:pStyle w:val="Heading4"/>
        <w:spacing w:line="273" w:lineRule="auto" w:before="22"/>
        <w:ind w:left="573" w:right="0" w:hanging="420"/>
        <w:jc w:val="left"/>
      </w:pPr>
      <w:r>
        <w:rPr/>
        <w:t>不确定的无形资产。 </w:t>
      </w:r>
      <w:r>
        <w:rPr>
          <w:spacing w:val="-1"/>
        </w:rPr>
        <w:t>使用寿命不确定的判断依据：①来源于合同性权利或其他法定权利，但合同规定或法律规定无明确使</w:t>
      </w:r>
    </w:p>
    <w:p>
      <w:pPr>
        <w:pStyle w:val="Heading4"/>
        <w:spacing w:line="273" w:lineRule="auto"/>
        <w:ind w:left="573" w:right="0" w:hanging="420"/>
        <w:jc w:val="left"/>
      </w:pPr>
      <w:r>
        <w:rPr/>
        <w:t>用年限；②综合同行业情况或相关专家论证等，仍无法判断无形资产为公司带来经济利益的期限。 </w:t>
      </w:r>
      <w:r>
        <w:rPr>
          <w:spacing w:val="-1"/>
        </w:rPr>
        <w:t>每年年末，对使用寿命不确定无形资产使用寿命进行复核，主要采取自下而上的方式，由无形资产使</w:t>
      </w:r>
    </w:p>
    <w:p>
      <w:pPr>
        <w:pStyle w:val="Heading4"/>
        <w:spacing w:line="240" w:lineRule="auto"/>
        <w:ind w:right="0"/>
        <w:jc w:val="left"/>
      </w:pPr>
      <w:r>
        <w:rPr/>
        <w:t>用相关部门进行基础复核，评价使用寿命不确定判断依据是否存在变化等确定。</w:t>
      </w:r>
    </w:p>
    <w:p>
      <w:pPr>
        <w:spacing w:line="590" w:lineRule="atLeast" w:before="39"/>
        <w:ind w:left="573" w:right="0" w:hanging="420"/>
        <w:jc w:val="left"/>
        <w:rPr>
          <w:rFonts w:ascii="宋体" w:hAnsi="宋体" w:cs="宋体" w:eastAsia="宋体" w:hint="default"/>
          <w:sz w:val="21"/>
          <w:szCs w:val="21"/>
        </w:rPr>
      </w:pPr>
      <w:bookmarkStart w:name="（2）内部研究开发支出会计政策" w:id="149"/>
      <w:bookmarkEnd w:id="1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内部研发项目研究阶段的支出，于发生时计入当期损益；开发阶段的支出，同时满足下列条件的，确</w:t>
      </w:r>
    </w:p>
    <w:p>
      <w:pPr>
        <w:pStyle w:val="Heading4"/>
        <w:spacing w:line="256" w:lineRule="auto" w:before="37"/>
        <w:ind w:right="0"/>
        <w:jc w:val="left"/>
      </w:pPr>
      <w:r>
        <w:rPr/>
        <w:t>认为无形资产：（</w:t>
      </w:r>
      <w:r>
        <w:rPr>
          <w:rFonts w:ascii="Times New Roman" w:hAnsi="Times New Roman" w:cs="Times New Roman" w:eastAsia="Times New Roman" w:hint="default"/>
        </w:rPr>
        <w:t>1</w:t>
      </w:r>
      <w:r>
        <w:rPr/>
        <w:t>）完成该无形资产以使其能够使用或出售在技术上具有可行性；（</w:t>
      </w:r>
      <w:r>
        <w:rPr>
          <w:rFonts w:ascii="Times New Roman" w:hAnsi="Times New Roman" w:cs="Times New Roman" w:eastAsia="Times New Roman" w:hint="default"/>
        </w:rPr>
        <w:t>2</w:t>
      </w:r>
      <w:r>
        <w:rPr/>
        <w:t>）具有完成该无形 资产并使用或出售的意图；（</w:t>
      </w:r>
      <w:r>
        <w:rPr>
          <w:rFonts w:ascii="Times New Roman" w:hAnsi="Times New Roman" w:cs="Times New Roman" w:eastAsia="Times New Roman" w:hint="default"/>
        </w:rPr>
        <w:t>3</w:t>
      </w:r>
      <w:r>
        <w:rPr/>
        <w:t>）无形资产产生经济利益的方式，包括能够证明运用该无形资产生产的产</w:t>
      </w:r>
      <w:r>
        <w:rPr>
          <w:spacing w:val="-32"/>
        </w:rPr>
        <w:t> </w:t>
      </w:r>
      <w:r>
        <w:rPr>
          <w:spacing w:val="-32"/>
        </w:rPr>
      </w:r>
      <w:r>
        <w:rPr>
          <w:spacing w:val="-1"/>
        </w:rPr>
        <w:t>品存在市场或无形资产自身存在市场，无形资产将在内部使用的，能证明其有用性；（</w:t>
      </w:r>
      <w:r>
        <w:rPr>
          <w:rFonts w:ascii="Times New Roman" w:hAnsi="Times New Roman" w:cs="Times New Roman" w:eastAsia="Times New Roman" w:hint="default"/>
          <w:spacing w:val="-1"/>
        </w:rPr>
        <w:t>4</w:t>
      </w:r>
      <w:r>
        <w:rPr>
          <w:spacing w:val="-1"/>
        </w:rPr>
        <w:t>）有足够的技术、</w:t>
      </w:r>
      <w:r>
        <w:rPr>
          <w:spacing w:val="-81"/>
        </w:rPr>
        <w:t> </w:t>
      </w:r>
      <w:r>
        <w:rPr>
          <w:spacing w:val="-81"/>
        </w:rPr>
      </w:r>
      <w:r>
        <w:rPr/>
        <w:t>财务资源和其他资源支持，以完成该无形资产的开发，并有能力使用或出售该无形资产；（</w:t>
      </w:r>
      <w:r>
        <w:rPr>
          <w:rFonts w:ascii="Times New Roman" w:hAnsi="Times New Roman" w:cs="Times New Roman" w:eastAsia="Times New Roman" w:hint="default"/>
        </w:rPr>
        <w:t>5</w:t>
      </w:r>
      <w:r>
        <w:rPr/>
        <w:t>）归属于该</w:t>
      </w:r>
      <w:r>
        <w:rPr>
          <w:spacing w:val="-25"/>
        </w:rPr>
        <w:t> </w:t>
      </w:r>
      <w:r>
        <w:rPr>
          <w:spacing w:val="-25"/>
        </w:rPr>
      </w:r>
      <w:r>
        <w:rPr/>
        <w:t>无形资产开发阶段的支出能够可靠地计量。</w:t>
      </w:r>
    </w:p>
    <w:p>
      <w:pPr>
        <w:pStyle w:val="Heading4"/>
        <w:spacing w:line="273" w:lineRule="auto" w:before="23"/>
        <w:ind w:left="489" w:right="2227"/>
        <w:jc w:val="left"/>
      </w:pPr>
      <w:r>
        <w:rPr/>
        <w:t>公司将开发阶段借款费用符合资本化条件的予以资本化，计入内部研发项目资本化成本。 无法区分研究阶段支出和开发阶段支出的，将发生的研发支出全部计入当期损益。</w:t>
      </w:r>
    </w:p>
    <w:p>
      <w:pPr>
        <w:spacing w:line="590" w:lineRule="atLeast" w:before="9"/>
        <w:ind w:left="574" w:right="2772" w:hanging="420"/>
        <w:jc w:val="left"/>
        <w:rPr>
          <w:rFonts w:ascii="宋体" w:hAnsi="宋体" w:cs="宋体" w:eastAsia="宋体" w:hint="default"/>
          <w:sz w:val="21"/>
          <w:szCs w:val="21"/>
        </w:rPr>
      </w:pPr>
      <w:bookmarkStart w:name="20、长期资产减值" w:id="150"/>
      <w:bookmarkEnd w:id="150"/>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本公司长期资产主要指长期股权投资、固定资产、在建工程、无形资产、商誉等。</w:t>
      </w:r>
    </w:p>
    <w:p>
      <w:pPr>
        <w:spacing w:line="256" w:lineRule="auto" w:before="37"/>
        <w:ind w:left="574" w:right="0"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、长期资产减值测试方法</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资产负债表日，本公司对长期资产检查是否存在可能发生减值的迹象，当存在减值迹象时应进行减值</w:t>
      </w:r>
    </w:p>
    <w:p>
      <w:pPr>
        <w:pStyle w:val="Heading4"/>
        <w:spacing w:line="273" w:lineRule="auto" w:before="22"/>
        <w:ind w:left="573" w:right="0" w:hanging="420"/>
        <w:jc w:val="left"/>
      </w:pPr>
      <w:r>
        <w:rPr/>
        <w:t>测试确认其可收回金额，按账面价值与可收回金额孰低计提减值准备。 </w:t>
      </w:r>
      <w:r>
        <w:rPr>
          <w:spacing w:val="-1"/>
        </w:rPr>
        <w:t>但企业合并形成的商誉和使用寿命不确定的无形资产，无论是否存在减值迹象，资产负债表日都应当</w:t>
      </w:r>
    </w:p>
    <w:p>
      <w:pPr>
        <w:pStyle w:val="Heading4"/>
        <w:spacing w:line="273" w:lineRule="auto"/>
        <w:ind w:left="573" w:right="1118" w:hanging="420"/>
        <w:jc w:val="left"/>
      </w:pPr>
      <w:r>
        <w:rPr/>
        <w:t>进行减值测试。 </w:t>
      </w:r>
      <w:r>
        <w:rPr>
          <w:spacing w:val="3"/>
        </w:rPr>
        <w:t>可收回金额按照长期资产的公允价值减去处置费用后的净额与长期资产预计未来现金流量的现值之</w:t>
      </w:r>
    </w:p>
    <w:p>
      <w:pPr>
        <w:pStyle w:val="Heading4"/>
        <w:spacing w:line="273" w:lineRule="auto"/>
        <w:ind w:right="0"/>
        <w:jc w:val="left"/>
      </w:pPr>
      <w:r>
        <w:rPr>
          <w:spacing w:val="-1"/>
        </w:rPr>
        <w:t>间孰高确定。长期资产的公允价值净额是根据公平交易中销售协议价格减去可直接归属于该长期资产处置</w:t>
      </w:r>
      <w:r>
        <w:rPr>
          <w:spacing w:val="-81"/>
        </w:rPr>
        <w:t> </w:t>
      </w:r>
      <w:r>
        <w:rPr>
          <w:spacing w:val="-81"/>
        </w:rPr>
      </w:r>
      <w:r>
        <w:rPr/>
        <w:t>费用的金额确定。</w:t>
      </w:r>
    </w:p>
    <w:p>
      <w:pPr>
        <w:pStyle w:val="Heading4"/>
        <w:spacing w:line="273" w:lineRule="auto"/>
        <w:ind w:right="1110" w:firstLine="420"/>
        <w:jc w:val="both"/>
      </w:pPr>
      <w:r>
        <w:rPr>
          <w:spacing w:val="-1"/>
        </w:rPr>
        <w:t>本公司在确定公允价值时优先考虑销售协议价格，其次如不存在销售协议价格但存在资产活跃市场或</w:t>
      </w:r>
      <w:r>
        <w:rPr/>
        <w:t> 同行业类似资产交易价格，按照市场价格确定；如按照上述规定仍然无法可靠估计长期资产的公允价值， 以长期资产预计未来现金流量的现值作为其可收回金额。</w:t>
      </w:r>
    </w:p>
    <w:p>
      <w:pPr>
        <w:spacing w:line="256" w:lineRule="auto" w:before="7"/>
        <w:ind w:left="573" w:right="2353"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、长期资产减值的会计处理方法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本公司对长期资产可收回金额低于其账面价值的，应当将长期资产账面价值减记至可收</w:t>
      </w:r>
    </w:p>
    <w:p>
      <w:pPr>
        <w:pStyle w:val="Heading4"/>
        <w:spacing w:line="273" w:lineRule="auto" w:before="22"/>
        <w:ind w:right="0"/>
        <w:jc w:val="left"/>
      </w:pPr>
      <w:r>
        <w:rPr>
          <w:spacing w:val="-1"/>
        </w:rPr>
        <w:t>回金额，减记的金额确认为资产减值损失，计入当期损益，同时计提相应长期资产的减值准备。相应减值</w:t>
      </w:r>
      <w:r>
        <w:rPr>
          <w:spacing w:val="-86"/>
        </w:rPr>
        <w:t> </w:t>
      </w:r>
      <w:r>
        <w:rPr>
          <w:spacing w:val="-86"/>
        </w:rPr>
      </w:r>
      <w:r>
        <w:rPr/>
        <w:t>资产折旧或摊销费用在未来期间作相应调整。减值损失一经计提，在以后会计期间不再转回。</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1、长期待摊费用" w:id="151"/>
      <w:bookmarkEnd w:id="151"/>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1131" w:firstLine="420"/>
        <w:jc w:val="both"/>
      </w:pPr>
      <w:r>
        <w:rPr>
          <w:spacing w:val="-1"/>
        </w:rPr>
        <w:t>本公司长期待摊费用是指已经支出，但受益期限在一年以上（不含一年）的各项费用，主要包括车位</w:t>
      </w:r>
      <w:r>
        <w:rPr/>
        <w:t> </w:t>
      </w:r>
      <w:r>
        <w:rPr>
          <w:spacing w:val="-1"/>
        </w:rPr>
        <w:t>使用费、房屋装修费等。长期待摊费用按费用项目的受益期限分期摊销。若长期待摊的费用项目不能使以</w:t>
      </w:r>
      <w:r>
        <w:rPr>
          <w:spacing w:val="-83"/>
        </w:rPr>
        <w:t> </w:t>
      </w:r>
      <w:r>
        <w:rPr>
          <w:spacing w:val="-83"/>
        </w:rPr>
      </w:r>
      <w:r>
        <w:rPr/>
        <w:t>后会计期间受益，则将尚未摊销的该项目的摊余价值全部转入当期损益。</w:t>
      </w:r>
    </w:p>
    <w:p>
      <w:pPr>
        <w:spacing w:line="240" w:lineRule="auto" w:before="8"/>
        <w:rPr>
          <w:rFonts w:ascii="宋体" w:hAnsi="宋体" w:cs="宋体" w:eastAsia="宋体" w:hint="default"/>
          <w:sz w:val="23"/>
          <w:szCs w:val="23"/>
        </w:rPr>
      </w:pPr>
    </w:p>
    <w:p>
      <w:pPr>
        <w:pStyle w:val="Heading3"/>
        <w:spacing w:line="240" w:lineRule="auto"/>
        <w:ind w:left="153" w:right="0"/>
        <w:jc w:val="left"/>
        <w:rPr>
          <w:b w:val="0"/>
          <w:bCs w:val="0"/>
        </w:rPr>
      </w:pPr>
      <w:bookmarkStart w:name="22、职工薪酬" w:id="152"/>
      <w:bookmarkEnd w:id="152"/>
      <w:r>
        <w:rPr>
          <w:b w:val="0"/>
          <w:bCs w:val="0"/>
        </w:rPr>
      </w:r>
      <w:r>
        <w:rPr>
          <w:rFonts w:ascii="Times New Roman" w:hAnsi="Times New Roman" w:cs="Times New Roman" w:eastAsia="Times New Roman" w:hint="default"/>
        </w:rPr>
        <w:t>22</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153"/>
      <w:bookmarkEnd w:id="15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0"/>
        <w:jc w:val="left"/>
      </w:pPr>
      <w:r>
        <w:rPr>
          <w:spacing w:val="-1"/>
        </w:rPr>
        <w:t>短期薪酬会计处理：在职工为其提供服务的会计期间，将实际发生的短期薪酬确认为负债，并计入当期损</w:t>
      </w:r>
      <w:r>
        <w:rPr>
          <w:spacing w:val="-83"/>
        </w:rPr>
        <w:t> </w:t>
      </w:r>
      <w:r>
        <w:rPr>
          <w:spacing w:val="-83"/>
        </w:rPr>
      </w:r>
      <w:r>
        <w:rPr/>
        <w:t>益或相关资产成本</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离职后福利的会计处理方法" w:id="154"/>
      <w:bookmarkEnd w:id="15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1023"/>
        <w:jc w:val="left"/>
      </w:pPr>
      <w:r>
        <w:rPr/>
        <w:t>离职后福利会计处理：根据本公司与职工就离职后福利达成的协议、制定章程或办法等，将是否承担进一 步支付义务的离职福利计划分类为设定提存计划或设定受益计划两种类型。①设定提存计划按照向独立的 基金缴存固定费用确认为负债，并计入当期损益或相关资产成本；②设定受益计划采用预期累计福利单位 法进行会计处理。具体为：本公司将根据预期累计福利单位法确定的公式将设定受益计划产生的福利义务 </w:t>
      </w:r>
      <w:r>
        <w:rPr>
          <w:spacing w:val="-3"/>
        </w:rPr>
        <w:t>折合为离职时点的终值；之后归属于职工提供服务的期间，并计入当期损益或相关资产成本。于报告期内，</w:t>
      </w:r>
      <w:r>
        <w:rPr>
          <w:spacing w:val="-90"/>
        </w:rPr>
        <w:t> </w:t>
      </w:r>
      <w:r>
        <w:rPr>
          <w:spacing w:val="-90"/>
        </w:rPr>
      </w:r>
      <w:r>
        <w:rPr/>
        <w:t>本公司离职后福利主要为基本养老保险和失业保险：</w:t>
      </w:r>
    </w:p>
    <w:p>
      <w:pPr>
        <w:pStyle w:val="Heading4"/>
        <w:spacing w:line="273" w:lineRule="auto"/>
        <w:ind w:left="154" w:right="1110" w:firstLine="420"/>
        <w:jc w:val="both"/>
      </w:pPr>
      <w:r>
        <w:rPr>
          <w:spacing w:val="-1"/>
        </w:rPr>
        <w:t>本公司职工参加了由当地劳动和社会保障部门组织实施的社会基本养老保险，该类离职后福利属于设</w:t>
      </w:r>
      <w:r>
        <w:rPr/>
        <w:t> </w:t>
      </w:r>
      <w:r>
        <w:rPr>
          <w:spacing w:val="-1"/>
        </w:rPr>
        <w:t>定提存计划。本公司以当地规定的社会基本养老保险缴纳基数和比例，按月向当地社会基本养老保险经办</w:t>
      </w:r>
      <w:r>
        <w:rPr>
          <w:spacing w:val="-81"/>
        </w:rPr>
        <w:t> </w:t>
      </w:r>
      <w:r>
        <w:rPr>
          <w:spacing w:val="-81"/>
        </w:rPr>
      </w:r>
      <w:r>
        <w:rPr/>
        <w:t>机构缴纳养老保险费。职工退休后，当地劳动及社会保障部门有责任向已退休员工支付社会基本养老金。 </w:t>
      </w:r>
      <w:r>
        <w:rPr>
          <w:spacing w:val="-1"/>
        </w:rPr>
        <w:t>本公司在职工提供服务的会计期间，将根据上述社保规定计算应缴纳的金额确认为负债，并计入当期损益</w:t>
      </w:r>
      <w:r>
        <w:rPr>
          <w:spacing w:val="-81"/>
        </w:rPr>
        <w:t> </w:t>
      </w:r>
      <w:r>
        <w:rPr>
          <w:spacing w:val="-81"/>
        </w:rPr>
      </w:r>
      <w:r>
        <w:rPr/>
        <w:t>或相关资产成本。</w:t>
      </w:r>
    </w:p>
    <w:p>
      <w:pPr>
        <w:spacing w:line="240" w:lineRule="auto" w:before="8"/>
        <w:rPr>
          <w:rFonts w:ascii="宋体" w:hAnsi="宋体" w:cs="宋体" w:eastAsia="宋体" w:hint="default"/>
          <w:sz w:val="23"/>
          <w:szCs w:val="23"/>
        </w:rPr>
      </w:pPr>
    </w:p>
    <w:p>
      <w:pPr>
        <w:spacing w:line="506" w:lineRule="auto" w:before="0"/>
        <w:ind w:left="154" w:right="2562" w:firstLine="0"/>
        <w:jc w:val="left"/>
        <w:rPr>
          <w:rFonts w:ascii="宋体" w:hAnsi="宋体" w:cs="宋体" w:eastAsia="宋体" w:hint="default"/>
          <w:sz w:val="21"/>
          <w:szCs w:val="21"/>
        </w:rPr>
      </w:pPr>
      <w:bookmarkStart w:name="（3）辞退福利的会计处理方法" w:id="155"/>
      <w:bookmarkEnd w:id="1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辞退福利会计处理：满足辞退福利义务时将解除劳动关系给予的补偿一次计入当期损益。</w:t>
      </w:r>
    </w:p>
    <w:p>
      <w:pPr>
        <w:spacing w:line="520" w:lineRule="auto" w:before="105"/>
        <w:ind w:left="153" w:right="2983" w:firstLine="0"/>
        <w:jc w:val="left"/>
        <w:rPr>
          <w:rFonts w:ascii="宋体" w:hAnsi="宋体" w:cs="宋体" w:eastAsia="宋体" w:hint="default"/>
          <w:sz w:val="21"/>
          <w:szCs w:val="21"/>
        </w:rPr>
      </w:pPr>
      <w:bookmarkStart w:name="（4）其他长期职工福利的会计处理方法" w:id="156"/>
      <w:bookmarkEnd w:id="1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其他长期职工福利会计处理：根据职工薪酬的性质参照上述会计处理原则进行处理。 </w:t>
      </w:r>
      <w:bookmarkStart w:name="23、预计负债" w:id="157"/>
      <w:bookmarkEnd w:id="157"/>
      <w:r>
        <w:rPr>
          <w:rFonts w:ascii="宋体" w:hAnsi="宋体" w:cs="宋体" w:eastAsia="宋体" w:hint="default"/>
          <w:sz w:val="21"/>
          <w:szCs w:val="21"/>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56" w:lineRule="auto" w:before="50"/>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当与或有事项相关的义务是公司承担的现时义务，且履行该义务很可能导致经济利益流出，同时其金</w:t>
      </w:r>
    </w:p>
    <w:p>
      <w:pPr>
        <w:pStyle w:val="Heading4"/>
        <w:spacing w:line="240" w:lineRule="auto" w:before="22"/>
        <w:ind w:left="154" w:right="0"/>
        <w:jc w:val="left"/>
      </w:pPr>
      <w:r>
        <w:rPr/>
        <w:t>额能够可靠地计量时确认该义务为预计负债。</w:t>
      </w:r>
    </w:p>
    <w:p>
      <w:pPr>
        <w:spacing w:line="256" w:lineRule="auto" w:before="37"/>
        <w:ind w:left="57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按照履行相关现时义务所需支出的最佳估计数进行初始计量，如所需支出存在一个连续范围，且该范</w:t>
      </w:r>
    </w:p>
    <w:p>
      <w:pPr>
        <w:pStyle w:val="Heading4"/>
        <w:spacing w:line="271" w:lineRule="auto" w:before="22"/>
        <w:ind w:left="154" w:right="0"/>
        <w:jc w:val="left"/>
      </w:pPr>
      <w:r>
        <w:rPr>
          <w:spacing w:val="-1"/>
        </w:rPr>
        <w:t>围内各种结果发生的可能性相同，最佳估计数按照该范围内的中间值确定；如涉及多个项目，按照各种可</w:t>
      </w:r>
      <w:r>
        <w:rPr>
          <w:spacing w:val="-83"/>
        </w:rPr>
        <w:t> </w:t>
      </w:r>
      <w:r>
        <w:rPr>
          <w:spacing w:val="-83"/>
        </w:rPr>
      </w:r>
      <w:r>
        <w:rPr/>
        <w:t>能结果及相关概率计算确定最佳估计数。 </w:t>
      </w:r>
      <w:r>
        <w:rPr>
          <w:spacing w:val="-1"/>
        </w:rPr>
        <w:t>资产负债表日应当对预计负债账面价值进行复核，有确凿证据表明该账面价值不能真实反映当前最佳估计</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both"/>
      </w:pPr>
      <w:r>
        <w:rPr/>
        <w:t>数，应当按照当前最佳估计数对该账面价值进行调整。</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24、收入" w:id="158"/>
      <w:bookmarkEnd w:id="158"/>
      <w:r>
        <w:rPr>
          <w:b w:val="0"/>
          <w:bCs w:val="0"/>
        </w:rPr>
      </w:r>
      <w:r>
        <w:rPr>
          <w:rFonts w:ascii="Times New Roman" w:hAnsi="Times New Roman" w:cs="Times New Roman" w:eastAsia="Times New Roman" w:hint="default"/>
        </w:rPr>
        <w:t>24</w:t>
      </w:r>
      <w:r>
        <w:rPr/>
        <w:t>、收入</w:t>
      </w:r>
      <w:r>
        <w:rPr>
          <w:b w:val="0"/>
          <w:bCs w:val="0"/>
        </w:rPr>
      </w:r>
    </w:p>
    <w:p>
      <w:pPr>
        <w:spacing w:line="240" w:lineRule="auto" w:before="8"/>
        <w:rPr>
          <w:rFonts w:ascii="宋体" w:hAnsi="宋体" w:cs="宋体" w:eastAsia="宋体" w:hint="default"/>
          <w:b/>
          <w:bCs/>
          <w:sz w:val="24"/>
          <w:szCs w:val="24"/>
        </w:rPr>
      </w:pPr>
    </w:p>
    <w:p>
      <w:pPr>
        <w:pStyle w:val="Heading4"/>
        <w:spacing w:line="256" w:lineRule="auto" w:before="0"/>
        <w:ind w:left="574" w:right="1118" w:firstLine="2"/>
        <w:jc w:val="left"/>
      </w:pPr>
      <w:r>
        <w:rPr>
          <w:rFonts w:ascii="Times New Roman" w:hAnsi="Times New Roman" w:cs="Times New Roman" w:eastAsia="Times New Roman" w:hint="default"/>
          <w:b/>
          <w:bCs/>
        </w:rPr>
        <w:t>1</w:t>
      </w:r>
      <w:r>
        <w:rPr>
          <w:rFonts w:ascii="宋体" w:hAnsi="宋体" w:cs="宋体" w:eastAsia="宋体" w:hint="default"/>
          <w:b/>
          <w:bCs/>
        </w:rPr>
        <w:t>、销售商品</w:t>
      </w:r>
      <w:r>
        <w:rPr>
          <w:rFonts w:ascii="宋体" w:hAnsi="宋体" w:cs="宋体" w:eastAsia="宋体" w:hint="default"/>
          <w:b/>
          <w:bCs/>
          <w:w w:val="99"/>
        </w:rPr>
        <w:t> </w:t>
      </w:r>
      <w:r>
        <w:rPr>
          <w:spacing w:val="-1"/>
        </w:rPr>
        <w:t>本公司销售的商品在同时满足下列条件时，按从购货方已收或应收的合同或协议价款的金额确认销售</w:t>
      </w:r>
    </w:p>
    <w:p>
      <w:pPr>
        <w:pStyle w:val="Heading4"/>
        <w:spacing w:line="273" w:lineRule="auto" w:before="22"/>
        <w:ind w:left="154" w:right="1130"/>
        <w:jc w:val="both"/>
      </w:pPr>
      <w:r>
        <w:rPr>
          <w:spacing w:val="-1"/>
        </w:rPr>
        <w:t>商品收入：①已将商品所有权上的主要风险和报酬转移给购货方；②既没有保留通常与所有权相联系的继</w:t>
      </w:r>
      <w:r>
        <w:rPr>
          <w:spacing w:val="-80"/>
        </w:rPr>
        <w:t> </w:t>
      </w:r>
      <w:r>
        <w:rPr>
          <w:spacing w:val="-80"/>
        </w:rPr>
      </w:r>
      <w:r>
        <w:rPr>
          <w:spacing w:val="-1"/>
        </w:rPr>
        <w:t>续管理权，也没有对已售出的商品实施有效控制；③收入的金额能够可靠地计量；④相关的经济利益很可</w:t>
      </w:r>
      <w:r>
        <w:rPr>
          <w:spacing w:val="-83"/>
        </w:rPr>
        <w:t> </w:t>
      </w:r>
      <w:r>
        <w:rPr>
          <w:spacing w:val="-83"/>
        </w:rPr>
      </w:r>
      <w:r>
        <w:rPr/>
        <w:t>能流入企业；⑤相关的已发生或将发生的成本能够可靠地计量。</w:t>
      </w:r>
    </w:p>
    <w:p>
      <w:pPr>
        <w:pStyle w:val="Heading4"/>
        <w:spacing w:line="273" w:lineRule="auto"/>
        <w:ind w:right="1131" w:firstLine="420"/>
        <w:jc w:val="both"/>
      </w:pPr>
      <w:r>
        <w:rPr>
          <w:spacing w:val="-1"/>
        </w:rPr>
        <w:t>合同或协议价款的收取采用递延方式，实质上具有融资性质的，按照应收的合同或协议价款的公允价</w:t>
      </w:r>
      <w:r>
        <w:rPr/>
        <w:t> 值确定销售商品收入金额。</w:t>
      </w:r>
    </w:p>
    <w:p>
      <w:pPr>
        <w:pStyle w:val="Heading4"/>
        <w:spacing w:line="256" w:lineRule="auto"/>
        <w:ind w:left="573" w:right="1118" w:firstLine="2"/>
        <w:jc w:val="left"/>
      </w:pPr>
      <w:r>
        <w:rPr>
          <w:rFonts w:ascii="Times New Roman" w:hAnsi="Times New Roman" w:cs="Times New Roman" w:eastAsia="Times New Roman" w:hint="default"/>
          <w:b/>
          <w:bCs/>
        </w:rPr>
        <w:t>2</w:t>
      </w:r>
      <w:r>
        <w:rPr>
          <w:rFonts w:ascii="宋体" w:hAnsi="宋体" w:cs="宋体" w:eastAsia="宋体" w:hint="default"/>
          <w:b/>
          <w:bCs/>
        </w:rPr>
        <w:t>、提供劳务</w:t>
      </w:r>
      <w:r>
        <w:rPr>
          <w:rFonts w:ascii="宋体" w:hAnsi="宋体" w:cs="宋体" w:eastAsia="宋体" w:hint="default"/>
          <w:b/>
          <w:bCs/>
          <w:w w:val="99"/>
        </w:rPr>
        <w:t> </w:t>
      </w:r>
      <w:r>
        <w:rPr>
          <w:spacing w:val="-1"/>
        </w:rPr>
        <w:t>在资产负债表日提供劳务交易的结果能够可靠估计的，采用完工百分比法确认提供劳务收入。本公司</w:t>
      </w:r>
    </w:p>
    <w:p>
      <w:pPr>
        <w:pStyle w:val="Heading4"/>
        <w:spacing w:line="273" w:lineRule="auto" w:before="22"/>
        <w:ind w:right="1110"/>
        <w:jc w:val="both"/>
      </w:pPr>
      <w:r>
        <w:rPr/>
        <w:t>根据实际成本占预计总成本的比例确定完工进度，在资产负债表日提供劳务交易结果不能够可靠估计的， </w:t>
      </w:r>
      <w:r>
        <w:rPr>
          <w:spacing w:val="-1"/>
        </w:rPr>
        <w:t>分别下列情况处理：①已经发生的劳务成本预计能够得到补偿的，按照已经发生的劳务成本金额确认提供</w:t>
      </w:r>
      <w:r>
        <w:rPr>
          <w:spacing w:val="-81"/>
        </w:rPr>
        <w:t> </w:t>
      </w:r>
      <w:r>
        <w:rPr>
          <w:spacing w:val="-81"/>
        </w:rPr>
      </w:r>
      <w:r>
        <w:rPr>
          <w:spacing w:val="-1"/>
        </w:rPr>
        <w:t>劳务收入，并按相同金额结转劳务成本；②已经发生的劳务成本预计不能够得到补偿的，将已经发生的劳</w:t>
      </w:r>
      <w:r>
        <w:rPr>
          <w:spacing w:val="-83"/>
        </w:rPr>
        <w:t> </w:t>
      </w:r>
      <w:r>
        <w:rPr>
          <w:spacing w:val="-83"/>
        </w:rPr>
      </w:r>
      <w:r>
        <w:rPr/>
        <w:t>务成本计入当期损益，不确认提供劳务收入。</w:t>
      </w:r>
    </w:p>
    <w:p>
      <w:pPr>
        <w:pStyle w:val="Heading4"/>
        <w:spacing w:line="256" w:lineRule="auto"/>
        <w:ind w:left="573" w:right="0" w:firstLine="2"/>
        <w:jc w:val="left"/>
      </w:pPr>
      <w:r>
        <w:rPr>
          <w:rFonts w:ascii="Times New Roman" w:hAnsi="Times New Roman" w:cs="Times New Roman" w:eastAsia="Times New Roman" w:hint="default"/>
          <w:b/>
          <w:bCs/>
        </w:rPr>
        <w:t>3</w:t>
      </w:r>
      <w:r>
        <w:rPr>
          <w:rFonts w:ascii="宋体" w:hAnsi="宋体" w:cs="宋体" w:eastAsia="宋体" w:hint="default"/>
          <w:b/>
          <w:bCs/>
        </w:rPr>
        <w:t>、让渡资产使用权</w:t>
      </w:r>
      <w:r>
        <w:rPr>
          <w:rFonts w:ascii="宋体" w:hAnsi="宋体" w:cs="宋体" w:eastAsia="宋体" w:hint="default"/>
          <w:b/>
          <w:bCs/>
          <w:w w:val="99"/>
        </w:rPr>
        <w:t> </w:t>
      </w:r>
      <w:r>
        <w:rPr>
          <w:spacing w:val="3"/>
        </w:rPr>
        <w:t>本公司在让渡资产使用权相关的经济利益很可能流入并且收入的金额能够可靠地计量时确认让渡资</w:t>
      </w:r>
    </w:p>
    <w:p>
      <w:pPr>
        <w:pStyle w:val="Heading4"/>
        <w:spacing w:line="240" w:lineRule="auto" w:before="22"/>
        <w:ind w:right="0"/>
        <w:jc w:val="both"/>
      </w:pPr>
      <w:r>
        <w:rPr/>
        <w:t>产使用权收入。</w:t>
      </w:r>
    </w:p>
    <w:p>
      <w:pPr>
        <w:spacing w:line="240" w:lineRule="auto" w:before="11"/>
        <w:rPr>
          <w:rFonts w:ascii="宋体" w:hAnsi="宋体" w:cs="宋体" w:eastAsia="宋体" w:hint="default"/>
          <w:sz w:val="25"/>
          <w:szCs w:val="25"/>
        </w:rPr>
      </w:pPr>
    </w:p>
    <w:p>
      <w:pPr>
        <w:pStyle w:val="Heading3"/>
        <w:spacing w:line="240" w:lineRule="auto"/>
        <w:ind w:left="153" w:right="0"/>
        <w:jc w:val="both"/>
        <w:rPr>
          <w:b w:val="0"/>
          <w:bCs w:val="0"/>
        </w:rPr>
      </w:pPr>
      <w:bookmarkStart w:name="25、政府补助" w:id="159"/>
      <w:bookmarkEnd w:id="159"/>
      <w:r>
        <w:rPr>
          <w:b w:val="0"/>
          <w:bCs w:val="0"/>
        </w:rPr>
      </w:r>
      <w:r>
        <w:rPr>
          <w:rFonts w:ascii="Times New Roman" w:hAnsi="Times New Roman" w:cs="Times New Roman" w:eastAsia="Times New Roman" w:hint="default"/>
        </w:rPr>
        <w:t>25</w:t>
      </w:r>
      <w:r>
        <w:rPr/>
        <w:t>、政府补助</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与资产相关的政府补助判断依据及会计处理方法" w:id="160"/>
      <w:bookmarkEnd w:id="160"/>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4"/>
        <w:spacing w:line="273" w:lineRule="auto" w:before="0"/>
        <w:ind w:left="154" w:right="1133"/>
        <w:jc w:val="both"/>
      </w:pPr>
      <w:r>
        <w:rPr>
          <w:spacing w:val="-1"/>
        </w:rPr>
        <w:t>与资产相关的政府补助，确认为递延收益，并在相关资产使用寿命内平均分配，计入当期损益；按照名义</w:t>
      </w:r>
      <w:r>
        <w:rPr>
          <w:spacing w:val="-86"/>
        </w:rPr>
        <w:t> </w:t>
      </w:r>
      <w:r>
        <w:rPr>
          <w:spacing w:val="-86"/>
        </w:rPr>
      </w:r>
      <w:r>
        <w:rPr/>
        <w:t>金额计量的政府补助，直接计入当期损益。</w:t>
      </w:r>
    </w:p>
    <w:p>
      <w:pPr>
        <w:spacing w:line="590" w:lineRule="atLeast" w:before="9"/>
        <w:ind w:left="574" w:right="0" w:hanging="420"/>
        <w:jc w:val="left"/>
        <w:rPr>
          <w:rFonts w:ascii="宋体" w:hAnsi="宋体" w:cs="宋体" w:eastAsia="宋体" w:hint="default"/>
          <w:sz w:val="21"/>
          <w:szCs w:val="21"/>
        </w:rPr>
      </w:pPr>
      <w:bookmarkStart w:name="（2）与收益相关的政府补助判断依据及会计处理方法" w:id="161"/>
      <w:bookmarkEnd w:id="1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与收益相关的政府补助，分别下列情况处理：①用于补偿企业以后期间的相关费用或损失的，确认为</w:t>
      </w:r>
    </w:p>
    <w:p>
      <w:pPr>
        <w:pStyle w:val="Heading4"/>
        <w:spacing w:line="273" w:lineRule="auto" w:before="37"/>
        <w:ind w:left="154" w:right="1133"/>
        <w:jc w:val="both"/>
      </w:pPr>
      <w:r>
        <w:rPr>
          <w:spacing w:val="-1"/>
        </w:rPr>
        <w:t>递延收益，并在确认相关费用的期间，计入当期损益；②用于补偿企业已发生的相关费用或损失的，直接</w:t>
      </w:r>
      <w:r>
        <w:rPr>
          <w:spacing w:val="-86"/>
        </w:rPr>
        <w:t> </w:t>
      </w:r>
      <w:r>
        <w:rPr>
          <w:spacing w:val="-86"/>
        </w:rPr>
      </w:r>
      <w:r>
        <w:rPr/>
        <w:t>计入当期损益。</w:t>
      </w:r>
    </w:p>
    <w:p>
      <w:pPr>
        <w:spacing w:line="590" w:lineRule="atLeast" w:before="9"/>
        <w:ind w:left="573" w:right="5713" w:hanging="420"/>
        <w:jc w:val="left"/>
        <w:rPr>
          <w:rFonts w:ascii="宋体" w:hAnsi="宋体" w:cs="宋体" w:eastAsia="宋体" w:hint="default"/>
          <w:sz w:val="21"/>
          <w:szCs w:val="21"/>
        </w:rPr>
      </w:pPr>
      <w:bookmarkStart w:name="26、递延所得税资产/递延所得税负债" w:id="162"/>
      <w:bookmarkEnd w:id="162"/>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本公司递延所得税资产和递延所得税负债的确认：</w:t>
      </w:r>
    </w:p>
    <w:p>
      <w:pPr>
        <w:pStyle w:val="Heading4"/>
        <w:spacing w:line="264" w:lineRule="auto" w:before="37"/>
        <w:ind w:left="154" w:right="1131" w:firstLine="420"/>
        <w:jc w:val="both"/>
      </w:pPr>
      <w:r>
        <w:rPr>
          <w:rFonts w:ascii="Times New Roman" w:hAnsi="Times New Roman" w:cs="Times New Roman" w:eastAsia="Times New Roman" w:hint="default"/>
        </w:rPr>
        <w:t>1</w:t>
      </w:r>
      <w:r>
        <w:rPr/>
        <w:t>、根据资产、负债的账面价值与其计税基础之间的差额（未作为资产和负债确认的项目按照税法规 </w:t>
      </w:r>
      <w:r>
        <w:rPr>
          <w:spacing w:val="-1"/>
        </w:rPr>
        <w:t>定可以确定其计税基础的，确定该计税基础为其差额），按照预期收回该资产或清偿该负债期间的适用税</w:t>
      </w:r>
      <w:r>
        <w:rPr>
          <w:spacing w:val="-83"/>
        </w:rPr>
        <w:t> </w:t>
      </w:r>
      <w:r>
        <w:rPr>
          <w:spacing w:val="-83"/>
        </w:rPr>
      </w:r>
      <w:r>
        <w:rPr/>
        <w:t>率计算确认递延所得税资产或递延所得税负债。</w:t>
      </w:r>
    </w:p>
    <w:p>
      <w:pPr>
        <w:pStyle w:val="Heading4"/>
        <w:spacing w:line="266" w:lineRule="auto" w:before="16"/>
        <w:ind w:left="154" w:right="1131" w:firstLine="420"/>
        <w:jc w:val="both"/>
      </w:pPr>
      <w:r>
        <w:rPr>
          <w:rFonts w:ascii="Times New Roman" w:hAnsi="Times New Roman" w:cs="Times New Roman" w:eastAsia="Times New Roman" w:hint="default"/>
        </w:rPr>
        <w:t>2</w:t>
      </w:r>
      <w:r>
        <w:rPr/>
        <w:t>、递延所得税资产的确认以很可能取得用来抵扣可抵扣暂时性差异的应纳税所得额为限。资产负债 </w:t>
      </w:r>
      <w:r>
        <w:rPr>
          <w:spacing w:val="-1"/>
        </w:rPr>
        <w:t>表日，有确凿证据表明未来期间很可能获得足够的应纳税所得额用来抵扣可抵扣暂时性差异的，确认以前</w:t>
      </w:r>
      <w:r>
        <w:rPr>
          <w:spacing w:val="-81"/>
        </w:rPr>
        <w:t> </w:t>
      </w:r>
      <w:r>
        <w:rPr>
          <w:spacing w:val="-81"/>
        </w:rPr>
      </w:r>
      <w:r>
        <w:rPr>
          <w:spacing w:val="-1"/>
        </w:rPr>
        <w:t>会计期间未确认的递延所得税资产。如未来期间很可能无法获得足够的应纳税所得额用以抵扣递延所得税</w:t>
      </w:r>
      <w:r>
        <w:rPr>
          <w:spacing w:val="-81"/>
        </w:rPr>
        <w:t> </w:t>
      </w:r>
      <w:r>
        <w:rPr>
          <w:spacing w:val="-81"/>
        </w:rPr>
      </w:r>
      <w:r>
        <w:rPr/>
        <w:t>资产的，则减记递延所得税资产的账面价值。</w:t>
      </w:r>
    </w:p>
    <w:p>
      <w:pPr>
        <w:pStyle w:val="Heading4"/>
        <w:spacing w:line="240" w:lineRule="auto" w:before="14"/>
        <w:ind w:left="574" w:right="0"/>
        <w:jc w:val="left"/>
      </w:pPr>
      <w:r>
        <w:rPr>
          <w:rFonts w:ascii="Times New Roman" w:hAnsi="Times New Roman" w:cs="Times New Roman" w:eastAsia="Times New Roman" w:hint="default"/>
        </w:rPr>
        <w:t>3</w:t>
      </w:r>
      <w:r>
        <w:rPr/>
        <w:t>、对与子公司及联营企业投资相关的应纳税暂时性差异，确认递延所得税负债，除非本公司能够控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73" w:lineRule="auto" w:before="35"/>
        <w:ind w:right="1130"/>
        <w:jc w:val="both"/>
      </w:pPr>
      <w:r>
        <w:rPr>
          <w:spacing w:val="-1"/>
        </w:rPr>
        <w:t>制暂时性差异转回的时间且该暂时性差异在可预见的未来很可能不会转回。对与子公司及联营企业投资相</w:t>
      </w:r>
      <w:r>
        <w:rPr>
          <w:spacing w:val="-80"/>
        </w:rPr>
        <w:t> </w:t>
      </w:r>
      <w:r>
        <w:rPr>
          <w:spacing w:val="-80"/>
        </w:rPr>
      </w:r>
      <w:r>
        <w:rPr>
          <w:spacing w:val="-1"/>
        </w:rPr>
        <w:t>关的可抵扣暂时性差异，当该暂时性差异在可预见的未来很可能转回且未来很可能获得用来抵扣可抵扣暂</w:t>
      </w:r>
      <w:r>
        <w:rPr>
          <w:spacing w:val="-81"/>
        </w:rPr>
        <w:t> </w:t>
      </w:r>
      <w:r>
        <w:rPr>
          <w:spacing w:val="-81"/>
        </w:rPr>
      </w:r>
      <w:r>
        <w:rPr/>
        <w:t>时性差异的应纳税所得额时，确认递延所得税资产。</w:t>
      </w:r>
    </w:p>
    <w:p>
      <w:pPr>
        <w:spacing w:line="240" w:lineRule="auto" w:before="8"/>
        <w:rPr>
          <w:rFonts w:ascii="宋体" w:hAnsi="宋体" w:cs="宋体" w:eastAsia="宋体" w:hint="default"/>
          <w:sz w:val="23"/>
          <w:szCs w:val="23"/>
        </w:rPr>
      </w:pPr>
    </w:p>
    <w:p>
      <w:pPr>
        <w:pStyle w:val="Heading3"/>
        <w:spacing w:line="240" w:lineRule="auto"/>
        <w:ind w:left="153" w:right="0"/>
        <w:jc w:val="both"/>
        <w:rPr>
          <w:b w:val="0"/>
          <w:bCs w:val="0"/>
        </w:rPr>
      </w:pPr>
      <w:bookmarkStart w:name="27、租赁" w:id="163"/>
      <w:bookmarkEnd w:id="163"/>
      <w:r>
        <w:rPr>
          <w:b w:val="0"/>
          <w:bCs w:val="0"/>
        </w:rPr>
      </w:r>
      <w:r>
        <w:rPr>
          <w:rFonts w:ascii="Times New Roman" w:hAnsi="Times New Roman" w:cs="Times New Roman" w:eastAsia="Times New Roman" w:hint="default"/>
        </w:rPr>
        <w:t>27</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164"/>
      <w:bookmarkEnd w:id="16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0"/>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w:t>
      </w:r>
    </w:p>
    <w:p>
      <w:pPr>
        <w:pStyle w:val="Heading4"/>
        <w:spacing w:line="240" w:lineRule="auto" w:before="22"/>
        <w:ind w:left="154" w:right="0"/>
        <w:jc w:val="both"/>
      </w:pPr>
      <w:r>
        <w:rPr/>
        <w:t>入当期损益。或有租金于实际发生时计入当期损益。</w:t>
      </w:r>
    </w:p>
    <w:p>
      <w:pPr>
        <w:pStyle w:val="Heading4"/>
        <w:spacing w:line="256" w:lineRule="auto" w:before="37"/>
        <w:ind w:left="574" w:right="0"/>
        <w:jc w:val="left"/>
      </w:pPr>
      <w:r>
        <w:rPr/>
        <w:t>（</w:t>
      </w:r>
      <w:r>
        <w:rPr>
          <w:rFonts w:ascii="Times New Roman" w:hAnsi="Times New Roman" w:cs="Times New Roman" w:eastAsia="Times New Roman" w:hint="default"/>
        </w:rPr>
        <w:t>2</w:t>
      </w:r>
      <w:r>
        <w:rPr/>
        <w:t>）本公司作为出租人记录经营租赁业务 </w:t>
      </w:r>
      <w:r>
        <w:rPr>
          <w:spacing w:val="-1"/>
        </w:rPr>
        <w:t>经营租赁的租金收入在租赁期内的各个期间按直线法确认为当期损益。对金额较大的初始直接费用于</w:t>
      </w:r>
    </w:p>
    <w:p>
      <w:pPr>
        <w:pStyle w:val="Heading4"/>
        <w:spacing w:line="273" w:lineRule="auto" w:before="22"/>
        <w:ind w:left="154" w:right="1131"/>
        <w:jc w:val="both"/>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融资租赁的会计处理方法" w:id="165"/>
      <w:bookmarkEnd w:id="16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4"/>
        <w:spacing w:line="256" w:lineRule="auto" w:before="0"/>
        <w:ind w:left="574" w:right="0"/>
        <w:jc w:val="left"/>
      </w:pPr>
      <w:r>
        <w:rPr/>
        <w:t>（</w:t>
      </w:r>
      <w:r>
        <w:rPr>
          <w:rFonts w:ascii="Times New Roman" w:hAnsi="Times New Roman" w:cs="Times New Roman" w:eastAsia="Times New Roman" w:hint="default"/>
        </w:rPr>
        <w:t>1</w:t>
      </w:r>
      <w:r>
        <w:rPr/>
        <w:t>）本公司作为承租人记录融资租赁业务 </w:t>
      </w:r>
      <w:r>
        <w:rPr>
          <w:spacing w:val="-1"/>
        </w:rPr>
        <w:t>于租赁期开始日，将租赁开始日租赁资产的公允价值与最低租赁付款额现值两者中较低者作为租入资</w:t>
      </w:r>
    </w:p>
    <w:p>
      <w:pPr>
        <w:pStyle w:val="Heading4"/>
        <w:spacing w:line="273" w:lineRule="auto" w:before="22"/>
        <w:ind w:left="154" w:right="1131"/>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Heading4"/>
        <w:spacing w:line="273" w:lineRule="auto"/>
        <w:ind w:left="154" w:right="1118" w:firstLine="420"/>
        <w:jc w:val="left"/>
      </w:pPr>
      <w:r>
        <w:rPr>
          <w:spacing w:val="-1"/>
        </w:rPr>
        <w:t>未确认融资费用在租赁期内采用实际利率法计算确认当期的融资费用。或有租金于实际发生时计入当</w:t>
      </w:r>
      <w:r>
        <w:rPr/>
        <w:t> 期损益。</w:t>
      </w:r>
    </w:p>
    <w:p>
      <w:pPr>
        <w:pStyle w:val="Heading4"/>
        <w:spacing w:line="256" w:lineRule="auto"/>
        <w:ind w:left="574" w:right="1302"/>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于租赁期开始日，将租赁开始日最低租赁收款额与初始直接费用之和作为应收融资租赁款的入账价</w:t>
      </w:r>
    </w:p>
    <w:p>
      <w:pPr>
        <w:pStyle w:val="Heading4"/>
        <w:spacing w:line="273" w:lineRule="auto" w:before="22"/>
        <w:ind w:left="154" w:right="1131"/>
        <w:jc w:val="both"/>
      </w:pP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Heading4"/>
        <w:spacing w:line="273" w:lineRule="auto"/>
        <w:ind w:left="154" w:right="1118" w:firstLine="420"/>
        <w:jc w:val="left"/>
      </w:pPr>
      <w:r>
        <w:rPr>
          <w:spacing w:val="-1"/>
        </w:rPr>
        <w:t>未实现融资收益在租赁期内采用实际利率法计算确认当期的融资收入。或有租金于实际发生时计入当</w:t>
      </w:r>
      <w:r>
        <w:rPr/>
        <w:t> 期损益。</w:t>
      </w:r>
    </w:p>
    <w:p>
      <w:pPr>
        <w:spacing w:line="240" w:lineRule="auto" w:before="8"/>
        <w:rPr>
          <w:rFonts w:ascii="宋体" w:hAnsi="宋体" w:cs="宋体" w:eastAsia="宋体" w:hint="default"/>
          <w:sz w:val="23"/>
          <w:szCs w:val="23"/>
        </w:rPr>
      </w:pPr>
    </w:p>
    <w:p>
      <w:pPr>
        <w:pStyle w:val="Heading3"/>
        <w:spacing w:line="240" w:lineRule="auto"/>
        <w:ind w:right="0"/>
        <w:jc w:val="both"/>
        <w:rPr>
          <w:b w:val="0"/>
          <w:bCs w:val="0"/>
        </w:rPr>
      </w:pPr>
      <w:bookmarkStart w:name="28、其他重要的会计政策和会计估计" w:id="166"/>
      <w:bookmarkEnd w:id="166"/>
      <w:r>
        <w:rPr>
          <w:b w:val="0"/>
          <w:bCs w:val="0"/>
        </w:rPr>
      </w:r>
      <w:r>
        <w:rPr>
          <w:rFonts w:ascii="Times New Roman" w:hAnsi="Times New Roman" w:cs="Times New Roman" w:eastAsia="Times New Roman" w:hint="default"/>
        </w:rPr>
        <w:t>28</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29、重要会计政策和会计估计变更" w:id="167"/>
      <w:bookmarkEnd w:id="167"/>
      <w:r>
        <w:rPr>
          <w:b w:val="0"/>
          <w:bCs w:val="0"/>
        </w:rPr>
      </w:r>
      <w:r>
        <w:rPr>
          <w:rFonts w:ascii="Times New Roman" w:hAnsi="Times New Roman" w:cs="Times New Roman" w:eastAsia="Times New Roman" w:hint="default"/>
        </w:rPr>
        <w:t>29</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重要会计政策变更" w:id="168"/>
      <w:bookmarkEnd w:id="16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388"/>
        <w:gridCol w:w="2411"/>
        <w:gridCol w:w="1771"/>
      </w:tblGrid>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86"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26" w:right="0"/>
              <w:jc w:val="left"/>
              <w:rPr>
                <w:rFonts w:ascii="宋体" w:hAnsi="宋体" w:cs="宋体" w:eastAsia="宋体" w:hint="default"/>
                <w:sz w:val="21"/>
                <w:szCs w:val="21"/>
              </w:rPr>
            </w:pPr>
            <w:r>
              <w:rPr>
                <w:rFonts w:ascii="宋体" w:hAnsi="宋体" w:cs="宋体" w:eastAsia="宋体" w:hint="default"/>
                <w:sz w:val="21"/>
                <w:szCs w:val="21"/>
              </w:rPr>
              <w:t>本公司根据财政部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年发布的《企业会计准则第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p>
            <w:pPr>
              <w:pStyle w:val="TableParagraph"/>
              <w:spacing w:line="256" w:lineRule="auto" w:before="20"/>
              <w:ind w:left="63" w:right="62"/>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长期股权投资》等八项会计准则变更了相关会计政策 并对比较财务报表进行了追溯调整，该八项新准则对本公</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840" w:right="29" w:hanging="810"/>
              <w:jc w:val="left"/>
              <w:rPr>
                <w:rFonts w:ascii="宋体" w:hAnsi="宋体" w:cs="宋体" w:eastAsia="宋体" w:hint="default"/>
                <w:sz w:val="18"/>
                <w:szCs w:val="18"/>
              </w:rPr>
            </w:pPr>
            <w:r>
              <w:rPr>
                <w:rFonts w:ascii="宋体" w:hAnsi="宋体" w:cs="宋体" w:eastAsia="宋体" w:hint="default"/>
                <w:sz w:val="18"/>
                <w:szCs w:val="18"/>
              </w:rPr>
              <w:t>公司第六届董事会第五次会议 审议通过</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388"/>
        <w:gridCol w:w="2411"/>
        <w:gridCol w:w="1771"/>
      </w:tblGrid>
      <w:tr>
        <w:trPr>
          <w:trHeight w:val="1611"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3" w:right="0"/>
              <w:jc w:val="left"/>
              <w:rPr>
                <w:rFonts w:ascii="宋体" w:hAnsi="宋体" w:cs="宋体" w:eastAsia="宋体" w:hint="default"/>
                <w:sz w:val="21"/>
                <w:szCs w:val="21"/>
              </w:rPr>
            </w:pPr>
            <w:r>
              <w:rPr>
                <w:rFonts w:ascii="宋体" w:hAnsi="宋体" w:cs="宋体" w:eastAsia="宋体" w:hint="default"/>
                <w:sz w:val="21"/>
                <w:szCs w:val="21"/>
              </w:rPr>
              <w:t>司财务报表的影响如下：长期股权投资中无控制、共同控</w:t>
            </w:r>
          </w:p>
          <w:p>
            <w:pPr>
              <w:pStyle w:val="TableParagraph"/>
              <w:spacing w:line="273" w:lineRule="auto" w:before="37"/>
              <w:ind w:left="63" w:right="62"/>
              <w:jc w:val="center"/>
              <w:rPr>
                <w:rFonts w:ascii="宋体" w:hAnsi="宋体" w:cs="宋体" w:eastAsia="宋体" w:hint="default"/>
                <w:sz w:val="21"/>
                <w:szCs w:val="21"/>
              </w:rPr>
            </w:pPr>
            <w:r>
              <w:rPr>
                <w:rFonts w:ascii="宋体" w:hAnsi="宋体" w:cs="宋体" w:eastAsia="宋体" w:hint="default"/>
                <w:sz w:val="21"/>
                <w:szCs w:val="21"/>
              </w:rPr>
              <w:t>制、重大影响的部分调整计入可供出售金融资产，金额为 原值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2,800,000.00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元，减值准备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800,000.00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元，净值</w:t>
            </w:r>
          </w:p>
          <w:p>
            <w:pPr>
              <w:pStyle w:val="TableParagraph"/>
              <w:spacing w:line="259" w:lineRule="auto"/>
              <w:ind w:left="22" w:right="2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2,000,000.00</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元；应付职工薪酬中养老保险、失业保险的发 生额和余额列入离职后福利科目中，无长期应付职工薪酬</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319.383026pt;margin-top:-93.106323pt;width:127pt;height:80.1pt;mso-position-horizontal-relative:page;mso-position-vertical-relative:paragraph;z-index:-975040"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w:pict>
      </w:r>
      <w:bookmarkStart w:name="（2）重要会计估计变更" w:id="169"/>
      <w:bookmarkEnd w:id="16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170"/>
      <w:bookmarkEnd w:id="17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171"/>
      <w:bookmarkEnd w:id="17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房屋建筑物计税额</w:t>
            </w:r>
            <w:r>
              <w:rPr>
                <w:rFonts w:ascii="Times New Roman" w:hAnsi="Times New Roman" w:cs="Times New Roman" w:eastAsia="Times New Roman" w:hint="default"/>
                <w:sz w:val="18"/>
                <w:szCs w:val="18"/>
              </w:rPr>
              <w:t>/</w:t>
            </w:r>
            <w:r>
              <w:rPr>
                <w:rFonts w:ascii="宋体" w:hAnsi="宋体" w:cs="宋体" w:eastAsia="宋体" w:hint="default"/>
                <w:sz w:val="18"/>
                <w:szCs w:val="18"/>
              </w:rPr>
              <w:t>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税收优惠" w:id="172"/>
      <w:bookmarkEnd w:id="17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79" w:firstLine="360"/>
        <w:jc w:val="both"/>
      </w:pPr>
      <w:r>
        <w:rPr>
          <w:rFonts w:ascii="Times New Roman" w:hAnsi="Times New Roman" w:cs="Times New Roman" w:eastAsia="Times New Roman" w:hint="default"/>
        </w:rPr>
        <w:t>1</w:t>
      </w:r>
      <w:r>
        <w:rPr/>
        <w:t>、本公司经成都市高新技术企业认定管理机构认定为高新技术企业，取得</w:t>
      </w:r>
      <w:r>
        <w:rPr>
          <w:spacing w:val="29"/>
        </w:rPr>
        <w:t> </w:t>
      </w:r>
      <w:r>
        <w:rPr>
          <w:rFonts w:ascii="Times New Roman" w:hAnsi="Times New Roman" w:cs="Times New Roman" w:eastAsia="Times New Roman" w:hint="default"/>
        </w:rPr>
        <w:t>“GF201151000392”</w:t>
      </w:r>
      <w:r>
        <w:rPr/>
        <w:t>号高新技术企业证书， 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2011</w:t>
      </w:r>
      <w:r>
        <w:rPr/>
        <w:t>至</w:t>
      </w:r>
      <w:r>
        <w:rPr>
          <w:rFonts w:ascii="Times New Roman" w:hAnsi="Times New Roman" w:cs="Times New Roman" w:eastAsia="Times New Roman" w:hint="default"/>
        </w:rPr>
        <w:t>2013</w:t>
      </w:r>
      <w:r>
        <w:rPr/>
        <w:t>年度享受国家高新技术企业</w:t>
      </w:r>
      <w:r>
        <w:rPr>
          <w:rFonts w:ascii="Times New Roman" w:hAnsi="Times New Roman" w:cs="Times New Roman" w:eastAsia="Times New Roman" w:hint="default"/>
        </w:rPr>
        <w:t>15%</w:t>
      </w:r>
      <w:r>
        <w:rPr/>
        <w:t>的所得税税率。公司于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月提出高新技术企业资格复审申请， 根据国家税务总局公告</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4</w:t>
      </w:r>
      <w:r>
        <w:rPr/>
        <w:t>号，本公司本年度所得税税率仍适用</w:t>
      </w:r>
      <w:r>
        <w:rPr>
          <w:rFonts w:ascii="Times New Roman" w:hAnsi="Times New Roman" w:cs="Times New Roman" w:eastAsia="Times New Roman" w:hint="default"/>
        </w:rPr>
        <w:t>15%</w:t>
      </w:r>
      <w:r>
        <w:rPr/>
        <w:t>。</w:t>
      </w:r>
    </w:p>
    <w:p>
      <w:pPr>
        <w:pStyle w:val="BodyText"/>
        <w:spacing w:line="240" w:lineRule="auto" w:before="51"/>
        <w:ind w:left="423" w:right="0"/>
        <w:jc w:val="left"/>
      </w:pPr>
      <w:r>
        <w:rPr>
          <w:rFonts w:ascii="Times New Roman" w:hAnsi="Times New Roman" w:cs="Times New Roman" w:eastAsia="Times New Roman" w:hint="default"/>
        </w:rPr>
        <w:t>2</w:t>
      </w:r>
      <w:r>
        <w:rPr/>
        <w:t>、本公司下属子公司成都三零瑞通移动通信有限公司经成都市高新技术企业认定管理机构认定为高新技术企业，取得</w:t>
      </w:r>
    </w:p>
    <w:p>
      <w:pPr>
        <w:spacing w:after="0" w:line="240" w:lineRule="auto"/>
        <w:jc w:val="left"/>
        <w:sectPr>
          <w:footerReference w:type="default" r:id="rId16"/>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“GF201151000019”</w:t>
      </w:r>
      <w:r>
        <w:rPr>
          <w:spacing w:val="-3"/>
        </w:rPr>
        <w:t>号高新技术企业证书，有效期</w:t>
      </w:r>
      <w:r>
        <w:rPr>
          <w:rFonts w:ascii="Times New Roman" w:hAnsi="Times New Roman" w:cs="Times New Roman" w:eastAsia="Times New Roman" w:hint="default"/>
          <w:spacing w:val="-3"/>
        </w:rPr>
        <w:t>3</w:t>
      </w:r>
      <w:r>
        <w:rPr>
          <w:spacing w:val="-3"/>
        </w:rPr>
        <w:t>年，</w:t>
      </w:r>
      <w:r>
        <w:rPr>
          <w:rFonts w:ascii="Times New Roman" w:hAnsi="Times New Roman" w:cs="Times New Roman" w:eastAsia="Times New Roman" w:hint="default"/>
          <w:spacing w:val="-3"/>
        </w:rPr>
        <w:t>2011</w:t>
      </w:r>
      <w:r>
        <w:rPr>
          <w:spacing w:val="-3"/>
        </w:rPr>
        <w:t>至</w:t>
      </w:r>
      <w:r>
        <w:rPr>
          <w:rFonts w:ascii="Times New Roman" w:hAnsi="Times New Roman" w:cs="Times New Roman" w:eastAsia="Times New Roman" w:hint="default"/>
          <w:spacing w:val="-3"/>
        </w:rPr>
        <w:t>2013</w:t>
      </w:r>
      <w:r>
        <w:rPr>
          <w:spacing w:val="-3"/>
        </w:rPr>
        <w:t>年度享受国家高新技术企业</w:t>
      </w:r>
      <w:r>
        <w:rPr>
          <w:rFonts w:ascii="Times New Roman" w:hAnsi="Times New Roman" w:cs="Times New Roman" w:eastAsia="Times New Roman" w:hint="default"/>
          <w:spacing w:val="-3"/>
        </w:rPr>
        <w:t>15%</w:t>
      </w:r>
      <w:r>
        <w:rPr>
          <w:spacing w:val="-3"/>
        </w:rPr>
        <w:t>的所得税税率。公司于</w:t>
      </w:r>
      <w:r>
        <w:rPr>
          <w:rFonts w:ascii="Times New Roman" w:hAnsi="Times New Roman" w:cs="Times New Roman" w:eastAsia="Times New Roman" w:hint="default"/>
          <w:spacing w:val="-3"/>
        </w:rPr>
        <w:t>2014</w:t>
      </w:r>
    </w:p>
    <w:p>
      <w:pPr>
        <w:pStyle w:val="BodyText"/>
        <w:spacing w:line="240" w:lineRule="auto" w:before="64"/>
        <w:ind w:right="0"/>
        <w:jc w:val="left"/>
      </w:pPr>
      <w:r>
        <w:rPr/>
        <w:t>年</w:t>
      </w:r>
      <w:r>
        <w:rPr>
          <w:rFonts w:ascii="Times New Roman" w:hAnsi="Times New Roman" w:cs="Times New Roman" w:eastAsia="Times New Roman" w:hint="default"/>
        </w:rPr>
        <w:t>8</w:t>
      </w:r>
      <w:r>
        <w:rPr/>
        <w:t>月提出高新技术企业资格复审申请，根据国家税务总局公告</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4</w:t>
      </w:r>
      <w:r>
        <w:rPr/>
        <w:t>号，本公司本年度所得税税率仍适用</w:t>
      </w:r>
      <w:r>
        <w:rPr>
          <w:rFonts w:ascii="Times New Roman" w:hAnsi="Times New Roman" w:cs="Times New Roman" w:eastAsia="Times New Roman" w:hint="default"/>
        </w:rPr>
        <w:t>15%</w:t>
      </w:r>
      <w:r>
        <w:rPr/>
        <w:t>。</w:t>
      </w:r>
    </w:p>
    <w:p>
      <w:pPr>
        <w:pStyle w:val="BodyText"/>
        <w:spacing w:line="302" w:lineRule="auto" w:before="101"/>
        <w:ind w:right="1132" w:firstLine="270"/>
        <w:jc w:val="both"/>
      </w:pPr>
      <w:r>
        <w:rPr>
          <w:rFonts w:ascii="Times New Roman" w:hAnsi="Times New Roman" w:cs="Times New Roman" w:eastAsia="Times New Roman" w:hint="default"/>
          <w:spacing w:val="4"/>
        </w:rPr>
        <w:t>3</w:t>
      </w:r>
      <w:r>
        <w:rPr>
          <w:spacing w:val="4"/>
        </w:rPr>
        <w:t>、本公司下属子公司上海卫士通网络安全有限公司经上海市高新技术企业认定管理机构认定为高新技术企业，取得</w:t>
      </w:r>
      <w:r>
        <w:rPr/>
        <w:t> </w:t>
      </w:r>
      <w:r>
        <w:rPr>
          <w:rFonts w:ascii="Times New Roman" w:hAnsi="Times New Roman" w:cs="Times New Roman" w:eastAsia="Times New Roman" w:hint="default"/>
          <w:spacing w:val="-2"/>
        </w:rPr>
        <w:t>“GF201131000637”</w:t>
      </w:r>
      <w:r>
        <w:rPr>
          <w:spacing w:val="-2"/>
        </w:rPr>
        <w:t>号高新技术企业证书，有效期三年，</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2013</w:t>
      </w:r>
      <w:r>
        <w:rPr>
          <w:spacing w:val="-2"/>
        </w:rPr>
        <w:t>年度享受国家高新技术企业</w:t>
      </w:r>
      <w:r>
        <w:rPr>
          <w:rFonts w:ascii="Times New Roman" w:hAnsi="Times New Roman" w:cs="Times New Roman" w:eastAsia="Times New Roman" w:hint="default"/>
          <w:spacing w:val="-2"/>
        </w:rPr>
        <w:t>15%</w:t>
      </w:r>
      <w:r>
        <w:rPr>
          <w:spacing w:val="-2"/>
        </w:rPr>
        <w:t>的所得税税率。本年到</w:t>
      </w:r>
      <w:r>
        <w:rPr>
          <w:spacing w:val="-40"/>
        </w:rPr>
        <w:t> </w:t>
      </w:r>
      <w:r>
        <w:rPr>
          <w:spacing w:val="-40"/>
        </w:rPr>
      </w:r>
      <w:r>
        <w:rPr/>
        <w:t>期后尚未申请认定高新技术企业，本年度适用税率为</w:t>
      </w:r>
      <w:r>
        <w:rPr>
          <w:rFonts w:ascii="Times New Roman" w:hAnsi="Times New Roman" w:cs="Times New Roman" w:eastAsia="Times New Roman" w:hint="default"/>
        </w:rPr>
        <w:t>25%</w:t>
      </w:r>
      <w:r>
        <w:rPr/>
        <w:t>。</w:t>
      </w:r>
    </w:p>
    <w:p>
      <w:pPr>
        <w:pStyle w:val="BodyText"/>
        <w:spacing w:line="300" w:lineRule="auto" w:before="50"/>
        <w:ind w:right="1033" w:firstLine="270"/>
        <w:jc w:val="left"/>
      </w:pPr>
      <w:r>
        <w:rPr>
          <w:rFonts w:ascii="Times New Roman" w:hAnsi="Times New Roman" w:cs="Times New Roman" w:eastAsia="Times New Roman" w:hint="default"/>
        </w:rPr>
        <w:t>4</w:t>
      </w:r>
      <w:r>
        <w:rPr/>
        <w:t>、本公司下属子公司四川卫士通信息安全平台技术有限公司经成都市高新技术企业认定管理机构认定为高新技术企业， 取得</w:t>
      </w:r>
      <w:r>
        <w:rPr>
          <w:rFonts w:ascii="Times New Roman" w:hAnsi="Times New Roman" w:cs="Times New Roman" w:eastAsia="Times New Roman" w:hint="default"/>
        </w:rPr>
        <w:t>“GF201151000281”</w:t>
      </w:r>
      <w:r>
        <w:rPr/>
        <w:t>号高新技术企业证书，有效期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2011</w:t>
      </w:r>
      <w:r>
        <w:rPr/>
        <w:t>至</w:t>
      </w:r>
      <w:r>
        <w:rPr>
          <w:rFonts w:ascii="Times New Roman" w:hAnsi="Times New Roman" w:cs="Times New Roman" w:eastAsia="Times New Roman" w:hint="default"/>
        </w:rPr>
        <w:t>2013</w:t>
      </w:r>
      <w:r>
        <w:rPr/>
        <w:t>年度享受国家高新技术企业</w:t>
      </w:r>
      <w:r>
        <w:rPr>
          <w:rFonts w:ascii="Times New Roman" w:hAnsi="Times New Roman" w:cs="Times New Roman" w:eastAsia="Times New Roman" w:hint="default"/>
        </w:rPr>
        <w:t>15%</w:t>
      </w:r>
      <w:r>
        <w:rPr/>
        <w:t>的所得税税率。公司</w:t>
      </w:r>
      <w:r>
        <w:rPr>
          <w:spacing w:val="-85"/>
        </w:rPr>
        <w:t> </w:t>
      </w:r>
      <w:r>
        <w:rPr>
          <w:spacing w:val="-85"/>
        </w:rPr>
      </w:r>
      <w:r>
        <w:rPr/>
        <w:t>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月提出高新技术企业资格复审申请，根据国家税务总局公告</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4</w:t>
      </w:r>
      <w:r>
        <w:rPr/>
        <w:t>号，本公司本年度所得税税率仍适用</w:t>
      </w:r>
      <w:r>
        <w:rPr>
          <w:rFonts w:ascii="Times New Roman" w:hAnsi="Times New Roman" w:cs="Times New Roman" w:eastAsia="Times New Roman" w:hint="default"/>
        </w:rPr>
        <w:t>15%</w:t>
      </w:r>
      <w:r>
        <w:rPr/>
        <w:t>。</w:t>
      </w:r>
    </w:p>
    <w:p>
      <w:pPr>
        <w:pStyle w:val="BodyText"/>
        <w:spacing w:line="300" w:lineRule="auto" w:before="51"/>
        <w:ind w:right="1132" w:firstLine="270"/>
        <w:jc w:val="both"/>
      </w:pPr>
      <w:r>
        <w:rPr>
          <w:rFonts w:ascii="Times New Roman" w:hAnsi="Times New Roman" w:cs="Times New Roman" w:eastAsia="Times New Roman" w:hint="default"/>
        </w:rPr>
        <w:t>5</w:t>
      </w:r>
      <w:r>
        <w:rPr/>
        <w:t>、本公司下属子公司成都三零盛安信息系统有限公司经成都市高新技术企业认定管理机构认定为高新技术企业，取得 </w:t>
      </w:r>
      <w:r>
        <w:rPr>
          <w:rFonts w:ascii="Times New Roman" w:hAnsi="Times New Roman" w:cs="Times New Roman" w:eastAsia="Times New Roman" w:hint="default"/>
          <w:spacing w:val="-3"/>
        </w:rPr>
        <w:t>“GF201151000397”</w:t>
      </w:r>
      <w:r>
        <w:rPr>
          <w:spacing w:val="-3"/>
        </w:rPr>
        <w:t>号高新技术企业证书，有效期</w:t>
      </w:r>
      <w:r>
        <w:rPr>
          <w:rFonts w:ascii="Times New Roman" w:hAnsi="Times New Roman" w:cs="Times New Roman" w:eastAsia="Times New Roman" w:hint="default"/>
          <w:spacing w:val="-3"/>
        </w:rPr>
        <w:t>3</w:t>
      </w:r>
      <w:r>
        <w:rPr>
          <w:spacing w:val="-3"/>
        </w:rPr>
        <w:t>年，</w:t>
      </w:r>
      <w:r>
        <w:rPr>
          <w:rFonts w:ascii="Times New Roman" w:hAnsi="Times New Roman" w:cs="Times New Roman" w:eastAsia="Times New Roman" w:hint="default"/>
          <w:spacing w:val="-3"/>
        </w:rPr>
        <w:t>2011</w:t>
      </w:r>
      <w:r>
        <w:rPr>
          <w:spacing w:val="-3"/>
        </w:rPr>
        <w:t>至</w:t>
      </w:r>
      <w:r>
        <w:rPr>
          <w:rFonts w:ascii="Times New Roman" w:hAnsi="Times New Roman" w:cs="Times New Roman" w:eastAsia="Times New Roman" w:hint="default"/>
          <w:spacing w:val="-3"/>
        </w:rPr>
        <w:t>2013</w:t>
      </w:r>
      <w:r>
        <w:rPr>
          <w:spacing w:val="-3"/>
        </w:rPr>
        <w:t>年度享受国家高新技术企业</w:t>
      </w:r>
      <w:r>
        <w:rPr>
          <w:rFonts w:ascii="Times New Roman" w:hAnsi="Times New Roman" w:cs="Times New Roman" w:eastAsia="Times New Roman" w:hint="default"/>
          <w:spacing w:val="-3"/>
        </w:rPr>
        <w:t>15%</w:t>
      </w:r>
      <w:r>
        <w:rPr>
          <w:spacing w:val="-3"/>
        </w:rPr>
        <w:t>的所得税税率。公司于</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8</w:t>
      </w:r>
      <w:r>
        <w:rPr/>
        <w:t>月提出高新技术企业资格复审申请，根据国家税务总局公告</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4</w:t>
      </w:r>
      <w:r>
        <w:rPr/>
        <w:t>号，本公司本年度所得税税率仍适用</w:t>
      </w:r>
      <w:r>
        <w:rPr>
          <w:rFonts w:ascii="Times New Roman" w:hAnsi="Times New Roman" w:cs="Times New Roman" w:eastAsia="Times New Roman" w:hint="default"/>
        </w:rPr>
        <w:t>15%</w:t>
      </w:r>
      <w:r>
        <w:rPr/>
        <w:t>。</w:t>
      </w:r>
    </w:p>
    <w:p>
      <w:pPr>
        <w:pStyle w:val="BodyText"/>
        <w:spacing w:line="300" w:lineRule="auto" w:before="51"/>
        <w:ind w:right="1130" w:firstLine="270"/>
        <w:jc w:val="both"/>
      </w:pPr>
      <w:r>
        <w:rPr>
          <w:rFonts w:ascii="Times New Roman" w:hAnsi="Times New Roman" w:cs="Times New Roman" w:eastAsia="Times New Roman" w:hint="default"/>
        </w:rPr>
        <w:t>6</w:t>
      </w:r>
      <w:r>
        <w:rPr/>
        <w:t>、本公司下属子公司成都卫士通信息安全技术有限公司依据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[2011]58</w:t>
      </w:r>
      <w:r>
        <w:rPr/>
        <w:t>号</w:t>
      </w:r>
      <w:r>
        <w:rPr>
          <w:rFonts w:ascii="Times New Roman" w:hAnsi="Times New Roman" w:cs="Times New Roman" w:eastAsia="Times New Roman" w:hint="default"/>
        </w:rPr>
        <w:t>”</w:t>
      </w:r>
      <w:r>
        <w:rPr/>
        <w:t>《关于深入实施西部大开发战略有关税收 </w:t>
      </w:r>
      <w:r>
        <w:rPr>
          <w:spacing w:val="-1"/>
        </w:rPr>
        <w:t>政策问题的通知》规定，自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日，享受设在西部地区的鼓励类产业企业减按</w:t>
      </w:r>
      <w:r>
        <w:rPr>
          <w:rFonts w:ascii="Times New Roman" w:hAnsi="Times New Roman" w:cs="Times New Roman" w:eastAsia="Times New Roman" w:hint="default"/>
          <w:spacing w:val="-1"/>
        </w:rPr>
        <w:t>15%</w:t>
      </w:r>
      <w:r>
        <w:rPr>
          <w:spacing w:val="-1"/>
        </w:rPr>
        <w:t>的税率征收企业</w:t>
      </w:r>
      <w:r>
        <w:rPr>
          <w:spacing w:val="-81"/>
        </w:rPr>
        <w:t> </w:t>
      </w:r>
      <w:r>
        <w:rPr/>
        <w:t>所得税的税收优惠。</w:t>
      </w:r>
    </w:p>
    <w:p>
      <w:pPr>
        <w:pStyle w:val="BodyText"/>
        <w:spacing w:line="300" w:lineRule="auto" w:before="71"/>
        <w:ind w:right="1132" w:firstLine="270"/>
        <w:jc w:val="both"/>
      </w:pPr>
      <w:r>
        <w:rPr>
          <w:rFonts w:ascii="Times New Roman" w:hAnsi="Times New Roman" w:cs="Times New Roman" w:eastAsia="Times New Roman" w:hint="default"/>
          <w:spacing w:val="8"/>
        </w:rPr>
        <w:t>7</w:t>
      </w:r>
      <w:r>
        <w:rPr>
          <w:spacing w:val="8"/>
        </w:rPr>
        <w:t>、本公司下属子公司成都三零嘉微电子有限公司经成都市高新技术企业认定管理机构认定为高新技术企业，取得</w:t>
      </w:r>
      <w:r>
        <w:rPr/>
        <w:t> </w:t>
      </w:r>
      <w:r>
        <w:rPr>
          <w:rFonts w:ascii="Times New Roman" w:hAnsi="Times New Roman" w:cs="Times New Roman" w:eastAsia="Times New Roman" w:hint="default"/>
          <w:spacing w:val="-3"/>
        </w:rPr>
        <w:t>“GF201151000090”</w:t>
      </w:r>
      <w:r>
        <w:rPr>
          <w:spacing w:val="-3"/>
        </w:rPr>
        <w:t>号高新技术企业证书，有效期</w:t>
      </w:r>
      <w:r>
        <w:rPr>
          <w:rFonts w:ascii="Times New Roman" w:hAnsi="Times New Roman" w:cs="Times New Roman" w:eastAsia="Times New Roman" w:hint="default"/>
          <w:spacing w:val="-3"/>
        </w:rPr>
        <w:t>3</w:t>
      </w:r>
      <w:r>
        <w:rPr>
          <w:spacing w:val="-3"/>
        </w:rPr>
        <w:t>年，</w:t>
      </w:r>
      <w:r>
        <w:rPr>
          <w:rFonts w:ascii="Times New Roman" w:hAnsi="Times New Roman" w:cs="Times New Roman" w:eastAsia="Times New Roman" w:hint="default"/>
          <w:spacing w:val="-3"/>
        </w:rPr>
        <w:t>2011</w:t>
      </w:r>
      <w:r>
        <w:rPr>
          <w:spacing w:val="-3"/>
        </w:rPr>
        <w:t>至</w:t>
      </w:r>
      <w:r>
        <w:rPr>
          <w:rFonts w:ascii="Times New Roman" w:hAnsi="Times New Roman" w:cs="Times New Roman" w:eastAsia="Times New Roman" w:hint="default"/>
          <w:spacing w:val="-3"/>
        </w:rPr>
        <w:t>2013</w:t>
      </w:r>
      <w:r>
        <w:rPr>
          <w:spacing w:val="-3"/>
        </w:rPr>
        <w:t>年度享受国家高新技术企业</w:t>
      </w:r>
      <w:r>
        <w:rPr>
          <w:rFonts w:ascii="Times New Roman" w:hAnsi="Times New Roman" w:cs="Times New Roman" w:eastAsia="Times New Roman" w:hint="default"/>
          <w:spacing w:val="-3"/>
        </w:rPr>
        <w:t>15%</w:t>
      </w:r>
      <w:r>
        <w:rPr>
          <w:spacing w:val="-3"/>
        </w:rPr>
        <w:t>的所得税税率。公司于</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8</w:t>
      </w:r>
      <w:r>
        <w:rPr/>
        <w:t>月提出高新技术企业资格复审申请，根据国家税务总局公告</w:t>
      </w:r>
      <w:r>
        <w:rPr>
          <w:rFonts w:ascii="Times New Roman" w:hAnsi="Times New Roman" w:cs="Times New Roman" w:eastAsia="Times New Roman" w:hint="default"/>
        </w:rPr>
        <w:t>[2011]</w:t>
      </w:r>
      <w:r>
        <w:rPr/>
        <w:t>第</w:t>
      </w:r>
      <w:r>
        <w:rPr>
          <w:rFonts w:ascii="Times New Roman" w:hAnsi="Times New Roman" w:cs="Times New Roman" w:eastAsia="Times New Roman" w:hint="default"/>
        </w:rPr>
        <w:t>4</w:t>
      </w:r>
      <w:r>
        <w:rPr/>
        <w:t>号，本公司本年度所得税税率仍适用</w:t>
      </w:r>
      <w:r>
        <w:rPr>
          <w:rFonts w:ascii="Times New Roman" w:hAnsi="Times New Roman" w:cs="Times New Roman" w:eastAsia="Times New Roman" w:hint="default"/>
        </w:rPr>
        <w:t>15%</w:t>
      </w:r>
      <w:r>
        <w:rPr/>
        <w:t>。</w:t>
      </w:r>
    </w:p>
    <w:p>
      <w:pPr>
        <w:spacing w:line="240" w:lineRule="auto" w:before="12"/>
        <w:rPr>
          <w:rFonts w:ascii="宋体" w:hAnsi="宋体" w:cs="宋体" w:eastAsia="宋体" w:hint="default"/>
          <w:sz w:val="21"/>
          <w:szCs w:val="21"/>
        </w:rPr>
      </w:pPr>
    </w:p>
    <w:p>
      <w:pPr>
        <w:pStyle w:val="Heading3"/>
        <w:spacing w:line="240" w:lineRule="auto"/>
        <w:ind w:left="153" w:right="0"/>
        <w:jc w:val="left"/>
        <w:rPr>
          <w:b w:val="0"/>
          <w:bCs w:val="0"/>
        </w:rPr>
      </w:pPr>
      <w:bookmarkStart w:name="3、其他" w:id="173"/>
      <w:bookmarkEnd w:id="173"/>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309" w:lineRule="auto"/>
        <w:ind w:right="1130" w:firstLine="363"/>
        <w:jc w:val="both"/>
      </w:pPr>
      <w:r>
        <w:rPr>
          <w:rFonts w:ascii="Times New Roman" w:hAnsi="Times New Roman" w:cs="Times New Roman" w:eastAsia="Times New Roman" w:hint="default"/>
          <w:spacing w:val="-1"/>
        </w:rPr>
        <w:t>1</w:t>
      </w:r>
      <w:r>
        <w:rPr>
          <w:spacing w:val="-1"/>
        </w:rPr>
        <w:t>、根据财税</w:t>
      </w:r>
      <w:r>
        <w:rPr>
          <w:rFonts w:ascii="Times New Roman" w:hAnsi="Times New Roman" w:cs="Times New Roman" w:eastAsia="Times New Roman" w:hint="default"/>
          <w:spacing w:val="-1"/>
        </w:rPr>
        <w:t>[2011]100</w:t>
      </w:r>
      <w:r>
        <w:rPr>
          <w:spacing w:val="-1"/>
        </w:rPr>
        <w:t>号《财政部、国家税务总局关于软件产品增值税政策的通知》文件，除上海卫士通网络安全有限</w:t>
      </w:r>
      <w:r>
        <w:rPr/>
        <w:t> </w:t>
      </w:r>
      <w:r>
        <w:rPr>
          <w:spacing w:val="-2"/>
        </w:rPr>
        <w:t>公司、成都三零豪赛网络安全技术有限公司、成都三零嘉微电子有限公司外，本公司及下属其他子公司销售软件产品享受增</w:t>
      </w:r>
      <w:r>
        <w:rPr>
          <w:spacing w:val="-66"/>
        </w:rPr>
        <w:t> </w:t>
      </w:r>
      <w:r>
        <w:rPr>
          <w:spacing w:val="-66"/>
        </w:rPr>
      </w:r>
      <w:r>
        <w:rPr/>
        <w:t>值税即征即退政策。</w:t>
      </w:r>
    </w:p>
    <w:p>
      <w:pPr>
        <w:pStyle w:val="Heading4"/>
        <w:spacing w:line="240" w:lineRule="auto" w:before="37"/>
        <w:ind w:left="577" w:right="0"/>
        <w:jc w:val="left"/>
      </w:pPr>
      <w:r>
        <w:rPr>
          <w:rFonts w:ascii="Times New Roman" w:hAnsi="Times New Roman" w:cs="Times New Roman" w:eastAsia="Times New Roman" w:hint="default"/>
        </w:rPr>
        <w:t>2</w:t>
      </w:r>
      <w:r>
        <w:rPr/>
        <w:t>、本公司控股子公司上海卫士通网络安全有限公司适用城建税税率为</w:t>
      </w:r>
      <w:r>
        <w:rPr>
          <w:rFonts w:ascii="Times New Roman" w:hAnsi="Times New Roman" w:cs="Times New Roman" w:eastAsia="Times New Roman" w:hint="default"/>
        </w:rPr>
        <w:t>1%</w:t>
      </w:r>
      <w:r>
        <w:rPr/>
        <w:t>。</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合并财务报表项目注释" w:id="174"/>
      <w:bookmarkEnd w:id="174"/>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175"/>
      <w:bookmarkEnd w:id="175"/>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287,830.98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409,566.80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744,822,578.79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603,112,552.87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11,769,899.79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5,395,538.94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756,880,309.56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608,917,658.61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收票据" w:id="176"/>
      <w:bookmarkEnd w:id="176"/>
      <w:r>
        <w:rPr>
          <w:b w:val="0"/>
          <w:bCs w:val="0"/>
        </w:rPr>
      </w:r>
      <w:r>
        <w:rPr>
          <w:rFonts w:ascii="Times New Roman" w:hAnsi="Times New Roman" w:cs="Times New Roman" w:eastAsia="Times New Roman" w:hint="default"/>
        </w:rPr>
        <w:t>2</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177"/>
      <w:bookmarkEnd w:id="17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17"/>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12,668,000.00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19,119,800.00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23,921,600.00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12,668,000.00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背书或贴现且在资产负债表日尚未到期的应收票据" w:id="178"/>
      <w:bookmarkEnd w:id="178"/>
      <w:r>
        <w:rPr>
          <w:b w:val="0"/>
          <w:bCs w:val="0"/>
        </w:rPr>
      </w: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14,373,600.00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应收账款" w:id="179"/>
      <w:bookmarkEnd w:id="179"/>
      <w:r>
        <w:rPr>
          <w:b w:val="0"/>
          <w:bCs w:val="0"/>
        </w:rPr>
      </w: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180"/>
      <w:bookmarkEnd w:id="18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673,000,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427.45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73,056,6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30.43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10.86%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599,943,7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97.02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478,950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51,639,98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5.61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427,310,54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5.47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1,811,05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1,811,05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2,582,6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2,582,655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674,811,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482.85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74,867,6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85.83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599,943,7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97.02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481,533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,186.48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54,222,64</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1.01</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427,310,54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5.47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485,920,218.70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24,296,010.93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485,920,218.70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24,296,010.93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121,634,278.33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12,163,427.84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27,475,997.79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8,242,799.34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22,647,074.78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13,031,534.47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16,953,751.24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8,476,875.64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5,693,323.54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4,554,658.83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15,322,857.85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15,322,857.85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673,000,427.45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73,056,630.43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本期计提、收回或转回的坏账准备情况" w:id="181"/>
      <w:bookmarkEnd w:id="18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20,645,044.82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吊的应收账款情况" w:id="182"/>
      <w:bookmarkEnd w:id="182"/>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119"/>
        <w:gridCol w:w="1844"/>
        <w:gridCol w:w="2240"/>
        <w:gridCol w:w="2401"/>
      </w:tblGrid>
      <w:tr>
        <w:trPr>
          <w:trHeight w:val="742" w:hRule="exact"/>
        </w:trPr>
        <w:tc>
          <w:tcPr>
            <w:tcW w:w="31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2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5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40"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62"/>
              <w:ind w:left="796" w:right="33" w:hanging="76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 比例</w:t>
            </w:r>
            <w:r>
              <w:rPr>
                <w:rFonts w:ascii="Times New Roman" w:hAnsi="Times New Roman" w:cs="Times New Roman" w:eastAsia="Times New Roman" w:hint="default"/>
                <w:sz w:val="18"/>
                <w:szCs w:val="18"/>
              </w:rPr>
              <w:t>(%)</w:t>
            </w:r>
          </w:p>
        </w:tc>
        <w:tc>
          <w:tcPr>
            <w:tcW w:w="2401"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2"/>
              <w:ind w:left="112" w:right="0"/>
              <w:jc w:val="left"/>
              <w:rPr>
                <w:rFonts w:ascii="宋体" w:hAnsi="宋体" w:cs="宋体" w:eastAsia="宋体" w:hint="default"/>
                <w:sz w:val="18"/>
                <w:szCs w:val="18"/>
              </w:rPr>
            </w:pPr>
            <w:r>
              <w:rPr>
                <w:rFonts w:ascii="宋体" w:hAnsi="宋体" w:cs="宋体" w:eastAsia="宋体" w:hint="default"/>
                <w:sz w:val="18"/>
                <w:szCs w:val="18"/>
              </w:rPr>
              <w:t>相应计提坏账准备期末余额</w:t>
            </w:r>
          </w:p>
        </w:tc>
      </w:tr>
      <w:tr>
        <w:trPr>
          <w:trHeight w:val="426" w:hRule="exact"/>
        </w:trPr>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成都纵横六合科技有限公司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62,283,471.47</w:t>
            </w:r>
          </w:p>
        </w:tc>
        <w:tc>
          <w:tcPr>
            <w:tcW w:w="22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9.23</w:t>
            </w:r>
          </w:p>
        </w:tc>
        <w:tc>
          <w:tcPr>
            <w:tcW w:w="24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3,114,173.57</w:t>
            </w:r>
          </w:p>
        </w:tc>
      </w:tr>
      <w:tr>
        <w:trPr>
          <w:trHeight w:val="427" w:hRule="exact"/>
        </w:trPr>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D1</w:t>
            </w:r>
            <w:r>
              <w:rPr>
                <w:rFonts w:ascii="宋体" w:hAnsi="宋体" w:cs="宋体" w:eastAsia="宋体" w:hint="default"/>
                <w:sz w:val="18"/>
                <w:szCs w:val="18"/>
              </w:rPr>
              <w:t>单位</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49,125,940.00</w:t>
            </w:r>
          </w:p>
        </w:tc>
        <w:tc>
          <w:tcPr>
            <w:tcW w:w="22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7.28</w:t>
            </w:r>
          </w:p>
        </w:tc>
        <w:tc>
          <w:tcPr>
            <w:tcW w:w="24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pacing w:val="-1"/>
                <w:sz w:val="18"/>
              </w:rPr>
              <w:t>2,958,644.00</w:t>
            </w:r>
          </w:p>
        </w:tc>
      </w:tr>
      <w:tr>
        <w:trPr>
          <w:trHeight w:val="427" w:hRule="exact"/>
        </w:trPr>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29,050,640.79</w:t>
            </w:r>
          </w:p>
        </w:tc>
        <w:tc>
          <w:tcPr>
            <w:tcW w:w="22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4.31</w:t>
            </w:r>
          </w:p>
        </w:tc>
        <w:tc>
          <w:tcPr>
            <w:tcW w:w="24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pacing w:val="-1"/>
                <w:sz w:val="18"/>
              </w:rPr>
              <w:t>1,828,794.92</w:t>
            </w:r>
          </w:p>
        </w:tc>
      </w:tr>
      <w:tr>
        <w:trPr>
          <w:trHeight w:val="427" w:hRule="exact"/>
        </w:trPr>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岳池县教育技术装备所</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18,988,000.00</w:t>
            </w:r>
          </w:p>
        </w:tc>
        <w:tc>
          <w:tcPr>
            <w:tcW w:w="22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2.81</w:t>
            </w:r>
          </w:p>
        </w:tc>
        <w:tc>
          <w:tcPr>
            <w:tcW w:w="24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z w:val="18"/>
              </w:rPr>
              <w:t>949,400.00</w:t>
            </w:r>
          </w:p>
        </w:tc>
      </w:tr>
      <w:tr>
        <w:trPr>
          <w:trHeight w:val="427" w:hRule="exact"/>
        </w:trPr>
        <w:tc>
          <w:tcPr>
            <w:tcW w:w="31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普兴移动通讯设备有限公司</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18,142,125.00</w:t>
            </w:r>
          </w:p>
        </w:tc>
        <w:tc>
          <w:tcPr>
            <w:tcW w:w="22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2.69</w:t>
            </w:r>
          </w:p>
        </w:tc>
        <w:tc>
          <w:tcPr>
            <w:tcW w:w="24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z w:val="18"/>
              </w:rPr>
              <w:t>907,106.25</w:t>
            </w:r>
          </w:p>
        </w:tc>
      </w:tr>
      <w:tr>
        <w:trPr>
          <w:trHeight w:val="427" w:hRule="exact"/>
        </w:trPr>
        <w:tc>
          <w:tcPr>
            <w:tcW w:w="3119" w:type="dxa"/>
            <w:tcBorders>
              <w:top w:val="single" w:sz="8" w:space="0" w:color="000000"/>
              <w:left w:val="single" w:sz="6" w:space="0" w:color="000000"/>
              <w:bottom w:val="single" w:sz="8" w:space="0" w:color="000000"/>
              <w:right w:val="single" w:sz="6" w:space="0" w:color="000000"/>
            </w:tcBorders>
          </w:tcPr>
          <w:p>
            <w:pPr>
              <w:pStyle w:val="TableParagraph"/>
              <w:tabs>
                <w:tab w:pos="470" w:val="left" w:leader="none"/>
              </w:tabs>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4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177,590,177.26</w:t>
            </w:r>
          </w:p>
        </w:tc>
        <w:tc>
          <w:tcPr>
            <w:tcW w:w="22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26.32</w:t>
            </w:r>
          </w:p>
        </w:tc>
        <w:tc>
          <w:tcPr>
            <w:tcW w:w="240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pacing w:val="-1"/>
                <w:sz w:val="18"/>
              </w:rPr>
              <w:t>9,758,118.74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before="35"/>
        <w:ind w:right="0"/>
        <w:jc w:val="left"/>
        <w:rPr>
          <w:b w:val="0"/>
          <w:bCs w:val="0"/>
        </w:rPr>
      </w:pPr>
      <w:bookmarkStart w:name="4、预付款项" w:id="183"/>
      <w:bookmarkEnd w:id="183"/>
      <w:r>
        <w:rPr>
          <w:b w:val="0"/>
          <w:bCs w:val="0"/>
        </w:rPr>
      </w: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184"/>
      <w:bookmarkEnd w:id="18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22,067,935.77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22,417,643.49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1,784,719.68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1,227,076.96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579,609.10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67,371.95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79,401.95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55,975.28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24,511,666.50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23,768,067.68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2）按预付对象归集的期末余额前五吊的预付款情况" w:id="185"/>
      <w:bookmarkEnd w:id="18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990"/>
        <w:gridCol w:w="1559"/>
        <w:gridCol w:w="1985"/>
        <w:gridCol w:w="2127"/>
      </w:tblGrid>
      <w:tr>
        <w:trPr>
          <w:trHeight w:val="742" w:hRule="exact"/>
        </w:trPr>
        <w:tc>
          <w:tcPr>
            <w:tcW w:w="299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62"/>
              <w:ind w:left="279" w:right="83" w:hanging="195"/>
              <w:jc w:val="left"/>
              <w:rPr>
                <w:rFonts w:ascii="宋体" w:hAnsi="宋体" w:cs="宋体" w:eastAsia="宋体" w:hint="default"/>
                <w:sz w:val="18"/>
                <w:szCs w:val="18"/>
              </w:rPr>
            </w:pPr>
            <w:r>
              <w:rPr>
                <w:rFonts w:ascii="宋体" w:hAnsi="宋体" w:cs="宋体" w:eastAsia="宋体" w:hint="default"/>
                <w:sz w:val="18"/>
                <w:szCs w:val="18"/>
              </w:rPr>
              <w:t>占预付款项期末余额合 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2"/>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27" w:hRule="exact"/>
        </w:trPr>
        <w:tc>
          <w:tcPr>
            <w:tcW w:w="2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深圳市智星通信技术有限公司</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5,562,500.00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22.69</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9"/>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427" w:hRule="exact"/>
        </w:trPr>
        <w:tc>
          <w:tcPr>
            <w:tcW w:w="2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四川省荣灿建设科技有限公司</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2,006,312.00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8.19</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9"/>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426" w:hRule="exact"/>
        </w:trPr>
        <w:tc>
          <w:tcPr>
            <w:tcW w:w="2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陕西海通天线有限责任公司</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1,267,350.42</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5.17</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427" w:hRule="exact"/>
        </w:trPr>
        <w:tc>
          <w:tcPr>
            <w:tcW w:w="2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上海俊悦光纤网络科技有限公司</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966,409.75</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3.94</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7"/>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427" w:hRule="exact"/>
        </w:trPr>
        <w:tc>
          <w:tcPr>
            <w:tcW w:w="299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四川中软科技有限公司</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656,111.30</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2.68</w:t>
            </w:r>
          </w:p>
        </w:tc>
        <w:tc>
          <w:tcPr>
            <w:tcW w:w="212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9"/>
              <w:jc w:val="center"/>
              <w:rPr>
                <w:rFonts w:ascii="宋体" w:hAnsi="宋体" w:cs="宋体" w:eastAsia="宋体" w:hint="default"/>
                <w:sz w:val="18"/>
                <w:szCs w:val="18"/>
              </w:rPr>
            </w:pPr>
            <w:r>
              <w:rPr>
                <w:rFonts w:ascii="宋体" w:hAnsi="宋体" w:cs="宋体" w:eastAsia="宋体" w:hint="default"/>
                <w:sz w:val="18"/>
                <w:szCs w:val="18"/>
              </w:rPr>
              <w:t>项目尚未执行完毕</w:t>
            </w:r>
          </w:p>
        </w:tc>
      </w:tr>
      <w:tr>
        <w:trPr>
          <w:trHeight w:val="428" w:hRule="exact"/>
        </w:trPr>
        <w:tc>
          <w:tcPr>
            <w:tcW w:w="2990" w:type="dxa"/>
            <w:tcBorders>
              <w:top w:val="single" w:sz="8" w:space="0" w:color="000000"/>
              <w:left w:val="single" w:sz="6" w:space="0" w:color="000000"/>
              <w:bottom w:val="single" w:sz="8" w:space="0" w:color="000000"/>
              <w:right w:val="single" w:sz="6" w:space="0" w:color="000000"/>
            </w:tcBorders>
          </w:tcPr>
          <w:p>
            <w:pPr>
              <w:pStyle w:val="TableParagraph"/>
              <w:tabs>
                <w:tab w:pos="470" w:val="left" w:leader="none"/>
              </w:tabs>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10,458,683.47</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42.67</w:t>
            </w:r>
          </w:p>
        </w:tc>
        <w:tc>
          <w:tcPr>
            <w:tcW w:w="2127" w:type="dxa"/>
            <w:tcBorders>
              <w:top w:val="single" w:sz="8" w:space="0" w:color="000000"/>
              <w:left w:val="single" w:sz="6" w:space="0" w:color="000000"/>
              <w:bottom w:val="single" w:sz="8" w:space="0" w:color="000000"/>
              <w:right w:val="nil" w:sz="6" w:space="0" w:color="auto"/>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其他应收款" w:id="186"/>
      <w:bookmarkEnd w:id="186"/>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187"/>
      <w:bookmarkEnd w:id="18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46,740,8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80.66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8,857,08</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37,883,79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37,242,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734.63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6,795,662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30,447,071.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1,334,06</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4.70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1,038,41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295,646.4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979,212</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911,712.7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93.11%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67,500.00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48,074,9</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45.36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9,895,50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0.49</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38,179,44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4.87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38,221,</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947.33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7,707,375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.56</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30,514,571.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组合中，按账龄分析法计提坏账准备的其他应收款：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77"/>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27,209,852.36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1,360,492.62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27,209,852.36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1,360,492.62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7,515,789.30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751,578.93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4,412,530.22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1,323,759.07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7,602,708.78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5,421,251.57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3,064,623.72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1,532,311.86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3,245,726.76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2,596,581.41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1,292,358.30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1,292,358.30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46,740,880.66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8,857,082.19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188"/>
      <w:bookmarkEnd w:id="18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2,188,124.93</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189"/>
      <w:bookmarkEnd w:id="189"/>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6,530,265.58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5,980,470.09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37,275,824.19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28,937,286.28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2,667,275.15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2,091,550.46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244,007.00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243,007.00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1,357,573.44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969,633.50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48,074,945.36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38,221,947.33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按欠款方归集的期末余额前五吊的其他应收款情况" w:id="190"/>
      <w:bookmarkEnd w:id="190"/>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四川省卫生和计划 生育委员会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1,847,680.00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92,384.00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四川省国税局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108,625.00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陕西省委办公厅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838,243.93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41,912.20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中国航空工业集团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6,468,423.93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1,352,921.20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存货" w:id="191"/>
      <w:bookmarkEnd w:id="191"/>
      <w:r>
        <w:rPr>
          <w:b w:val="0"/>
          <w:bCs w:val="0"/>
        </w:rPr>
      </w: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存货分类" w:id="192"/>
      <w:bookmarkEnd w:id="19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32,903,805.68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10,451,601.38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22,452,204.30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20,076,504.95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200,174.79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19,876,330.16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81,145,307.86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5,461,435.16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75,683,872.70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40,157,789.61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2,746,547.84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37,411,241.77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46,651,521.33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8,044,953.17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38,606,568.16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27,880,705.77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4,482,269.87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23,398,435.90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250,448.32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250,448.32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315,842.81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315,842.81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30,268,689.08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11,705,941.94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18,562,747.14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11,898,455.54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9,797,765.30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2,100,690.24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226,476.28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226,476.28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118,660.90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118,660.90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341,739.22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341,739.22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191,787,987.77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35,663,931.65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156,124,056.12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100,447,959.58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17,226,757.80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83,221,201.78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存货跌价准备" w:id="193"/>
      <w:bookmarkEnd w:id="19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200,174.79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10,388,507.71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137,081.12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10,451,601.38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2,746,547.84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5,532,776.71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2,817,889.39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5,461,435.16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4,482,269.87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5,492,371.64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1,929,688.34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8,044,953.17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9,797,765.30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3,738,532.70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1,830,356.06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11,705,941.94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17,226,757.80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25,152,188.76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6,715,014.91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35,663,931.65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可供出售金融资产" w:id="194"/>
      <w:bookmarkEnd w:id="194"/>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195"/>
      <w:bookmarkEnd w:id="19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成本计量的可供出售金融资产" w:id="196"/>
      <w:bookmarkEnd w:id="196"/>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成都兴政 电子政务 运营服务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深圳市虹 安信息安 全技术有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800,000.00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可供出售金融资产减值的变动情况" w:id="197"/>
      <w:bookmarkEnd w:id="197"/>
      <w:r>
        <w:rPr>
          <w:b w:val="0"/>
          <w:bCs w:val="0"/>
        </w:rPr>
      </w:r>
      <w:r>
        <w:rPr/>
        <w:t>（</w:t>
      </w:r>
      <w:r>
        <w:rPr>
          <w:rFonts w:ascii="Times New Roman" w:hAnsi="Times New Roman" w:cs="Times New Roman" w:eastAsia="Times New Roman" w:hint="default"/>
        </w:rPr>
        <w:t>3</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2"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1"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8、长期股权投资" w:id="198"/>
      <w:bookmarkEnd w:id="198"/>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成都摩宝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2,295.10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12,931,55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2,295.10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12,931,55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12,933,85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2,295.10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12,931,55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12,933,85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pStyle w:val="BodyText"/>
        <w:spacing w:line="300" w:lineRule="auto" w:before="115"/>
        <w:ind w:right="1170"/>
        <w:jc w:val="left"/>
      </w:pPr>
      <w:r>
        <w:rPr/>
        <w:t>本公司对成都摩宝网络科技有限公司期初持股比例为</w:t>
      </w:r>
      <w:r>
        <w:rPr>
          <w:rFonts w:ascii="Times New Roman" w:hAnsi="Times New Roman" w:cs="Times New Roman" w:eastAsia="Times New Roman" w:hint="default"/>
        </w:rPr>
        <w:t>24.39%</w:t>
      </w:r>
      <w:r>
        <w:rPr/>
        <w:t>，投资成本为</w:t>
      </w:r>
      <w:r>
        <w:rPr>
          <w:rFonts w:ascii="Times New Roman" w:hAnsi="Times New Roman" w:cs="Times New Roman" w:eastAsia="Times New Roman" w:hint="default"/>
        </w:rPr>
        <w:t>17,175,215.05</w:t>
      </w:r>
      <w:r>
        <w:rPr/>
        <w:t>元并对其控制。</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月后，其董 事会改组，本公司放弃对其的控制权，不再将其纳入本公司本年度合并财务报表范围，期末持股比例仍为</w:t>
      </w:r>
      <w:r>
        <w:rPr>
          <w:rFonts w:ascii="Times New Roman" w:hAnsi="Times New Roman" w:cs="Times New Roman" w:eastAsia="Times New Roman" w:hint="default"/>
        </w:rPr>
        <w:t>24.39%</w:t>
      </w:r>
      <w:r>
        <w:rPr/>
        <w:t>。母公司 投资核算方法由成本法改为权益法并按照企业会计准则规定进行了追溯调整，调整金额为</w:t>
      </w:r>
      <w:r>
        <w:rPr>
          <w:rFonts w:ascii="Times New Roman" w:hAnsi="Times New Roman" w:cs="Times New Roman" w:eastAsia="Times New Roman" w:hint="default"/>
        </w:rPr>
        <w:t>-4,243,658.31</w:t>
      </w:r>
      <w:r>
        <w:rPr/>
        <w:t>元，投资成本为 </w:t>
      </w:r>
      <w:r>
        <w:rPr>
          <w:rFonts w:ascii="Times New Roman" w:hAnsi="Times New Roman" w:cs="Times New Roman" w:eastAsia="Times New Roman" w:hint="default"/>
        </w:rPr>
        <w:t>17,175,215.05</w:t>
      </w:r>
      <w:r>
        <w:rPr/>
        <w:t>元，差额</w:t>
      </w:r>
      <w:r>
        <w:rPr>
          <w:rFonts w:ascii="Times New Roman" w:hAnsi="Times New Roman" w:cs="Times New Roman" w:eastAsia="Times New Roman" w:hint="default"/>
        </w:rPr>
        <w:t>12,931,556.74</w:t>
      </w:r>
      <w:r>
        <w:rPr/>
        <w:t>元记入本期合并报表增减变动的其他中。</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9、固定资产" w:id="199"/>
      <w:bookmarkEnd w:id="199"/>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00"/>
      <w:bookmarkEnd w:id="20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265,270,712.78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32,288,358.38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20,083,214.97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46,129,657.23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6,762,915.00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370,534,858.36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157,048,897.72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32,784,516.13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19,662,141.97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44,386,472.46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6,774,865.00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260,656,893.28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111,440,284.92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65,218.78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703,342.00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6,774,513.33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118,993,559.03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111,440,284.92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65,218.78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703,342.00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6,774,513.33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118,993,559.03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3,218,469.86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561,376.53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282,269.00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5,031,328.56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9,115,593.95</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561,376.53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282,269.00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1,298,759.45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2,164,554.98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）合并范围变化减少</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3,732,569.11</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3,732,569.11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3,218,469.86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3,218,469.86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265,270,712.78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32,288,358.38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20,083,214.97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46,129,657.23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6,762,915.00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370,534,858.36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16,901,128.86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27,828,713.85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13,921,734.45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29,495,804.94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1,936,725.87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90,084,107.97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8,560,461.50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24,714,010.51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11,847,663.88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26,466,325.37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1,182,579.79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72,771,041.05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8,340,667.36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3,589,833.55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2,319,311.10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6,497,807.01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776,296.08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21,523,915.10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8,340,667.36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3,589,833.55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2,319,311.10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6,497,807.01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776,296.08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21,523,915.10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475,130.21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245,240.53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3,468,327.44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4,210,848.18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475,130.21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245,240.53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1,278,947.94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2,021,468.68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）合并范围变化减少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2,189,379.50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2,189,379.50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16,901,128.86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27,828,713.85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13,921,734.45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29,495,804.94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1,936,725.87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90,084,107.97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220,719.96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530,560.36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751,280.32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230,876.05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560,161.43</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791,037.48</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10,156.09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29,601.07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39,757.16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10,156.09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29,601.07</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39,757.16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220,719.96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530,560.36</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751,280.32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248,369,583.92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4,238,924.57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6,161,480.52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16,103,291.93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4,826,189.13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279,699,470.07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148,488,436.22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7,839,629.57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7,814,478.09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17,359,985.66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5,592,285.21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187,094,814.75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0、固定资产清理" w:id="201"/>
      <w:bookmarkEnd w:id="201"/>
      <w:r>
        <w:rPr>
          <w:b w:val="0"/>
          <w:bCs w:val="0"/>
        </w:rPr>
      </w:r>
      <w:r>
        <w:rPr>
          <w:rFonts w:ascii="Times New Roman" w:hAnsi="Times New Roman" w:cs="Times New Roman" w:eastAsia="Times New Roman" w:hint="default"/>
        </w:rPr>
        <w:t>10</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电脑报废</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1、无形资产" w:id="202"/>
      <w:bookmarkEnd w:id="202"/>
      <w:r>
        <w:rPr>
          <w:b w:val="0"/>
          <w:bCs w:val="0"/>
        </w:rPr>
      </w:r>
      <w:r>
        <w:rPr>
          <w:rFonts w:ascii="Times New Roman" w:hAnsi="Times New Roman" w:cs="Times New Roman" w:eastAsia="Times New Roman" w:hint="default"/>
        </w:rPr>
        <w:t>11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03"/>
      <w:bookmarkEnd w:id="20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5,520,000.00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24,866,014.75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33,846,014.75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5,520,000.00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23,520,742.48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32,500,742.48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1,345,272.27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1,345,272.27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56,921.54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56,921.54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1,288,350.73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1,288,350.73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5,520,000.00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3,460,000.00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24,866,014.75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33,846,014.75</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5,224,166.72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893,854.00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14,565,695.06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20,683,715.78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4,095,556.17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547,846.00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11,493,568.69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16,136,970.86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1,128,610.55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346,008.00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3,072,126.37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4,546,744.92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1,128,610.55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346,008.00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3,072,126.37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4,546,744.92</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5,224,166.72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893,854.00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14,565,695.06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20,683,715.78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295,833.28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2,566,146.00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10,300,319.69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13,162,298.97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1,424,443.83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2,912,154.00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12,027,173.79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16,363,771.62</w:t>
            </w:r>
          </w:p>
        </w:tc>
      </w:tr>
    </w:tbl>
    <w:p>
      <w:pPr>
        <w:pStyle w:val="BodyText"/>
        <w:spacing w:line="240" w:lineRule="auto" w:before="51"/>
        <w:ind w:left="154"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12、开发支出" w:id="204"/>
      <w:bookmarkEnd w:id="204"/>
      <w:r>
        <w:rPr>
          <w:b w:val="0"/>
          <w:bCs w:val="0"/>
        </w:rPr>
      </w:r>
      <w:r>
        <w:rPr>
          <w:rFonts w:ascii="Times New Roman" w:hAnsi="Times New Roman" w:cs="Times New Roman" w:eastAsia="Times New Roman" w:hint="default"/>
        </w:rPr>
        <w:t>12</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密信通安全即 时通信系统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1,288,350.73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1,288,350.73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1,288,350.73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1,288,350.73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3、商誉" w:id="205"/>
      <w:bookmarkEnd w:id="205"/>
      <w:r>
        <w:rPr>
          <w:b w:val="0"/>
          <w:bCs w:val="0"/>
        </w:rPr>
      </w:r>
      <w:r>
        <w:rPr>
          <w:rFonts w:ascii="Times New Roman" w:hAnsi="Times New Roman" w:cs="Times New Roman" w:eastAsia="Times New Roman" w:hint="default"/>
        </w:rPr>
        <w:t>13</w:t>
      </w:r>
      <w:r>
        <w:rPr/>
        <w:t>、商誉</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06"/>
      <w:bookmarkEnd w:id="20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四川卫士通信息安 全平台技术有限公 司</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7,991.91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长期待摊费用" w:id="207"/>
      <w:bookmarkEnd w:id="207"/>
      <w:r>
        <w:rPr>
          <w:b w:val="0"/>
          <w:bCs w:val="0"/>
        </w:rPr>
      </w:r>
      <w:r>
        <w:rPr>
          <w:rFonts w:ascii="Times New Roman" w:hAnsi="Times New Roman" w:cs="Times New Roman" w:eastAsia="Times New Roman" w:hint="default"/>
        </w:rPr>
        <w:t>14</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383"/>
        <w:gridCol w:w="1594"/>
        <w:gridCol w:w="1594"/>
        <w:gridCol w:w="1595"/>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经营租入固定资产改良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3,497,948.71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997,987.00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1,226,559.85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3,269,375.86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3,497,948.71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997,987.00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1,226,559.85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3,269,375.86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15、递延所得税资产/递延所得税负债" w:id="208"/>
      <w:bookmarkEnd w:id="208"/>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209"/>
      <w:bookmarkEnd w:id="20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117,947,826.03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18,783,196.86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80,642,371.29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12,871,738.66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-10,109,449.77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-1,537,820.89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10,360,654.34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1,554,098.15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5,937,680.99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1,484,420.25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3,571,797.61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535,769.64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2,000,830.28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300,124.54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117,347,854.86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19,265,565.86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93,003,855.91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14,725,961.35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未确认递延所得税资产明细" w:id="210"/>
      <w:bookmarkEnd w:id="210"/>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4,030,572.26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105,440.56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7,467,515.70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41,024,461.81</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11,498,087.96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41,129,902.37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未确认递延所得税资产的可抵扣亏损将于以下年度到期" w:id="211"/>
      <w:bookmarkEnd w:id="211"/>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6,039,095.08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10,828,114.43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13,176,607.21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10,980,645.09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7,467,515.70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7,467,515.70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41,024,461.81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6、短期借款" w:id="212"/>
      <w:bookmarkEnd w:id="212"/>
      <w:r>
        <w:rPr>
          <w:b w:val="0"/>
          <w:bCs w:val="0"/>
        </w:rPr>
      </w:r>
      <w:r>
        <w:rPr>
          <w:rFonts w:ascii="Times New Roman" w:hAnsi="Times New Roman" w:cs="Times New Roman" w:eastAsia="Times New Roman" w:hint="default"/>
        </w:rPr>
        <w:t>16</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213"/>
      <w:bookmarkEnd w:id="2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51"/>
        <w:ind w:left="154" w:right="0"/>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17、应付账款" w:id="214"/>
      <w:bookmarkEnd w:id="214"/>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215"/>
      <w:bookmarkEnd w:id="21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389,017,589.04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274,157,493.97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5,980,446.03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4,276,147.24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应付其他款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2,988,531.33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1,642,137.61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397,986,566.40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280,075,778.82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8、预收款项" w:id="216"/>
      <w:bookmarkEnd w:id="216"/>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217"/>
      <w:bookmarkEnd w:id="21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51,674,789.78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12,387,354.08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5,720,649.66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3,882,608.61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57,395,439.44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16,269,962.69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9、应付职工薪酬" w:id="218"/>
      <w:bookmarkEnd w:id="218"/>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219"/>
      <w:bookmarkEnd w:id="21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185,177,238.49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183,516,782.93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3,634,428.16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2,930,138.20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11,202,620.54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10,851,917.65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3,280,841.09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560,595.40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560,595.40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4,904,110.80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196,940,454.43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194,929,295.98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6,915,269.25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220"/>
      <w:bookmarkEnd w:id="22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156,484,328.13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156,484,328.13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5,734,466.02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5,734,466.02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17,856.53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5,433,978.10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5,321,658.64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130,175.99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15,535.41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4,898,051.53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4,783,644.50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129,942.44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296,221.89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297,267.70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1,211.61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239,704.68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240,746.44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605,534.02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12,350,630.23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12,339,902.65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616,261.60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1,350,582.05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3,267,843.04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1,730,434.52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2,887,990.57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1,905,992.97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1,905,992.97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1,973,972.60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185,177,238.49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183,516,782.93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3,634,428.16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设定提存计划列示" w:id="221"/>
      <w:bookmarkEnd w:id="22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41,199.71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9,786,738.99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9,820,429.47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7,509.23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1,056,410.80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1,031,488.18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28,576.20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、养老基金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2,885,284.91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359,470.75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3,244,755.66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2,930,138.20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11,202,620.54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10,851,917.65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3,280,841.09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0、应交税费" w:id="222"/>
      <w:bookmarkEnd w:id="222"/>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14,952,381.47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18,253,594.06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-29,770.70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1,631,386.84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19,810,459.78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13,643,067.98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2,008,173.80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594,536.56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1,288,566.54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1,462,671.50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59,300.17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119,301.25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503,649.18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752,130.05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112,909.14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215,775.85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906,245.57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506,788.19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39,611,914.95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37,179,252.28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1、其他应付款" w:id="223"/>
      <w:bookmarkEnd w:id="223"/>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224"/>
      <w:bookmarkEnd w:id="224"/>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应付往来单位款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18,939,228.62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24,163,106.02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应付代扣款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1,325,125.78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2,170,218.85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1,018,445.80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985,445.80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应付款个人款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504,718.09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557,327.63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1,028,194.25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1,492,253.62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22,815,712.54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29,368,351.92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2、递延收益" w:id="225"/>
      <w:bookmarkEnd w:id="225"/>
      <w:r>
        <w:rPr>
          <w:b w:val="0"/>
          <w:bCs w:val="0"/>
        </w:rPr>
      </w:r>
      <w:r>
        <w:rPr>
          <w:rFonts w:ascii="Times New Roman" w:hAnsi="Times New Roman" w:cs="Times New Roman" w:eastAsia="Times New Roman" w:hint="default"/>
        </w:rPr>
        <w:t>22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67,524,986.32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29,639,550.00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35,778,971.24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61,385,565.08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67,524,986.32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29,639,550.00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35,778,971.24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61,385,565.08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云计算密码应用 技术体系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127,590.90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23,187.00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104,403.90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商用密码市场监 管体系研究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云计算密码应用 技术体系框架</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13,612.00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14,738.00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年物联网发 展专项资金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231,540.40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231,540.40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云计算关键支撑 软件（平台安全 软件）研究与产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2,446,031.02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2,446,031.02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25.300003pt;margin-top:703.589966pt;width:66.850pt;height:20.8pt;mso-position-horizontal-relative:page;mso-position-vertical-relative:page;z-index:-975016" coordorigin="2506,14072" coordsize="1337,416">
            <v:group style="position:absolute;left:2517;top:14083;width:2;height:393" coordorigin="2517,14083" coordsize="2,393">
              <v:shape style="position:absolute;left:2517;top:14083;width:2;height:393" coordorigin="2517,14083" coordsize="0,393" path="m2517,14083l2517,14476e" filled="false" stroked="true" strokeweight="1.140pt" strokecolor="#ffffff">
                <v:path arrowok="t"/>
              </v:shape>
            </v:group>
            <v:group style="position:absolute;left:2529;top:14083;width:1314;height:393" coordorigin="2529,14083" coordsize="1314,393">
              <v:shape style="position:absolute;left:2529;top:14083;width:1314;height:393" coordorigin="2529,14083" coordsize="1314,393" path="m2529,14476l3843,14476,3843,14083,2529,14083,2529,1447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296"/>
        <w:gridCol w:w="1073"/>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业化</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安全云存储服务 系统</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194,319.81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194,319.81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安全云产业化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4,070,415.94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4,070,415.94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新一代信息安全 关键设备的研发 与产业化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645,694.38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645,694.38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总体组</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94,082.50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105,917.50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工业控制安全防 护系统研发与产 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1,083,364.60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1,083,364.60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安全云系统研发 及产业化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756,754.00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284,745.09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472,008.91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SJW77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电力专用 纵向加密认证装 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400,094.34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400,094.34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智能电网自动化 控制安全防护系 统产业化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750,000.00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742,683.00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高性能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设备</w:t>
            </w:r>
            <w:r>
              <w:rPr>
                <w:rFonts w:ascii="宋体" w:hAnsi="宋体" w:cs="宋体" w:eastAsia="宋体" w:hint="default"/>
                <w:spacing w:val="1"/>
                <w:sz w:val="18"/>
                <w:szCs w:val="18"/>
              </w:rPr>
              <w:t> </w:t>
            </w:r>
            <w:r>
              <w:rPr>
                <w:rFonts w:ascii="宋体" w:hAnsi="宋体" w:cs="宋体" w:eastAsia="宋体" w:hint="default"/>
                <w:sz w:val="18"/>
                <w:szCs w:val="18"/>
              </w:rPr>
              <w:t>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6,952,176.52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1,047,823.48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基于虚拟桌面架 构的信息系统建 设</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630,838.90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171,685.76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459,153.14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物联网安全标准 体系研究</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云计算安全标准 体系研究</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安全云产业化技 术改造项目</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10,680.00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489,320.00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高性能</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设备</w:t>
            </w:r>
            <w:r>
              <w:rPr>
                <w:rFonts w:ascii="宋体" w:hAnsi="宋体" w:cs="宋体" w:eastAsia="宋体" w:hint="default"/>
                <w:spacing w:val="1"/>
                <w:sz w:val="18"/>
                <w:szCs w:val="18"/>
              </w:rPr>
              <w:t> </w:t>
            </w:r>
            <w:r>
              <w:rPr>
                <w:rFonts w:ascii="宋体" w:hAnsi="宋体" w:cs="宋体" w:eastAsia="宋体" w:hint="default"/>
                <w:sz w:val="18"/>
                <w:szCs w:val="18"/>
              </w:rPr>
              <w:t>研发与产业化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远程互联网安全 接入平台研发及 产业化</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2,210,000.00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1,885,241.43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324,758.57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云计算关键支撑 </w:t>
            </w:r>
            <w:r>
              <w:rPr>
                <w:rFonts w:ascii="宋体" w:hAnsi="宋体" w:cs="宋体" w:eastAsia="宋体" w:hint="default"/>
                <w:spacing w:val="-6"/>
                <w:sz w:val="18"/>
                <w:szCs w:val="18"/>
              </w:rPr>
              <w:t>软件（平台软件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研发与产业化</w:t>
            </w:r>
          </w:p>
        </w:tc>
        <w:tc>
          <w:tcPr>
            <w:tcW w:w="2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07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290,000.00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年四川省科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技型中小企业早 期科技创新省级 扶持资金项目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安全存储阵列研 发及产业化技术 改造项目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高性能金融数据 密码机开发与研 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598,500.00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可信云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IAAS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 台关键技术</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WT384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智能电网 安全保障装置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物联网安全标准 体系研究</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局域网综合安全 防护系统研发及 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437,925.52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162,074.48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安全云系统研发 及产业化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基于国产操作系 统的终端安全防 护工具（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集团产业发展投 入项目）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303,398.06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196,601.94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安全可靠信息系 统技术支持公共 服务平台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基于国产操作系 统的终端安全防 护工具研发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258,202.96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258,202.96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电网智能化安全 保障装置研发及 产业化（省）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10,763,299.45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3,053,247.19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7,710,052.26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电网智能化安全 保障装置研发及 产业化（市）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智能配电网自动 化控制安全防护 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主机加密机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496,230.00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87,226.26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409,003.74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移动互联网应用 安全接入平台研 发及产业化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484,285.50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6,765,714.50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局域网安全防护 系统研发及产业 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下一代防火墙研 发及产业化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高性能网络信息 安全综合防御系 统研发与产业化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1,614,200.00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16,679.00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1,597,521.00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一体化多核网络 安全平台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高性能安全模块 应用平台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超高频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读 写器产业化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年重点技术 创新和重大技术 装备创新专项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538,800.00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538,800.00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四川省军民结合 产业发展专项资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250,427.10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749,572.90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年国家服务 业发展引导资金 专项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402,672.24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5,597,327.76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战略性新兴产品 研发补贴（基于 云计算的移动安 全即时通信平 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年电子发展 基金移动互联网 智能个人信息保 护软件集团公司 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密码芯片安全分 析实验室</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TDLTE</w:t>
            </w:r>
            <w:r>
              <w:rPr>
                <w:rFonts w:ascii="Times New Roman" w:hAnsi="Times New Roman" w:cs="Times New Roman" w:eastAsia="Times New Roman" w:hint="default"/>
                <w:sz w:val="18"/>
                <w:szCs w:val="18"/>
              </w:rPr>
              <w:t> </w:t>
            </w:r>
            <w:r>
              <w:rPr>
                <w:rFonts w:ascii="宋体" w:hAnsi="宋体" w:cs="宋体" w:eastAsia="宋体" w:hint="default"/>
                <w:sz w:val="18"/>
                <w:szCs w:val="18"/>
              </w:rPr>
              <w:t>的 行业专用终端与</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系统研发及产业 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卧底窃听类 软件开发项目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数字加密常规移 动通信系统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 技术的智能管控 系统研制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移动互联网智能 手机个人信息保 护软件研发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 的可视化定位监 控终端研发及产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面向高端装备制 造行业的智能化 生产管控系统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 技术的实时定位 及可视化管控系 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面向金融领域应 用的国产化智能 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网络高清摄像的 安全音视频编解 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应用于智能电网 终端的安全芯片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四川省财政国库 支付中心拨付发 展基金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新一代自主可控 安全芯片组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2,759,750.00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2,759,750.00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移动支付安全中 间件成果转化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基于超声波技术 的手机支付平台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9,023,319.62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9,023,319.62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移动互联 网平台建设及产 业化项目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融合摩宝支付的 校园一卡通示范 应用项目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67,524,986.32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29,639,550.00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26,030,651.62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9,748,319.62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61,385,565.08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3、股本" w:id="226"/>
      <w:bookmarkEnd w:id="226"/>
      <w:r>
        <w:rPr>
          <w:b w:val="0"/>
          <w:bCs w:val="0"/>
        </w:rPr>
      </w:r>
      <w:r>
        <w:rPr>
          <w:rFonts w:ascii="Times New Roman" w:hAnsi="Times New Roman" w:cs="Times New Roman" w:eastAsia="Times New Roman" w:hint="default"/>
        </w:rPr>
        <w:t>23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172,712,065.00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43,549,608.00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43,549,608.00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216,261,673.00</w:t>
            </w:r>
          </w:p>
        </w:tc>
      </w:tr>
    </w:tbl>
    <w:p>
      <w:pPr>
        <w:pStyle w:val="BodyText"/>
        <w:spacing w:line="357" w:lineRule="auto" w:before="51"/>
        <w:ind w:right="8503"/>
        <w:jc w:val="left"/>
      </w:pPr>
      <w:r>
        <w:rPr/>
        <w:t>其他说明： 本年发行新股</w:t>
      </w:r>
      <w:r>
        <w:rPr>
          <w:rFonts w:ascii="Times New Roman" w:hAnsi="Times New Roman" w:cs="Times New Roman" w:eastAsia="Times New Roman" w:hint="default"/>
        </w:rPr>
        <w:t>43,549,608</w:t>
      </w:r>
      <w:r>
        <w:rPr/>
        <w:t>股。</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bookmarkStart w:name="24、资本公积" w:id="227"/>
      <w:bookmarkEnd w:id="227"/>
      <w:r>
        <w:rPr>
          <w:b w:val="0"/>
          <w:bCs w:val="0"/>
        </w:rPr>
      </w:r>
      <w:r>
        <w:rPr>
          <w:rFonts w:ascii="Times New Roman" w:hAnsi="Times New Roman" w:cs="Times New Roman" w:eastAsia="Times New Roman" w:hint="default"/>
        </w:rPr>
        <w:t>24</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255,147,001.16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250,677,889.67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505,824,890.83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8,318,499.97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240,594.58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8,559,094.55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263,465,501.13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250,918,484.25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514,383,985.38</w:t>
            </w:r>
          </w:p>
        </w:tc>
      </w:tr>
    </w:tbl>
    <w:p>
      <w:pPr>
        <w:pStyle w:val="BodyText"/>
        <w:spacing w:line="240" w:lineRule="auto" w:before="51"/>
        <w:ind w:left="154" w:right="0"/>
        <w:jc w:val="left"/>
      </w:pPr>
      <w:r>
        <w:rPr/>
        <w:t>其他说明，包括本期增减变动情况、变动原因说明：</w:t>
      </w:r>
    </w:p>
    <w:p>
      <w:pPr>
        <w:pStyle w:val="BodyText"/>
        <w:spacing w:line="314" w:lineRule="auto" w:before="116"/>
        <w:ind w:right="1123"/>
        <w:jc w:val="left"/>
      </w:pPr>
      <w:r>
        <w:rPr>
          <w:rFonts w:ascii="Times New Roman" w:hAnsi="Times New Roman" w:cs="Times New Roman" w:eastAsia="Times New Roman" w:hint="default"/>
          <w:spacing w:val="-1"/>
        </w:rPr>
        <w:t>1</w:t>
      </w:r>
      <w:r>
        <w:rPr>
          <w:spacing w:val="-1"/>
        </w:rPr>
        <w:t>：本公司本年度发行股份购买资产并募集配套资金重组方案完成，增加资本溢价</w:t>
      </w:r>
      <w:r>
        <w:rPr>
          <w:rFonts w:ascii="Times New Roman" w:hAnsi="Times New Roman" w:cs="Times New Roman" w:eastAsia="Times New Roman" w:hint="default"/>
          <w:spacing w:val="-1"/>
        </w:rPr>
        <w:t>404,529,555.21</w:t>
      </w:r>
      <w:r>
        <w:rPr>
          <w:spacing w:val="-1"/>
        </w:rPr>
        <w:t>元，其中同一控制下企业合</w:t>
      </w:r>
      <w:r>
        <w:rPr>
          <w:spacing w:val="-69"/>
        </w:rPr>
        <w:t> </w:t>
      </w:r>
      <w:r>
        <w:rPr>
          <w:spacing w:val="-69"/>
        </w:rPr>
      </w:r>
      <w:r>
        <w:rPr/>
        <w:t>并调整合并报表期初数</w:t>
      </w:r>
      <w:r>
        <w:rPr>
          <w:rFonts w:ascii="Times New Roman" w:hAnsi="Times New Roman" w:cs="Times New Roman" w:eastAsia="Times New Roman" w:hint="default"/>
        </w:rPr>
        <w:t>153,851,665.54</w:t>
      </w:r>
      <w:r>
        <w:rPr/>
        <w:t>元，本期增加</w:t>
      </w:r>
      <w:r>
        <w:rPr>
          <w:rFonts w:ascii="Times New Roman" w:hAnsi="Times New Roman" w:cs="Times New Roman" w:eastAsia="Times New Roman" w:hint="default"/>
        </w:rPr>
        <w:t>250,677,889.67</w:t>
      </w:r>
      <w:r>
        <w:rPr/>
        <w:t>元。 注</w:t>
      </w:r>
      <w:r>
        <w:rPr>
          <w:rFonts w:ascii="Times New Roman" w:hAnsi="Times New Roman" w:cs="Times New Roman" w:eastAsia="Times New Roman" w:hint="default"/>
        </w:rPr>
        <w:t>2</w:t>
      </w:r>
      <w:r>
        <w:rPr/>
        <w:t>：成都摩宝网络科技有限公司本年度不再纳入本公司合并财务报表范围，母公司对其由成本法转换为权益法进行追溯调</w:t>
      </w:r>
      <w:r>
        <w:rPr>
          <w:spacing w:val="-82"/>
        </w:rPr>
        <w:t> </w:t>
      </w:r>
      <w:r>
        <w:rPr>
          <w:spacing w:val="-82"/>
        </w:rPr>
      </w:r>
      <w:r>
        <w:rPr/>
        <w:t>整，其应享有的其他权益变动份额，增加本期合并财务报表其他资本公积。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3"/>
        <w:spacing w:line="240" w:lineRule="auto"/>
        <w:ind w:left="153" w:right="0"/>
        <w:jc w:val="left"/>
        <w:rPr>
          <w:b w:val="0"/>
          <w:bCs w:val="0"/>
        </w:rPr>
      </w:pPr>
      <w:bookmarkStart w:name="25、盈余公积" w:id="228"/>
      <w:bookmarkEnd w:id="228"/>
      <w:r>
        <w:rPr>
          <w:b w:val="0"/>
          <w:bCs w:val="0"/>
        </w:rPr>
      </w:r>
      <w:r>
        <w:rPr>
          <w:rFonts w:ascii="Times New Roman" w:hAnsi="Times New Roman" w:cs="Times New Roman" w:eastAsia="Times New Roman" w:hint="default"/>
        </w:rPr>
        <w:t>25</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40,231,909.75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835,310.94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41,067,220.69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40,231,909.75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835,310.94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41,067,220.69</w:t>
            </w:r>
          </w:p>
        </w:tc>
      </w:tr>
    </w:tbl>
    <w:p>
      <w:pPr>
        <w:pStyle w:val="BodyText"/>
        <w:spacing w:line="240" w:lineRule="auto" w:before="51"/>
        <w:ind w:left="154" w:right="0"/>
        <w:jc w:val="left"/>
      </w:pPr>
      <w:r>
        <w:rPr/>
        <w:t>盈余公积说明，包括本期增减变动情况、变动原因说明：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3"/>
        <w:jc w:val="left"/>
      </w:pPr>
      <w:r>
        <w:rPr/>
        <w:t>本期增加为按净利润</w:t>
      </w:r>
      <w:r>
        <w:rPr>
          <w:rFonts w:ascii="Times New Roman" w:hAnsi="Times New Roman" w:cs="Times New Roman" w:eastAsia="Times New Roman" w:hint="default"/>
        </w:rPr>
        <w:t>10%</w:t>
      </w:r>
      <w:r>
        <w:rPr/>
        <w:t>计提法定盈余公积</w:t>
      </w:r>
      <w:r>
        <w:rPr>
          <w:rFonts w:ascii="Times New Roman" w:hAnsi="Times New Roman" w:cs="Times New Roman" w:eastAsia="Times New Roman" w:hint="default"/>
        </w:rPr>
        <w:t>2,067,341.75</w:t>
      </w:r>
      <w:r>
        <w:rPr/>
        <w:t>元，成都摩宝网络科技有限公司本年度不再纳入本公司合并财务报</w:t>
      </w:r>
      <w:r>
        <w:rPr>
          <w:spacing w:val="-18"/>
        </w:rPr>
        <w:t> </w:t>
      </w:r>
      <w:r>
        <w:rPr>
          <w:spacing w:val="-18"/>
        </w:rPr>
      </w:r>
      <w:r>
        <w:rPr/>
        <w:t>表范围，本公司对其由成本法转换为权益法进行追溯调整影响合并报表盈余公积</w:t>
      </w:r>
      <w:r>
        <w:rPr>
          <w:rFonts w:ascii="Times New Roman" w:hAnsi="Times New Roman" w:cs="Times New Roman" w:eastAsia="Times New Roman" w:hint="default"/>
        </w:rPr>
        <w:t>-1,232,030.81</w:t>
      </w:r>
      <w:r>
        <w:rPr/>
        <w:t>元。</w:t>
      </w:r>
    </w:p>
    <w:p>
      <w:pPr>
        <w:spacing w:line="240" w:lineRule="auto" w:before="1"/>
        <w:rPr>
          <w:rFonts w:ascii="宋体" w:hAnsi="宋体" w:cs="宋体" w:eastAsia="宋体" w:hint="default"/>
          <w:sz w:val="22"/>
          <w:szCs w:val="22"/>
        </w:rPr>
      </w:pPr>
    </w:p>
    <w:p>
      <w:pPr>
        <w:pStyle w:val="Heading3"/>
        <w:spacing w:line="240" w:lineRule="auto"/>
        <w:ind w:left="153" w:right="0"/>
        <w:jc w:val="left"/>
        <w:rPr>
          <w:b w:val="0"/>
          <w:bCs w:val="0"/>
        </w:rPr>
      </w:pPr>
      <w:bookmarkStart w:name="26、未分配利润" w:id="229"/>
      <w:bookmarkEnd w:id="229"/>
      <w:r>
        <w:rPr>
          <w:b w:val="0"/>
          <w:bCs w:val="0"/>
        </w:rPr>
      </w:r>
      <w:r>
        <w:rPr>
          <w:rFonts w:ascii="Times New Roman" w:hAnsi="Times New Roman" w:cs="Times New Roman" w:eastAsia="Times New Roman" w:hint="default"/>
        </w:rPr>
        <w:t>26</w:t>
      </w:r>
      <w:r>
        <w:rPr/>
        <w:t>、未分配利润</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343,518,416.86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202,676,894.05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70,167,385.04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343,518,416.86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272,844,279.09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119,435,881.99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73,648,080.09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2,067,341.75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1,246,821.67</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1,727,120.65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1,727,120.65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-1,232,030.81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460,391,867.26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343,518,416.86</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54"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64,904,155.59</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5,263,229.45</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7、营业收入和营业成本" w:id="230"/>
      <w:bookmarkEnd w:id="230"/>
      <w:r>
        <w:rPr>
          <w:b w:val="0"/>
          <w:bCs w:val="0"/>
        </w:rPr>
      </w:r>
      <w:r>
        <w:rPr>
          <w:rFonts w:ascii="Times New Roman" w:hAnsi="Times New Roman" w:cs="Times New Roman" w:eastAsia="Times New Roman" w:hint="default"/>
        </w:rPr>
        <w:t>27</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1,236,159,951.18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767,084,659.55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770,238,412.74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430,724,732.25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337,526.97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423,129.87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50,376.33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1,236,497,478.15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767,084,659.55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770,661,542.61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430,775,108.58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8、营业税金及附加" w:id="231"/>
      <w:bookmarkEnd w:id="231"/>
      <w:r>
        <w:rPr>
          <w:b w:val="0"/>
          <w:bCs w:val="0"/>
        </w:rPr>
      </w:r>
      <w:r>
        <w:rPr>
          <w:rFonts w:ascii="Times New Roman" w:hAnsi="Times New Roman" w:cs="Times New Roman" w:eastAsia="Times New Roman" w:hint="default"/>
        </w:rPr>
        <w:t>28</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1,819,129.83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3,343,332.04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5,394,484.55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3,345,404.82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2,358,471.60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1,429,865.07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1,572,314.37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955,269.15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1,173,168.84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705,726.18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17,583.04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3,998.84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12,335,152.23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9,783,596.10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9、销售费用" w:id="232"/>
      <w:bookmarkEnd w:id="232"/>
      <w:r>
        <w:rPr>
          <w:b w:val="0"/>
          <w:bCs w:val="0"/>
        </w:rPr>
      </w:r>
      <w:r>
        <w:rPr>
          <w:rFonts w:ascii="Times New Roman" w:hAnsi="Times New Roman" w:cs="Times New Roman" w:eastAsia="Times New Roman" w:hint="default"/>
        </w:rPr>
        <w:t>29</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49,839,943.85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52,111,201.10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13,664,962.75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10,848,007.22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8,052,318.44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10,977,449.36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用户培训费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4,200,308.26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4,795,194.77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3,542,195.36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2,528,924.70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2,841,130.63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2,147,543.73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2,695,076.98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3,539,810.70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2,245,269.57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2,463,562.02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2,152,363.45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1,943,954.14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2,113,347.66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2,327,187.40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12,726,421.42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18,716,880.49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104,073,338.37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112,399,715.63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0、管理费用" w:id="233"/>
      <w:bookmarkEnd w:id="233"/>
      <w:r>
        <w:rPr>
          <w:b w:val="0"/>
          <w:bCs w:val="0"/>
        </w:rPr>
      </w:r>
      <w:r>
        <w:rPr>
          <w:rFonts w:ascii="Times New Roman" w:hAnsi="Times New Roman" w:cs="Times New Roman" w:eastAsia="Times New Roman" w:hint="default"/>
        </w:rPr>
        <w:t>30</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123,727,768.53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79,000,877.90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41,061,534.91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35,101,135.96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13,904,737.71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12,356,272.57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8,487,366.88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10,250,919.20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5,472,431.57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6,294,191.42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3,255,401.58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1,987,870.75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2,571,214.43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2,986,215.82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1,027,198.88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4,022,780.17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720,710.00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411,824.49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701,157.32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525,867.99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11,172,723.36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13,627,994.57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212,102,245.17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166,565,950.84</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31、财务费用" w:id="234"/>
      <w:bookmarkEnd w:id="234"/>
      <w:r>
        <w:rPr>
          <w:b w:val="0"/>
          <w:bCs w:val="0"/>
        </w:rPr>
      </w:r>
      <w:r>
        <w:rPr>
          <w:rFonts w:ascii="Times New Roman" w:hAnsi="Times New Roman" w:cs="Times New Roman" w:eastAsia="Times New Roman" w:hint="default"/>
        </w:rPr>
        <w:t>31</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3,469,199.99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1,117,643.32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6,401,367.99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3,537,456.57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33,395.55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231,578.04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154,946.78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-2,700,589.96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-2,231,470.92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2、资产减值损失" w:id="235"/>
      <w:bookmarkEnd w:id="235"/>
      <w:r>
        <w:rPr>
          <w:b w:val="0"/>
          <w:bCs w:val="0"/>
        </w:rPr>
      </w:r>
      <w:r>
        <w:rPr>
          <w:rFonts w:ascii="Times New Roman" w:hAnsi="Times New Roman" w:cs="Times New Roman" w:eastAsia="Times New Roman" w:hint="default"/>
        </w:rPr>
        <w:t>32</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22,936,969.35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16,508,084.67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25,152,188.76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10,918,404.02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48,089,158.11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27,426,488.69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3、投资收益" w:id="236"/>
      <w:bookmarkEnd w:id="236"/>
      <w:r>
        <w:rPr>
          <w:b w:val="0"/>
          <w:bCs w:val="0"/>
        </w:rPr>
      </w:r>
      <w:r>
        <w:rPr>
          <w:rFonts w:ascii="Times New Roman" w:hAnsi="Times New Roman" w:cs="Times New Roman" w:eastAsia="Times New Roman" w:hint="default"/>
        </w:rPr>
        <w:t>33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营业外收入" w:id="237"/>
      <w:bookmarkEnd w:id="237"/>
      <w:r>
        <w:rPr>
          <w:b w:val="0"/>
          <w:bCs w:val="0"/>
        </w:rPr>
      </w:r>
      <w:r>
        <w:rPr>
          <w:rFonts w:ascii="Times New Roman" w:hAnsi="Times New Roman" w:cs="Times New Roman" w:eastAsia="Times New Roman" w:hint="default"/>
        </w:rPr>
        <w:t>34</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30,990.35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24,910.31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30,990.35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30,990.35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24,910.31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30,990.35</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46,882,765.16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56,241,379.41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29,471,297.77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122,446.28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392,723.76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122,446.28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47,036,201.79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56,659,013.48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29,624,734.40</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985"/>
        <w:gridCol w:w="1790"/>
        <w:gridCol w:w="2392"/>
      </w:tblGrid>
      <w:tr>
        <w:trPr>
          <w:trHeight w:val="401"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9"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17,411,467.39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12,076,850.26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48"/>
              <w:jc w:val="left"/>
              <w:rPr>
                <w:rFonts w:ascii="宋体" w:hAnsi="宋体" w:cs="宋体" w:eastAsia="宋体" w:hint="default"/>
                <w:sz w:val="18"/>
                <w:szCs w:val="18"/>
              </w:rPr>
            </w:pPr>
            <w:r>
              <w:rPr>
                <w:rFonts w:ascii="宋体" w:hAnsi="宋体" w:cs="宋体" w:eastAsia="宋体" w:hint="default"/>
                <w:sz w:val="18"/>
                <w:szCs w:val="18"/>
              </w:rPr>
              <w:t>基于超声波技术的手机支付平台及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 动互联网平台建设及产业化项目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2,043,636.15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7,296,680.38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安全云产业化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7,279,199.90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移动互联网应用安全接入平台研发及产业 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1,234,285.50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7"/>
              <w:jc w:val="left"/>
              <w:rPr>
                <w:rFonts w:ascii="宋体" w:hAnsi="宋体" w:cs="宋体" w:eastAsia="宋体" w:hint="default"/>
                <w:sz w:val="18"/>
                <w:szCs w:val="18"/>
              </w:rPr>
            </w:pPr>
            <w:r>
              <w:rPr>
                <w:rFonts w:ascii="宋体" w:hAnsi="宋体" w:cs="宋体" w:eastAsia="宋体" w:hint="default"/>
                <w:sz w:val="18"/>
                <w:szCs w:val="18"/>
              </w:rPr>
              <w:t>基于国产操作系统的终端安全防护工具研 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258,202.96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3,493,797.04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年物联网发展专项资金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231,540.40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1,431,768.79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云计算关键支撑软件（平台安全软件）研究</w:t>
            </w:r>
            <w:r>
              <w:rPr>
                <w:rFonts w:ascii="宋体" w:hAnsi="宋体" w:cs="宋体" w:eastAsia="宋体" w:hint="default"/>
                <w:sz w:val="18"/>
                <w:szCs w:val="18"/>
              </w:rPr>
              <w:t> 与产业化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1,696,031.02</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1,110,249.91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工业控制安全防护系统研发与产业化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1,083,364.60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803,851.00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移动支付平台研发与应用示范</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648,000.00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KEY</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通综合安全防护系统</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电网智能化安全保障装置研发及产业化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3,053,247.19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436,700.55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内网综合安全防护系统研发及产业化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高性能网络信息安全综合防御系统研发与 产业化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266,600.00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智能电网自动化控制安全防护系统产业化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7,317.00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移动支付安全中间件成果转化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140,056.86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增强型可信计算平台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一体化多核网络安全平台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SJW77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电力专用纵向加密认证装置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400,094.34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99,905.66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基于虚拟桌面架构的信息系统建设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171,685.76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69,161.10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安全云存储服务系统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194,319.81</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61,281.00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安全云系统研发及产业化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284,745.09</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43,246.00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新一代信息安全关键设备的研发与产业化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645,694.38</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38,471.16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成都高新区创新孵化专项资金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主机加密机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87,226.26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3,770.00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电网智能化安全保障装置研发及产业化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402"/>
        <w:gridCol w:w="1985"/>
        <w:gridCol w:w="1790"/>
        <w:gridCol w:w="2392"/>
      </w:tblGrid>
      <w:tr>
        <w:trPr>
          <w:trHeight w:val="36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218,590.00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云计算密码应用技术体系</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23,187.00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云计算密码应用技术体系框架（</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13,612.00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总体组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94,082.50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高性能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6,952,176.52</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安全云产业化技术改造项目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4,070,415.94</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远程互联网安全接入平台研发及产业化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1,885,241.43</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安全存储阵列研发及产业化技术改造项目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局域网综合安全防护系统研发及产业化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437,925.52</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基于国产操作系统的终端安全防护工具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年集团产业发展投入项目）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303,398.06</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智能配电网自动化控制安全防护系统</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局域网安全防护系统研发及产业化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超高频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读写器产业化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卧底窃听类软件开发项目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成都高新区技术创新服务中心扶持基金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智能电网终端的安全芯片</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移动互联网终端安全应用平台</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数字加密常规移动通信系统项目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入侵防御系统研发产业化资助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鹰眼网络安全评估仪资助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鹰眼数据库审计系统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三资助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鹰眼数据库审计系统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双智能身份验证系统资助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双模态智能身份鉴别系统资助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集中式案件管理中心资助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成都市科技局科技进步奖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省公安科研中心科技进步奖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公安厅装备财务处科技进步奖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省电子产品监督检验所科技进步</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四川省委组织部科技进步奖</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成都市科学技术局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成高新技术产业开发区科技局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软件著作权登记资助</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402"/>
        <w:gridCol w:w="1985"/>
        <w:gridCol w:w="1790"/>
        <w:gridCol w:w="2392"/>
      </w:tblGrid>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年重点技术创新和重大技术装备创新 专项</w:t>
            </w:r>
            <w:r>
              <w:rPr>
                <w:rFonts w:ascii="Times New Roman" w:hAnsi="Times New Roman" w:cs="Times New Roman" w:eastAsia="Times New Roman" w:hint="default"/>
                <w:sz w:val="18"/>
                <w:szCs w:val="18"/>
              </w:rPr>
              <w:t>-</w:t>
            </w:r>
            <w:r>
              <w:rPr>
                <w:rFonts w:ascii="宋体" w:hAnsi="宋体" w:cs="宋体" w:eastAsia="宋体" w:hint="default"/>
                <w:sz w:val="18"/>
                <w:szCs w:val="18"/>
              </w:rPr>
              <w:t>密信通安全即时通信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538,800.00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四川省军民结合产业发展专项资金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龙信使</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安全邮箱服务及平台建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250,427.10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年国家服务业发展引导资金专项</w:t>
            </w:r>
            <w:r>
              <w:rPr>
                <w:rFonts w:ascii="Times New Roman" w:hAnsi="Times New Roman" w:cs="Times New Roman" w:eastAsia="Times New Roman" w:hint="default"/>
                <w:sz w:val="18"/>
                <w:szCs w:val="18"/>
              </w:rPr>
              <w:t>-</w:t>
            </w:r>
            <w:r>
              <w:rPr>
                <w:rFonts w:ascii="宋体" w:hAnsi="宋体" w:cs="宋体" w:eastAsia="宋体" w:hint="default"/>
                <w:sz w:val="18"/>
                <w:szCs w:val="18"/>
              </w:rPr>
              <w:t>龙信 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安全邮箱服务及平台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402,672.24</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高性能网络信息安全综合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16,679.00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浦东新区管委会教育补贴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68,940.00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安全云产业化技术改造项目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10,680.00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融合摩宝支付的校园一卡通示范应用项目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425,000.00</w:t>
            </w:r>
          </w:p>
        </w:tc>
        <w:tc>
          <w:tcPr>
            <w:tcW w:w="1790"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224,480.00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154,909.80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46,882,765.16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56,241,379.41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5、营业外支出" w:id="238"/>
      <w:bookmarkEnd w:id="238"/>
      <w:r>
        <w:rPr>
          <w:b w:val="0"/>
          <w:bCs w:val="0"/>
        </w:rPr>
      </w:r>
      <w:r>
        <w:rPr>
          <w:rFonts w:ascii="Times New Roman" w:hAnsi="Times New Roman" w:cs="Times New Roman" w:eastAsia="Times New Roman" w:hint="default"/>
        </w:rPr>
        <w:t>35</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73,350.12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103,747.93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73,350.12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73,350.12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103,747.93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73,350.12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2,394.91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320,949.48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2,394.91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75,745.03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424,697.41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75,745.03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所得税费用" w:id="239"/>
      <w:bookmarkEnd w:id="239"/>
      <w:r>
        <w:rPr>
          <w:b w:val="0"/>
          <w:bCs w:val="0"/>
        </w:rPr>
      </w:r>
      <w:r>
        <w:rPr>
          <w:rFonts w:ascii="Times New Roman" w:hAnsi="Times New Roman" w:cs="Times New Roman" w:eastAsia="Times New Roman" w:hint="default"/>
        </w:rPr>
        <w:t>36</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240"/>
      <w:bookmarkEnd w:id="24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21,706,794.13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14,497,537.13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-4,539,604.51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-1,888,401.13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230,458.73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17,397,648.35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12,609,136.00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241"/>
      <w:bookmarkEnd w:id="24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142,476,266.54</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21,371,439.98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230,458.73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-607,635.38</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7,812,605.06</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1,633,655.36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研发费用加计扣除项目</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-8,503,270.89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本期确认递延所得税费用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-4,539,604.51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17,397,648.35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7、现金流量表项目" w:id="242"/>
      <w:bookmarkEnd w:id="242"/>
      <w:r>
        <w:rPr>
          <w:b w:val="0"/>
          <w:bCs w:val="0"/>
        </w:rPr>
      </w:r>
      <w:r>
        <w:rPr>
          <w:rFonts w:ascii="Times New Roman" w:hAnsi="Times New Roman" w:cs="Times New Roman" w:eastAsia="Times New Roman" w:hint="default"/>
        </w:rPr>
        <w:t>37</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收到的其他与经营活动有关的现金" w:id="243"/>
      <w:bookmarkEnd w:id="24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30,006,100.00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40,387,400.00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17,984,576.95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21,279,017.19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6,401,367.99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3,537,456.57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收到履约投标保证金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54,392,044.94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65,203,873.76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244"/>
      <w:bookmarkEnd w:id="24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111,236,309.78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91,814,163.21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18,338,537.91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16,182,447.67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231,578.04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154,946.78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5,687,936.80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7,031,467.39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135,494,362.53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115,183,025.05</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3）支付的其他与投资活动有关的现金" w:id="245"/>
      <w:bookmarkEnd w:id="245"/>
      <w:r>
        <w:rPr>
          <w:b w:val="0"/>
          <w:bCs w:val="0"/>
        </w:rPr>
      </w:r>
      <w:r>
        <w:rPr/>
        <w:t>（</w:t>
      </w:r>
      <w:r>
        <w:rPr>
          <w:rFonts w:ascii="Times New Roman" w:hAnsi="Times New Roman" w:cs="Times New Roman" w:eastAsia="Times New Roman" w:hint="default"/>
        </w:rPr>
        <w:t>3</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64,340,516.39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64,340,516.39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4" w:right="0"/>
        <w:jc w:val="left"/>
      </w:pPr>
      <w:r>
        <w:rPr/>
        <w:t>支付的其他与投资活动有关的现金说明： </w:t>
      </w:r>
      <w:r>
        <w:rPr>
          <w:spacing w:val="-2"/>
        </w:rPr>
        <w:t>主要系原子公司成都摩宝网络科技有限公司本报告期因控制权转移不再纳入本公司合并财务报表范围，其处置日现金及现金</w:t>
      </w:r>
      <w:r>
        <w:rPr>
          <w:spacing w:val="-64"/>
        </w:rPr>
        <w:t> </w:t>
      </w:r>
      <w:r>
        <w:rPr>
          <w:spacing w:val="-64"/>
        </w:rPr>
      </w:r>
      <w:r>
        <w:rPr/>
        <w:t>等价物余额不再包含在合并现金流量中，由此增加支付其他与投资活动有关的现金</w:t>
      </w:r>
      <w:r>
        <w:rPr>
          <w:rFonts w:ascii="Times New Roman" w:hAnsi="Times New Roman" w:cs="Times New Roman" w:eastAsia="Times New Roman" w:hint="default"/>
        </w:rPr>
        <w:t>64,340,516.39</w:t>
      </w:r>
      <w:r>
        <w:rPr/>
        <w:t>元。</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4）支付的其他与筹资活动有关的现金" w:id="246"/>
      <w:bookmarkEnd w:id="246"/>
      <w:r>
        <w:rPr>
          <w:b w:val="0"/>
          <w:bCs w:val="0"/>
        </w:rPr>
      </w: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分红手续费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5,039.17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5,015.90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8、现金流量表补充资料" w:id="247"/>
      <w:bookmarkEnd w:id="247"/>
      <w:r>
        <w:rPr>
          <w:b w:val="0"/>
          <w:bCs w:val="0"/>
        </w:rPr>
      </w:r>
      <w:r>
        <w:rPr>
          <w:rFonts w:ascii="Times New Roman" w:hAnsi="Times New Roman" w:cs="Times New Roman" w:eastAsia="Times New Roman" w:hint="default"/>
        </w:rPr>
        <w:t>38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248"/>
      <w:bookmarkEnd w:id="24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806"/>
        <w:gridCol w:w="2567"/>
        <w:gridCol w:w="3184"/>
      </w:tblGrid>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125,078,618.19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72,267,333.76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48,089,158.11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27,426,488.69</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21,523,915.10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20,338,215.59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4,546,744.92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3,027,959.11</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1,226,559.85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1,042,681.16</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78,837.62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42,359.77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3,469,199.99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1,117,643.32</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-2,295.10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-4,539,604.51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-1,888,401.13</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-91,340,028.19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41,599,067.29</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-173,259,417.65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-175,456,750.10</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106,985,008.65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50,989,815.54</w:t>
            </w:r>
          </w:p>
        </w:tc>
      </w:tr>
      <w:tr>
        <w:trPr>
          <w:trHeight w:val="403"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41,820,219.13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37,842,890.85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806"/>
        <w:gridCol w:w="2567"/>
        <w:gridCol w:w="3184"/>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23"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745,110,409.77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603,522,119.67</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603,522,119.67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558,561,800.56</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141,588,290.10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44,960,319.11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249"/>
      <w:bookmarkEnd w:id="24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现金和现金等价物的构成" w:id="250"/>
      <w:bookmarkEnd w:id="250"/>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745,110,409.77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603,522,119.67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287,830.98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409,566.80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744,822,578.79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603,112,552.87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745,110,409.77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603,522,119.67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八、合并范围的变更" w:id="251"/>
      <w:bookmarkEnd w:id="251"/>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同一控制下企业合并" w:id="252"/>
      <w:bookmarkEnd w:id="252"/>
      <w:r>
        <w:rPr>
          <w:b w:val="0"/>
          <w:bCs w:val="0"/>
        </w:rPr>
      </w: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期发生的同一控制下企业合并" w:id="253"/>
      <w:bookmarkEnd w:id="25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785"/>
        <w:gridCol w:w="1344"/>
        <w:gridCol w:w="1063"/>
        <w:gridCol w:w="1065"/>
        <w:gridCol w:w="1064"/>
        <w:gridCol w:w="1063"/>
      </w:tblGrid>
      <w:tr>
        <w:trPr>
          <w:trHeight w:val="1337"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76" w:right="36" w:hanging="540"/>
              <w:jc w:val="left"/>
              <w:rPr>
                <w:rFonts w:ascii="宋体" w:hAnsi="宋体" w:cs="宋体" w:eastAsia="宋体" w:hint="default"/>
                <w:sz w:val="18"/>
                <w:szCs w:val="18"/>
              </w:rPr>
            </w:pPr>
            <w:r>
              <w:rPr>
                <w:rFonts w:ascii="宋体" w:hAnsi="宋体" w:cs="宋体" w:eastAsia="宋体" w:hint="default"/>
                <w:sz w:val="18"/>
                <w:szCs w:val="18"/>
              </w:rPr>
              <w:t>合并日的确定依 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19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26"/>
              <w:jc w:val="both"/>
              <w:rPr>
                <w:rFonts w:ascii="宋体" w:hAnsi="宋体" w:cs="宋体" w:eastAsia="宋体" w:hint="default"/>
                <w:sz w:val="18"/>
                <w:szCs w:val="18"/>
              </w:rPr>
            </w:pPr>
            <w:r>
              <w:rPr>
                <w:rFonts w:ascii="宋体" w:hAnsi="宋体" w:cs="宋体" w:eastAsia="宋体" w:hint="default"/>
                <w:sz w:val="18"/>
                <w:szCs w:val="18"/>
              </w:rPr>
              <w:t>成都三零盛 安信息系统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73" w:right="0"/>
              <w:jc w:val="left"/>
              <w:rPr>
                <w:rFonts w:ascii="Times New Roman" w:hAnsi="Times New Roman" w:cs="Times New Roman" w:eastAsia="Times New Roman" w:hint="default"/>
                <w:sz w:val="18"/>
                <w:szCs w:val="18"/>
              </w:rPr>
            </w:pPr>
            <w:r>
              <w:rPr>
                <w:rFonts w:ascii="Times New Roman"/>
                <w:sz w:val="18"/>
              </w:rPr>
              <w:t>93.98%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合并前同受 母公司控制</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both"/>
              <w:rPr>
                <w:rFonts w:ascii="宋体" w:hAnsi="宋体" w:cs="宋体" w:eastAsia="宋体" w:hint="default"/>
                <w:sz w:val="18"/>
                <w:szCs w:val="18"/>
              </w:rPr>
            </w:pPr>
            <w:r>
              <w:rPr>
                <w:rFonts w:ascii="宋体" w:hAnsi="宋体" w:cs="宋体" w:eastAsia="宋体" w:hint="default"/>
                <w:sz w:val="18"/>
                <w:szCs w:val="18"/>
              </w:rPr>
              <w:t>与合并有关合同 已获股东大会通 过，获证监会批 准，各方办理了 必要的资产产权 交接手续，合并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192,493,811.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86" w:right="0"/>
              <w:jc w:val="left"/>
              <w:rPr>
                <w:rFonts w:ascii="Times New Roman" w:hAnsi="Times New Roman" w:cs="Times New Roman" w:eastAsia="Times New Roman" w:hint="default"/>
                <w:sz w:val="18"/>
                <w:szCs w:val="18"/>
              </w:rPr>
            </w:pPr>
            <w:r>
              <w:rPr>
                <w:rFonts w:ascii="Times New Roman"/>
                <w:sz w:val="18"/>
              </w:rPr>
              <w:t>3,597,061.96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214,133,813.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86" w:right="0"/>
              <w:jc w:val="left"/>
              <w:rPr>
                <w:rFonts w:ascii="Times New Roman" w:hAnsi="Times New Roman" w:cs="Times New Roman" w:eastAsia="Times New Roman" w:hint="default"/>
                <w:sz w:val="18"/>
                <w:szCs w:val="18"/>
              </w:rPr>
            </w:pPr>
            <w:r>
              <w:rPr>
                <w:rFonts w:ascii="Times New Roman"/>
                <w:sz w:val="18"/>
              </w:rPr>
              <w:t>8,146,061.37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785"/>
        <w:gridCol w:w="1344"/>
        <w:gridCol w:w="1063"/>
        <w:gridCol w:w="1065"/>
        <w:gridCol w:w="1064"/>
        <w:gridCol w:w="1063"/>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对价得以支付</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26"/>
              <w:jc w:val="both"/>
              <w:rPr>
                <w:rFonts w:ascii="宋体" w:hAnsi="宋体" w:cs="宋体" w:eastAsia="宋体" w:hint="default"/>
                <w:sz w:val="18"/>
                <w:szCs w:val="18"/>
              </w:rPr>
            </w:pPr>
            <w:r>
              <w:rPr>
                <w:rFonts w:ascii="宋体" w:hAnsi="宋体" w:cs="宋体" w:eastAsia="宋体" w:hint="default"/>
                <w:sz w:val="18"/>
                <w:szCs w:val="18"/>
              </w:rPr>
              <w:t>成都三零瑞 通移动通信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合并前同受 母公司控制</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与合并有关合同 已获股东大会通 过，获证监会批 准，各方办理了 必要的资产产权 交接手续，合并 对价得以支付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32,924,878.7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-1,931,987.69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71,271,112.3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19,680,753.5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227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6"/>
              <w:jc w:val="both"/>
              <w:rPr>
                <w:rFonts w:ascii="宋体" w:hAnsi="宋体" w:cs="宋体" w:eastAsia="宋体" w:hint="default"/>
                <w:sz w:val="18"/>
                <w:szCs w:val="18"/>
              </w:rPr>
            </w:pPr>
            <w:r>
              <w:rPr>
                <w:rFonts w:ascii="宋体" w:hAnsi="宋体" w:cs="宋体" w:eastAsia="宋体" w:hint="default"/>
                <w:sz w:val="18"/>
                <w:szCs w:val="18"/>
              </w:rPr>
              <w:t>成都三零嘉 微电子有限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27"/>
              <w:jc w:val="left"/>
              <w:rPr>
                <w:rFonts w:ascii="宋体" w:hAnsi="宋体" w:cs="宋体" w:eastAsia="宋体" w:hint="default"/>
                <w:sz w:val="18"/>
                <w:szCs w:val="18"/>
              </w:rPr>
            </w:pPr>
            <w:r>
              <w:rPr>
                <w:rFonts w:ascii="宋体" w:hAnsi="宋体" w:cs="宋体" w:eastAsia="宋体" w:hint="default"/>
                <w:sz w:val="18"/>
                <w:szCs w:val="18"/>
              </w:rPr>
              <w:t>合并前同受 母公司控制</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与合并有关合同 已获股东大会通 过，获证监会批 准，各方办理了 必要的资产产权 交接手续，合并 对价得以支付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22,148,827.7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-483,931.08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31,501,429.1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8,801,067.30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合并成本" w:id="254"/>
      <w:bookmarkEnd w:id="25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495"/>
        <w:gridCol w:w="2294"/>
        <w:gridCol w:w="2391"/>
        <w:gridCol w:w="2389"/>
      </w:tblGrid>
      <w:tr>
        <w:trPr>
          <w:trHeight w:val="734"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0"/>
              <w:ind w:left="838" w:right="38" w:hanging="801"/>
              <w:jc w:val="left"/>
              <w:rPr>
                <w:rFonts w:ascii="宋体" w:hAnsi="宋体" w:cs="宋体" w:eastAsia="宋体" w:hint="default"/>
                <w:sz w:val="20"/>
                <w:szCs w:val="20"/>
              </w:rPr>
            </w:pPr>
            <w:r>
              <w:rPr>
                <w:rFonts w:ascii="宋体" w:hAnsi="宋体" w:cs="宋体" w:eastAsia="宋体" w:hint="default"/>
                <w:sz w:val="20"/>
                <w:szCs w:val="20"/>
              </w:rPr>
              <w:t>成都三零盛安信息系统有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0"/>
              <w:ind w:left="886" w:right="86" w:hanging="800"/>
              <w:jc w:val="left"/>
              <w:rPr>
                <w:rFonts w:ascii="宋体" w:hAnsi="宋体" w:cs="宋体" w:eastAsia="宋体" w:hint="default"/>
                <w:sz w:val="20"/>
                <w:szCs w:val="20"/>
              </w:rPr>
            </w:pPr>
            <w:r>
              <w:rPr>
                <w:rFonts w:ascii="宋体" w:hAnsi="宋体" w:cs="宋体" w:eastAsia="宋体" w:hint="default"/>
                <w:sz w:val="20"/>
                <w:szCs w:val="20"/>
              </w:rPr>
              <w:t>成都三零瑞通移动通信有</w:t>
            </w:r>
            <w:r>
              <w:rPr>
                <w:rFonts w:ascii="宋体" w:hAnsi="宋体" w:cs="宋体" w:eastAsia="宋体" w:hint="default"/>
                <w:w w:val="100"/>
                <w:sz w:val="20"/>
                <w:szCs w:val="20"/>
              </w:rPr>
              <w:t> </w:t>
            </w:r>
            <w:r>
              <w:rPr>
                <w:rFonts w:ascii="宋体" w:hAnsi="宋体" w:cs="宋体" w:eastAsia="宋体" w:hint="default"/>
                <w:sz w:val="20"/>
                <w:szCs w:val="20"/>
              </w:rPr>
              <w:t>限公司</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0"/>
              <w:ind w:left="1087" w:right="84" w:hanging="1000"/>
              <w:jc w:val="left"/>
              <w:rPr>
                <w:rFonts w:ascii="宋体" w:hAnsi="宋体" w:cs="宋体" w:eastAsia="宋体" w:hint="default"/>
                <w:sz w:val="20"/>
                <w:szCs w:val="20"/>
              </w:rPr>
            </w:pPr>
            <w:r>
              <w:rPr>
                <w:rFonts w:ascii="宋体" w:hAnsi="宋体" w:cs="宋体" w:eastAsia="宋体" w:hint="default"/>
                <w:sz w:val="20"/>
                <w:szCs w:val="20"/>
              </w:rPr>
              <w:t>成都三零嘉微电子有限公</w:t>
            </w:r>
            <w:r>
              <w:rPr>
                <w:rFonts w:ascii="宋体" w:hAnsi="宋体" w:cs="宋体" w:eastAsia="宋体" w:hint="default"/>
                <w:w w:val="100"/>
                <w:sz w:val="20"/>
                <w:szCs w:val="20"/>
              </w:rPr>
              <w:t> </w:t>
            </w:r>
            <w:r>
              <w:rPr>
                <w:rFonts w:ascii="宋体" w:hAnsi="宋体" w:cs="宋体" w:eastAsia="宋体" w:hint="default"/>
                <w:sz w:val="20"/>
                <w:szCs w:val="20"/>
              </w:rPr>
              <w:t>司</w:t>
            </w:r>
          </w:p>
        </w:tc>
      </w:tr>
      <w:tr>
        <w:trPr>
          <w:trHeight w:val="428"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非现金资产的账面价值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发行或承担的债务的账面价值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发行的权益性证券的面值</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331" w:right="0"/>
              <w:jc w:val="left"/>
              <w:rPr>
                <w:rFonts w:ascii="Times New Roman" w:hAnsi="Times New Roman" w:cs="Times New Roman" w:eastAsia="Times New Roman" w:hint="default"/>
                <w:sz w:val="18"/>
                <w:szCs w:val="18"/>
              </w:rPr>
            </w:pPr>
            <w:r>
              <w:rPr>
                <w:rFonts w:ascii="Times New Roman"/>
                <w:sz w:val="18"/>
              </w:rPr>
              <w:t>8,473,547.00</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337" w:right="0"/>
              <w:jc w:val="left"/>
              <w:rPr>
                <w:rFonts w:ascii="Times New Roman" w:hAnsi="Times New Roman" w:cs="Times New Roman" w:eastAsia="Times New Roman" w:hint="default"/>
                <w:sz w:val="18"/>
                <w:szCs w:val="18"/>
              </w:rPr>
            </w:pPr>
            <w:r>
              <w:rPr>
                <w:rFonts w:ascii="Times New Roman"/>
                <w:sz w:val="18"/>
              </w:rPr>
              <w:t>11,150,057.00</w:t>
            </w: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27" w:right="0"/>
              <w:jc w:val="left"/>
              <w:rPr>
                <w:rFonts w:ascii="Times New Roman" w:hAnsi="Times New Roman" w:cs="Times New Roman" w:eastAsia="Times New Roman" w:hint="default"/>
                <w:sz w:val="18"/>
                <w:szCs w:val="18"/>
              </w:rPr>
            </w:pPr>
            <w:r>
              <w:rPr>
                <w:rFonts w:ascii="Times New Roman"/>
                <w:sz w:val="18"/>
              </w:rPr>
              <w:t>7,081,109.00</w:t>
            </w:r>
          </w:p>
        </w:tc>
      </w:tr>
      <w:tr>
        <w:trPr>
          <w:trHeight w:val="427" w:hRule="exact"/>
        </w:trPr>
        <w:tc>
          <w:tcPr>
            <w:tcW w:w="24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w:t>
            </w:r>
          </w:p>
        </w:tc>
        <w:tc>
          <w:tcPr>
            <w:tcW w:w="22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5"/>
        <w:rPr>
          <w:rFonts w:ascii="宋体" w:hAnsi="宋体" w:cs="宋体" w:eastAsia="宋体" w:hint="default"/>
          <w:b/>
          <w:bCs/>
          <w:sz w:val="24"/>
          <w:szCs w:val="24"/>
        </w:rPr>
      </w:pPr>
    </w:p>
    <w:p>
      <w:pPr>
        <w:pStyle w:val="BodyText"/>
        <w:spacing w:line="360" w:lineRule="auto" w:before="44"/>
        <w:ind w:left="154" w:right="8592"/>
        <w:jc w:val="left"/>
      </w:pPr>
      <w:r>
        <w:rPr/>
        <w:t>或有对价及其变动的说明： 其他说明：</w:t>
      </w:r>
    </w:p>
    <w:p>
      <w:pPr>
        <w:pStyle w:val="BodyText"/>
        <w:spacing w:line="240" w:lineRule="auto" w:before="25"/>
        <w:ind w:right="0"/>
        <w:jc w:val="left"/>
      </w:pPr>
      <w:r>
        <w:rPr/>
        <w:t>发行的权益性证券面值为</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w:t>
      </w:r>
      <w:r>
        <w:rPr/>
        <w:t>股，发行价格为</w:t>
      </w:r>
      <w:r>
        <w:rPr>
          <w:rFonts w:ascii="Times New Roman" w:hAnsi="Times New Roman" w:cs="Times New Roman" w:eastAsia="Times New Roman" w:hint="default"/>
        </w:rPr>
        <w:t>18.05</w:t>
      </w:r>
      <w:r>
        <w:rPr/>
        <w:t>元</w:t>
      </w:r>
      <w:r>
        <w:rPr>
          <w:rFonts w:ascii="Times New Roman" w:hAnsi="Times New Roman" w:cs="Times New Roman" w:eastAsia="Times New Roman" w:hint="default"/>
        </w:rPr>
        <w:t>/</w:t>
      </w:r>
      <w:r>
        <w:rPr/>
        <w:t>股。</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3）合并日被合并方资产、负债的账面价值" w:id="255"/>
      <w:bookmarkEnd w:id="25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702"/>
        <w:gridCol w:w="1276"/>
        <w:gridCol w:w="1276"/>
        <w:gridCol w:w="1277"/>
        <w:gridCol w:w="1274"/>
        <w:gridCol w:w="1276"/>
        <w:gridCol w:w="1277"/>
      </w:tblGrid>
      <w:tr>
        <w:trPr>
          <w:trHeight w:val="430"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8"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2551" w:type="dxa"/>
            <w:gridSpan w:val="2"/>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7"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2553" w:type="dxa"/>
            <w:gridSpan w:val="2"/>
            <w:tcBorders>
              <w:top w:val="single" w:sz="6" w:space="0" w:color="000000"/>
              <w:left w:val="single" w:sz="6" w:space="0" w:color="000000"/>
              <w:bottom w:val="single" w:sz="8" w:space="0" w:color="000000"/>
              <w:right w:val="nil" w:sz="6" w:space="0" w:color="auto"/>
            </w:tcBorders>
          </w:tcPr>
          <w:p>
            <w:pPr>
              <w:pStyle w:val="TableParagraph"/>
              <w:spacing w:line="240" w:lineRule="auto" w:before="62"/>
              <w:ind w:left="188"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r>
      <w:tr>
        <w:trPr>
          <w:trHeight w:val="427" w:hRule="exact"/>
        </w:trPr>
        <w:tc>
          <w:tcPr>
            <w:tcW w:w="1702" w:type="dxa"/>
            <w:vMerge/>
            <w:tcBorders>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3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70"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360"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69"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360"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left="271"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42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279,010,172.78</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299,747,646.27</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173,276,228.24</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165,327,463.94</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52,194,645.60</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53,111,287.07</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19,456,450.52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101,986,879.28</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21,270,869.42</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51,365,980.17</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3,653,923.34</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7"/>
              <w:jc w:val="right"/>
              <w:rPr>
                <w:rFonts w:ascii="Times New Roman" w:hAnsi="Times New Roman" w:cs="Times New Roman" w:eastAsia="Times New Roman" w:hint="default"/>
                <w:sz w:val="18"/>
                <w:szCs w:val="18"/>
              </w:rPr>
            </w:pPr>
            <w:r>
              <w:rPr>
                <w:rFonts w:ascii="Times New Roman"/>
                <w:spacing w:val="-1"/>
                <w:sz w:val="18"/>
              </w:rPr>
              <w:t>33,247,463.92</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1,650,000.00</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618,000.00</w:t>
            </w:r>
          </w:p>
        </w:tc>
      </w:tr>
      <w:tr>
        <w:trPr>
          <w:trHeight w:val="42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159,987,520.01</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132,152,118.45</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44,907,284.35</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44,991,254.69</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15,183,795.95</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39,748.95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1702"/>
        <w:gridCol w:w="1276"/>
        <w:gridCol w:w="1276"/>
        <w:gridCol w:w="1277"/>
        <w:gridCol w:w="1274"/>
        <w:gridCol w:w="1276"/>
        <w:gridCol w:w="1277"/>
      </w:tblGrid>
      <w:tr>
        <w:trPr>
          <w:trHeight w:val="430" w:hRule="exact"/>
        </w:trPr>
        <w:tc>
          <w:tcPr>
            <w:tcW w:w="17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7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7,825,399.60</w:t>
            </w:r>
          </w:p>
        </w:tc>
        <w:tc>
          <w:tcPr>
            <w:tcW w:w="127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3,631,547.41</w:t>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22,441,665.60</w:t>
            </w:r>
          </w:p>
        </w:tc>
        <w:tc>
          <w:tcPr>
            <w:tcW w:w="127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5,663,670.37</w:t>
            </w:r>
          </w:p>
        </w:tc>
        <w:tc>
          <w:tcPr>
            <w:tcW w:w="127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6,287,430.30</w:t>
            </w:r>
          </w:p>
        </w:tc>
        <w:tc>
          <w:tcPr>
            <w:tcW w:w="127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sz w:val="18"/>
              </w:rPr>
              <w:t>470,664.00</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17,743,922.85</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12,020,340.56</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4,569,667.42</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1,896,783.82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433,290.82</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106,989.00</w:t>
            </w:r>
          </w:p>
        </w:tc>
      </w:tr>
      <w:tr>
        <w:trPr>
          <w:trHeight w:val="42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43,329,157.51</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17,325,466.93</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36,968,795.35</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14,886,628.84</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9,200,726.83</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62,132.44</w:t>
            </w:r>
          </w:p>
        </w:tc>
      </w:tr>
      <w:tr>
        <w:trPr>
          <w:trHeight w:val="42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180,000.00</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180,000.00</w:t>
            </w:r>
          </w:p>
        </w:tc>
        <w:tc>
          <w:tcPr>
            <w:tcW w:w="1277" w:type="dxa"/>
            <w:tcBorders>
              <w:top w:val="single" w:sz="8" w:space="0" w:color="000000"/>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17,025,271.00</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18,653,786.96</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42,260,470.36</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44,463,606.40</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17,347,413.03</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7"/>
              <w:jc w:val="right"/>
              <w:rPr>
                <w:rFonts w:ascii="Times New Roman" w:hAnsi="Times New Roman" w:cs="Times New Roman" w:eastAsia="Times New Roman" w:hint="default"/>
                <w:sz w:val="18"/>
                <w:szCs w:val="18"/>
              </w:rPr>
            </w:pPr>
            <w:r>
              <w:rPr>
                <w:rFonts w:ascii="Times New Roman"/>
                <w:spacing w:val="-1"/>
                <w:sz w:val="18"/>
              </w:rPr>
              <w:t>18,480,721.29</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1,025.63</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1,025.63</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9,255,359.53</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9,952,064.19</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446,012.35</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1,648,076.26</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85,881.24</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83,383.38</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1,288,350.73</w:t>
            </w:r>
          </w:p>
        </w:tc>
        <w:tc>
          <w:tcPr>
            <w:tcW w:w="1277" w:type="dxa"/>
            <w:tcBorders>
              <w:top w:val="single" w:sz="8" w:space="0" w:color="000000"/>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
        </w:tc>
      </w:tr>
      <w:tr>
        <w:trPr>
          <w:trHeight w:val="42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2,557,091.76</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2,557,091.76</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411,463.39</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411,463.39</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1,158.46</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1,158.46</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164,344,625.96</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188,679,161.41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59,510,526.71</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49,629,774.72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7,283,498.05</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7"/>
              <w:jc w:val="right"/>
              <w:rPr>
                <w:rFonts w:ascii="Times New Roman" w:hAnsi="Times New Roman" w:cs="Times New Roman" w:eastAsia="Times New Roman" w:hint="default"/>
                <w:sz w:val="18"/>
                <w:szCs w:val="18"/>
              </w:rPr>
            </w:pPr>
            <w:r>
              <w:rPr>
                <w:rFonts w:ascii="Times New Roman"/>
                <w:spacing w:val="-1"/>
                <w:sz w:val="18"/>
              </w:rPr>
              <w:t>7,716,208.44</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5,895,000.00</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107,380,510.41</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121,569,652.37</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20,161,654.43</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5,529,083.72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376,200.00</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376,200.00</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3,749,140.76</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1,063,868.81</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7,021,962.10</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1,092,432.72</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36,528.03</w:t>
            </w:r>
          </w:p>
        </w:tc>
      </w:tr>
      <w:tr>
        <w:trPr>
          <w:trHeight w:val="42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1,503,651.04</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1,172,372.80</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760,957.30</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z w:val="18"/>
              </w:rPr>
              <w:t>353,984.07</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-13,412,445.63</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4,517,499.74</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-1,151,276.77</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9,596,093.53</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w w:val="95"/>
                <w:sz w:val="18"/>
              </w:rPr>
              <w:t>-140,065.27</w:t>
            </w:r>
            <w:r>
              <w:rPr>
                <w:rFonts w:ascii="Times New Roman"/>
                <w:sz w:val="18"/>
              </w:rPr>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7"/>
              <w:jc w:val="right"/>
              <w:rPr>
                <w:rFonts w:ascii="Times New Roman" w:hAnsi="Times New Roman" w:cs="Times New Roman" w:eastAsia="Times New Roman" w:hint="default"/>
                <w:sz w:val="18"/>
                <w:szCs w:val="18"/>
              </w:rPr>
            </w:pPr>
            <w:r>
              <w:rPr>
                <w:rFonts w:ascii="Times New Roman"/>
                <w:spacing w:val="-1"/>
                <w:sz w:val="18"/>
              </w:rPr>
              <w:t>3,819,043.14</w:t>
            </w:r>
          </w:p>
        </w:tc>
      </w:tr>
      <w:tr>
        <w:trPr>
          <w:trHeight w:val="42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10,035,402.02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11,528,140.49</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384,535.91</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319,791.95</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426,656.02</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6"/>
              <w:jc w:val="right"/>
              <w:rPr>
                <w:rFonts w:ascii="Times New Roman" w:hAnsi="Times New Roman" w:cs="Times New Roman" w:eastAsia="Times New Roman" w:hint="default"/>
                <w:sz w:val="18"/>
                <w:szCs w:val="18"/>
              </w:rPr>
            </w:pPr>
            <w:r>
              <w:rPr>
                <w:rFonts w:ascii="Times New Roman"/>
                <w:sz w:val="18"/>
              </w:rPr>
              <w:t>630,453.20</w:t>
            </w:r>
          </w:p>
        </w:tc>
      </w:tr>
      <w:tr>
        <w:trPr>
          <w:trHeight w:val="739"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57"/>
              <w:ind w:left="2" w:right="63"/>
              <w:jc w:val="left"/>
              <w:rPr>
                <w:rFonts w:ascii="宋体" w:hAnsi="宋体" w:cs="宋体" w:eastAsia="宋体" w:hint="default"/>
                <w:sz w:val="18"/>
                <w:szCs w:val="18"/>
              </w:rPr>
            </w:pPr>
            <w:r>
              <w:rPr>
                <w:rFonts w:ascii="宋体" w:hAnsi="宋体" w:cs="宋体" w:eastAsia="宋体" w:hint="default"/>
                <w:sz w:val="18"/>
                <w:szCs w:val="18"/>
              </w:rPr>
              <w:t>专项应付款（递延收 益）</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11,590,000.00</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11,920,000.00</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5,859,750.00</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7"/>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z w:val="18"/>
              </w:rPr>
              <w:t>697,018.40</w:t>
            </w: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single" w:sz="6" w:space="0" w:color="000000"/>
            </w:tcBorders>
          </w:tcPr>
          <w:p>
            <w:pPr/>
          </w:p>
        </w:tc>
        <w:tc>
          <w:tcPr>
            <w:tcW w:w="1274" w:type="dxa"/>
            <w:tcBorders>
              <w:top w:val="single" w:sz="8" w:space="0" w:color="000000"/>
              <w:left w:val="single" w:sz="6" w:space="0" w:color="000000"/>
              <w:bottom w:val="single" w:sz="8" w:space="0" w:color="000000"/>
              <w:right w:val="single" w:sz="6" w:space="0" w:color="000000"/>
            </w:tcBorders>
          </w:tcPr>
          <w:p>
            <w:pPr/>
          </w:p>
        </w:tc>
        <w:tc>
          <w:tcPr>
            <w:tcW w:w="1276" w:type="dxa"/>
            <w:tcBorders>
              <w:top w:val="single" w:sz="8" w:space="0" w:color="000000"/>
              <w:left w:val="single" w:sz="6" w:space="0" w:color="000000"/>
              <w:bottom w:val="single" w:sz="8" w:space="0" w:color="000000"/>
              <w:right w:val="single" w:sz="6" w:space="0" w:color="000000"/>
            </w:tcBorders>
          </w:tcPr>
          <w:p>
            <w:pPr/>
          </w:p>
        </w:tc>
        <w:tc>
          <w:tcPr>
            <w:tcW w:w="1277" w:type="dxa"/>
            <w:tcBorders>
              <w:top w:val="single" w:sz="8" w:space="0" w:color="000000"/>
              <w:left w:val="single" w:sz="6" w:space="0" w:color="000000"/>
              <w:bottom w:val="single" w:sz="8" w:space="0" w:color="000000"/>
              <w:right w:val="nil" w:sz="6" w:space="0" w:color="auto"/>
            </w:tcBorders>
          </w:tcPr>
          <w:p>
            <w:pPr/>
          </w:p>
        </w:tc>
      </w:tr>
      <w:tr>
        <w:trPr>
          <w:trHeight w:val="426"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114,665,546.82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111,068,484.86</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113,765,701.53</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115,697,689.22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44,911,147.55</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45,395,078.63</w:t>
            </w:r>
          </w:p>
        </w:tc>
      </w:tr>
      <w:tr>
        <w:trPr>
          <w:trHeight w:val="427"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6,902,865.92</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6,686,322.79</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6,356,356.00</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6,464,300.68</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6,402,639.11</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7"/>
              <w:jc w:val="right"/>
              <w:rPr>
                <w:rFonts w:ascii="Times New Roman" w:hAnsi="Times New Roman" w:cs="Times New Roman" w:eastAsia="Times New Roman" w:hint="default"/>
                <w:sz w:val="18"/>
                <w:szCs w:val="18"/>
              </w:rPr>
            </w:pPr>
            <w:r>
              <w:rPr>
                <w:rFonts w:ascii="Times New Roman"/>
                <w:spacing w:val="-1"/>
                <w:sz w:val="18"/>
              </w:rPr>
              <w:t>6,471,629.46</w:t>
            </w:r>
          </w:p>
        </w:tc>
      </w:tr>
      <w:tr>
        <w:trPr>
          <w:trHeight w:val="428" w:hRule="exact"/>
        </w:trPr>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107,762,680.90</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104,382,162.07</w:t>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107,409,345.53</w:t>
            </w:r>
          </w:p>
        </w:tc>
        <w:tc>
          <w:tcPr>
            <w:tcW w:w="12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109,233,388.54</w:t>
            </w:r>
          </w:p>
        </w:tc>
        <w:tc>
          <w:tcPr>
            <w:tcW w:w="12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38,508,508.44</w:t>
            </w:r>
          </w:p>
        </w:tc>
        <w:tc>
          <w:tcPr>
            <w:tcW w:w="12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7"/>
              <w:jc w:val="right"/>
              <w:rPr>
                <w:rFonts w:ascii="Times New Roman" w:hAnsi="Times New Roman" w:cs="Times New Roman" w:eastAsia="Times New Roman" w:hint="default"/>
                <w:sz w:val="18"/>
                <w:szCs w:val="18"/>
              </w:rPr>
            </w:pPr>
            <w:r>
              <w:rPr>
                <w:rFonts w:ascii="Times New Roman"/>
                <w:spacing w:val="-1"/>
                <w:sz w:val="18"/>
              </w:rPr>
              <w:t>38,923,449.17</w:t>
            </w:r>
          </w:p>
        </w:tc>
      </w:tr>
    </w:tbl>
    <w:p>
      <w:pPr>
        <w:spacing w:line="240" w:lineRule="auto" w:before="5"/>
        <w:rPr>
          <w:rFonts w:ascii="宋体" w:hAnsi="宋体" w:cs="宋体" w:eastAsia="宋体" w:hint="default"/>
          <w:b/>
          <w:bCs/>
          <w:sz w:val="24"/>
          <w:szCs w:val="24"/>
        </w:rPr>
      </w:pPr>
    </w:p>
    <w:p>
      <w:pPr>
        <w:pStyle w:val="BodyText"/>
        <w:spacing w:line="357" w:lineRule="auto" w:before="44"/>
        <w:ind w:right="7513"/>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3"/>
        <w:spacing w:line="240" w:lineRule="auto"/>
        <w:ind w:left="153" w:right="0"/>
        <w:jc w:val="left"/>
        <w:rPr>
          <w:b w:val="0"/>
          <w:bCs w:val="0"/>
        </w:rPr>
      </w:pPr>
      <w:bookmarkStart w:name="2、处置子公司" w:id="256"/>
      <w:bookmarkEnd w:id="256"/>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其他原因的合并范围变动" w:id="257"/>
      <w:bookmarkEnd w:id="257"/>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1030" w:hanging="360"/>
        <w:jc w:val="left"/>
      </w:pPr>
      <w:r>
        <w:rPr/>
        <w:t>说明其他原因导致的合并范围变动（如，新设子公司、清算子公司等）及其相关情况： 本公司对成都摩宝网络科技有限公司期初持股比例为</w:t>
      </w:r>
      <w:r>
        <w:rPr>
          <w:spacing w:val="-44"/>
        </w:rPr>
        <w:t> </w:t>
      </w:r>
      <w:r>
        <w:rPr>
          <w:rFonts w:ascii="Times New Roman" w:hAnsi="Times New Roman" w:cs="Times New Roman" w:eastAsia="Times New Roman" w:hint="default"/>
          <w:spacing w:val="-6"/>
        </w:rPr>
        <w:t>24.39%</w:t>
      </w:r>
      <w:r>
        <w:rPr>
          <w:spacing w:val="-6"/>
        </w:rPr>
        <w:t>，投资成本为</w:t>
      </w:r>
      <w:r>
        <w:rPr>
          <w:spacing w:val="-45"/>
        </w:rPr>
        <w:t> </w:t>
      </w:r>
      <w:r>
        <w:rPr>
          <w:rFonts w:ascii="Times New Roman" w:hAnsi="Times New Roman" w:cs="Times New Roman" w:eastAsia="Times New Roman" w:hint="default"/>
        </w:rPr>
        <w:t>17,175,215.05</w:t>
      </w:r>
      <w:r>
        <w:rPr>
          <w:rFonts w:ascii="Times New Roman" w:hAnsi="Times New Roman" w:cs="Times New Roman" w:eastAsia="Times New Roman" w:hint="default"/>
          <w:spacing w:val="1"/>
        </w:rPr>
        <w:t> </w:t>
      </w:r>
      <w:r>
        <w:rPr>
          <w:spacing w:val="-7"/>
        </w:rPr>
        <w:t>元并对其控制。</w:t>
      </w:r>
      <w:r>
        <w:rPr>
          <w:rFonts w:ascii="Times New Roman" w:hAnsi="Times New Roman" w:cs="Times New Roman" w:eastAsia="Times New Roman" w:hint="default"/>
          <w:spacing w:val="-7"/>
        </w:rPr>
        <w:t>2014</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9 </w:t>
      </w:r>
      <w:r>
        <w:rPr/>
        <w:t>月后，</w:t>
      </w:r>
    </w:p>
    <w:p>
      <w:pPr>
        <w:pStyle w:val="BodyText"/>
        <w:spacing w:line="215" w:lineRule="exact"/>
        <w:ind w:right="0"/>
        <w:jc w:val="left"/>
      </w:pPr>
      <w:r>
        <w:rPr/>
        <w:t>其董事会改组，本公司放弃对其的控制权，不再将其纳入本公司本年度合并财务报表范围，期末持股比例仍为</w:t>
      </w:r>
      <w:r>
        <w:rPr>
          <w:spacing w:val="-46"/>
        </w:rPr>
        <w:t> </w:t>
      </w:r>
      <w:r>
        <w:rPr>
          <w:rFonts w:ascii="Times New Roman" w:hAnsi="Times New Roman" w:cs="Times New Roman" w:eastAsia="Times New Roman" w:hint="default"/>
        </w:rPr>
        <w:t>24.39%</w:t>
      </w:r>
      <w:r>
        <w:rPr/>
        <w:t>，母</w:t>
      </w:r>
    </w:p>
    <w:p>
      <w:pPr>
        <w:pStyle w:val="BodyText"/>
        <w:spacing w:line="240" w:lineRule="auto" w:before="64"/>
        <w:ind w:right="0"/>
        <w:jc w:val="left"/>
      </w:pPr>
      <w:r>
        <w:rPr/>
        <w:t>公司投资核算方法由成本法改为权益法并按照企业会计准则规定进行了追溯调整。</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258"/>
      <w:bookmarkEnd w:id="258"/>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在子公司中的权益" w:id="259"/>
      <w:bookmarkEnd w:id="259"/>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企业集团的构成" w:id="260"/>
      <w:bookmarkEnd w:id="26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416"/>
        <w:gridCol w:w="1560"/>
        <w:gridCol w:w="1134"/>
        <w:gridCol w:w="834"/>
        <w:gridCol w:w="1366"/>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上海卫士通网络安全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4"/>
              <w:jc w:val="left"/>
              <w:rPr>
                <w:rFonts w:ascii="宋体" w:hAnsi="宋体" w:cs="宋体" w:eastAsia="宋体" w:hint="default"/>
                <w:sz w:val="18"/>
                <w:szCs w:val="18"/>
              </w:rPr>
            </w:pPr>
            <w:r>
              <w:rPr>
                <w:rFonts w:ascii="宋体" w:hAnsi="宋体" w:cs="宋体" w:eastAsia="宋体" w:hint="default"/>
                <w:sz w:val="18"/>
                <w:szCs w:val="18"/>
              </w:rPr>
              <w:t>信息安全产品销 售、集成与服务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四川卫士通信息安全 平台技术有限公司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4"/>
              <w:jc w:val="left"/>
              <w:rPr>
                <w:rFonts w:ascii="宋体" w:hAnsi="宋体" w:cs="宋体" w:eastAsia="宋体" w:hint="default"/>
                <w:sz w:val="18"/>
                <w:szCs w:val="18"/>
              </w:rPr>
            </w:pPr>
            <w:r>
              <w:rPr>
                <w:rFonts w:ascii="宋体" w:hAnsi="宋体" w:cs="宋体" w:eastAsia="宋体" w:hint="default"/>
                <w:sz w:val="18"/>
                <w:szCs w:val="18"/>
              </w:rPr>
              <w:t>信息安全产品销 售、集成与服务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78.66%</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成都卫士通信息安全 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4"/>
              <w:jc w:val="left"/>
              <w:rPr>
                <w:rFonts w:ascii="宋体" w:hAnsi="宋体" w:cs="宋体" w:eastAsia="宋体" w:hint="default"/>
                <w:sz w:val="18"/>
                <w:szCs w:val="18"/>
              </w:rPr>
            </w:pPr>
            <w:r>
              <w:rPr>
                <w:rFonts w:ascii="宋体" w:hAnsi="宋体" w:cs="宋体" w:eastAsia="宋体" w:hint="default"/>
                <w:sz w:val="18"/>
                <w:szCs w:val="18"/>
              </w:rPr>
              <w:t>信息安全产品销 售、集成与服务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成都三零豪赛网络安 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4"/>
              <w:jc w:val="left"/>
              <w:rPr>
                <w:rFonts w:ascii="宋体" w:hAnsi="宋体" w:cs="宋体" w:eastAsia="宋体" w:hint="default"/>
                <w:sz w:val="18"/>
                <w:szCs w:val="18"/>
              </w:rPr>
            </w:pPr>
            <w:r>
              <w:rPr>
                <w:rFonts w:ascii="宋体" w:hAnsi="宋体" w:cs="宋体" w:eastAsia="宋体" w:hint="default"/>
                <w:sz w:val="18"/>
                <w:szCs w:val="18"/>
              </w:rPr>
              <w:t>信息安全产品销 售、集成与服务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成都三零盛安信息系 统有限公司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4"/>
              <w:jc w:val="left"/>
              <w:rPr>
                <w:rFonts w:ascii="宋体" w:hAnsi="宋体" w:cs="宋体" w:eastAsia="宋体" w:hint="default"/>
                <w:sz w:val="18"/>
                <w:szCs w:val="18"/>
              </w:rPr>
            </w:pPr>
            <w:r>
              <w:rPr>
                <w:rFonts w:ascii="宋体" w:hAnsi="宋体" w:cs="宋体" w:eastAsia="宋体" w:hint="default"/>
                <w:sz w:val="18"/>
                <w:szCs w:val="18"/>
              </w:rPr>
              <w:t>信息安全产品销 售、集成与服务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93.98%</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成都三零瑞通移动通 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4"/>
              <w:jc w:val="left"/>
              <w:rPr>
                <w:rFonts w:ascii="宋体" w:hAnsi="宋体" w:cs="宋体" w:eastAsia="宋体" w:hint="default"/>
                <w:sz w:val="18"/>
                <w:szCs w:val="18"/>
              </w:rPr>
            </w:pPr>
            <w:r>
              <w:rPr>
                <w:rFonts w:ascii="宋体" w:hAnsi="宋体" w:cs="宋体" w:eastAsia="宋体" w:hint="default"/>
                <w:sz w:val="18"/>
                <w:szCs w:val="18"/>
              </w:rPr>
              <w:t>信息安全产品销 售、集成与服务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94.41%</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成都三零嘉微电子有 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64"/>
              <w:jc w:val="left"/>
              <w:rPr>
                <w:rFonts w:ascii="宋体" w:hAnsi="宋体" w:cs="宋体" w:eastAsia="宋体" w:hint="default"/>
                <w:sz w:val="18"/>
                <w:szCs w:val="18"/>
              </w:rPr>
            </w:pPr>
            <w:r>
              <w:rPr>
                <w:rFonts w:ascii="宋体" w:hAnsi="宋体" w:cs="宋体" w:eastAsia="宋体" w:hint="default"/>
                <w:sz w:val="18"/>
                <w:szCs w:val="18"/>
              </w:rPr>
              <w:t>信息安全产品销 售、集成与服务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85.74%</w:t>
            </w:r>
          </w:p>
        </w:tc>
        <w:tc>
          <w:tcPr>
            <w:tcW w:w="83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重要的非全资子公司" w:id="261"/>
      <w:bookmarkEnd w:id="26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19"/>
        <w:gridCol w:w="1418"/>
        <w:gridCol w:w="1560"/>
        <w:gridCol w:w="1562"/>
        <w:gridCol w:w="1913"/>
      </w:tblGrid>
      <w:tr>
        <w:trPr>
          <w:trHeight w:val="764"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613" w:right="72" w:hanging="541"/>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413" w:right="54" w:hanging="360"/>
              <w:jc w:val="left"/>
              <w:rPr>
                <w:rFonts w:ascii="宋体" w:hAnsi="宋体" w:cs="宋体" w:eastAsia="宋体" w:hint="default"/>
                <w:sz w:val="18"/>
                <w:szCs w:val="18"/>
              </w:rPr>
            </w:pPr>
            <w:r>
              <w:rPr>
                <w:rFonts w:ascii="宋体" w:hAnsi="宋体" w:cs="宋体" w:eastAsia="宋体" w:hint="default"/>
                <w:sz w:val="18"/>
                <w:szCs w:val="18"/>
              </w:rPr>
              <w:t>本期归属于少数股 东的损益</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235" w:right="54"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-2,388,592.06</w:t>
            </w:r>
          </w:p>
        </w:tc>
        <w:tc>
          <w:tcPr>
            <w:tcW w:w="156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-367,505.75</w:t>
            </w:r>
            <w:r>
              <w:rPr>
                <w:rFonts w:ascii="Times New Roman"/>
                <w:sz w:val="18"/>
              </w:rPr>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四川卫士通信息安全平台技术有限公司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4,955,998.22</w:t>
            </w:r>
          </w:p>
        </w:tc>
        <w:tc>
          <w:tcPr>
            <w:tcW w:w="156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27,858,548.67</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1,547,302.77</w:t>
            </w:r>
          </w:p>
        </w:tc>
        <w:tc>
          <w:tcPr>
            <w:tcW w:w="156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8,233,625.56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1,072,344.16</w:t>
            </w:r>
          </w:p>
        </w:tc>
        <w:tc>
          <w:tcPr>
            <w:tcW w:w="156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7,536,644.84</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成都三零嘉微电子有限公司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1,951,271.81</w:t>
            </w:r>
          </w:p>
        </w:tc>
        <w:tc>
          <w:tcPr>
            <w:tcW w:w="1562"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8,422,901.27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重要非全资子公司的主要财务信息" w:id="262"/>
      <w:bookmarkEnd w:id="26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上海卫 士通网 络安全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12,480,7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04.69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13,097,8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14,567,8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70.70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14,567,8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14,540,9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1,491,65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16,032,5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7,948,21</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7,948,21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6.41</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四川卫 士通信 息安全 平台技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153,755,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634.86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7,440,69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161,196,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334.52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28,201,7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85.63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2,432,52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30,634,3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121,716,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094.61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8,549,77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130,265,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874.25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20,481,4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54.94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2,449,20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22,930,6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54.94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成都三 零盛安 信息系 统有限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316,570,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369.79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30,502,9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30.79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347,073,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203,455,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211.32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6,846,90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210,302,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pacing w:val="-3"/>
                <w:sz w:val="18"/>
              </w:rPr>
              <w:t>111.98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267,116,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352.63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32,631,2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299,747,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646.27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188,679,</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161.41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188,679,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161.41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成都三 零瑞通 移动通 信有限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156,628,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079.37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43,425,2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200,053,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305.34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51,372,8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60.79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13,790,0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65,162,8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118,804,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317.89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46,523,1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165,327,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463.94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37,709,7</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74.72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11,920,0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49,629,7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74.72</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成都三 零嘉微 电子有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61,443,2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75.44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17,297,9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78,741,2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8,699,28</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6.63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10,959,7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19,659,0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34,544,9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98.31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18,566,2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53,111,2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87.07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5,216,20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7,716,20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8.44</w:t>
            </w:r>
          </w:p>
        </w:tc>
      </w:tr>
    </w:tbl>
    <w:p>
      <w:pPr>
        <w:pStyle w:val="BodyText"/>
        <w:spacing w:line="240" w:lineRule="auto" w:before="51"/>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上海卫士通 网络安全有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11,523,801.8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-9,554,368.24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-9,554,368.24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-2,612,383.87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20,543,044.4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319,042.98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319,042.98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-3,515,646.61</w:t>
            </w:r>
          </w:p>
        </w:tc>
      </w:tr>
      <w:tr>
        <w:trPr>
          <w:trHeight w:val="98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四川卫士通 信息安全平 台技术有限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86,375,358.3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23,226,808.5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23,226,808.5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 w:right="0"/>
              <w:jc w:val="center"/>
              <w:rPr>
                <w:rFonts w:ascii="Times New Roman" w:hAnsi="Times New Roman" w:cs="Times New Roman" w:eastAsia="Times New Roman" w:hint="default"/>
                <w:sz w:val="18"/>
                <w:szCs w:val="18"/>
              </w:rPr>
            </w:pPr>
            <w:r>
              <w:rPr>
                <w:rFonts w:ascii="Times New Roman"/>
                <w:sz w:val="18"/>
              </w:rPr>
              <w:t>-2,225,203.36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72,251,980.6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15,468,693.6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15,468,693.6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-20,529,467.7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成都三零盛 安信息系统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420,934,097.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25,702,703.7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25,702,703.7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-26,994,938.2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214,133,813.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8,146,061.37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8,146,061.37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-12,598,197.0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成都三零瑞 通移动通信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122,439,542.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19,192,755.3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19,192,755.3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-28,619,961.7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71,271,112.3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19,680,753.5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19,680,753.5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-2,062,812.46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成都三零嘉 微电子有限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55,724,368.3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13,687,145.9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13,687,145.9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4,928,567.46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31,501,429.1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8,801,067.30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8,801,067.30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10,533,244.8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在合营安排或联营企业中的权益" w:id="263"/>
      <w:bookmarkEnd w:id="263"/>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上重要的合营企业和联营企业的汇总财务信息" w:id="264"/>
      <w:bookmarkEnd w:id="264"/>
      <w:r>
        <w:rPr>
          <w:b w:val="0"/>
          <w:bCs w:val="0"/>
        </w:rPr>
      </w:r>
      <w:r>
        <w:rPr/>
        <w:t>（</w:t>
      </w:r>
      <w:r>
        <w:rPr>
          <w:rFonts w:ascii="Times New Roman" w:hAnsi="Times New Roman" w:cs="Times New Roman" w:eastAsia="Times New Roman" w:hint="default"/>
        </w:rPr>
        <w:t>1</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12,933,851.84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2,295.10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2,295.10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十、关联方及关联交易" w:id="265"/>
      <w:bookmarkEnd w:id="265"/>
      <w:r>
        <w:rPr>
          <w:b w:val="0"/>
          <w:bCs w:val="0"/>
        </w:rPr>
      </w: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本企业的母公司情况" w:id="266"/>
      <w:bookmarkEnd w:id="26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成都市高新大道创 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0"/>
                <w:sz w:val="18"/>
                <w:szCs w:val="18"/>
              </w:rPr>
              <w:t>装备研制、工程建设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和信息服务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43,425.93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43.41%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43.41%</w:t>
            </w:r>
          </w:p>
        </w:tc>
      </w:tr>
    </w:tbl>
    <w:p>
      <w:pPr>
        <w:pStyle w:val="BodyText"/>
        <w:spacing w:line="357" w:lineRule="auto" w:before="51"/>
        <w:ind w:right="4813"/>
        <w:jc w:val="left"/>
      </w:pPr>
      <w:r>
        <w:rPr/>
        <w:t>本企业的母公司情况的说明 中国电子科技集团公司第三十研究所系事业单位，开办资金</w:t>
      </w:r>
      <w:r>
        <w:rPr>
          <w:rFonts w:ascii="Times New Roman" w:hAnsi="Times New Roman" w:cs="Times New Roman" w:eastAsia="Times New Roman" w:hint="default"/>
        </w:rPr>
        <w:t>43,425.93</w:t>
      </w:r>
      <w:r>
        <w:rPr/>
        <w:t>万元。</w:t>
      </w:r>
    </w:p>
    <w:p>
      <w:pPr>
        <w:spacing w:line="240" w:lineRule="auto" w:before="4"/>
        <w:rPr>
          <w:rFonts w:ascii="宋体" w:hAnsi="宋体" w:cs="宋体" w:eastAsia="宋体" w:hint="default"/>
          <w:sz w:val="24"/>
          <w:szCs w:val="24"/>
        </w:rPr>
      </w:pPr>
    </w:p>
    <w:p>
      <w:pPr>
        <w:pStyle w:val="BodyText"/>
        <w:spacing w:line="240" w:lineRule="auto"/>
        <w:ind w:right="0"/>
        <w:jc w:val="left"/>
      </w:pPr>
      <w:r>
        <w:rPr/>
        <w:t>本企业最终控制方是中国电子科技集团公司。</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2、本企业的子公司情况" w:id="267"/>
      <w:bookmarkEnd w:id="26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3、本企业合营和联营企业情况" w:id="268"/>
      <w:bookmarkEnd w:id="26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本企业重要的合营或联营企业详见附注。</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4、其他关联方情况" w:id="269"/>
      <w:bookmarkEnd w:id="26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受同一母公司控制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中国电子科技集团公司电子科学研究院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中国电子科技集团公司信息化工程总体研究中心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中国电子科技集团公司第七研究所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中国电子科技集团公司第十一研究所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中国电子科技集团公司第十四研究所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中国电子科技集团公司第十五研究所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中国电子科技集团公司第二十一研究所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中国电子科技集团公司第二十二研究所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中国电子科技集团公司第二十三研究所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中国电子科技集团公司第二十六研究所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中国电子科技集团公司第二十七研究所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中国电子科技集团公司第二十八研究所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中国电子科技集团公司第三十四研究所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中国电子科技集团公司第三十八研究所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中国电子科技集团公司第四十一研究所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中国电子科技集团公司第四十三研究所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中国电子科技集团公司第四十四研究所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中国电子科技集团公司第四十九研究所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中国电子科技集团公司第五十三研究所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中国电子科技集团公司第五十四研究所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中电科航空电子有限公司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中电科技集团重庆声光电有限公司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w:t>
            </w:r>
          </w:p>
        </w:tc>
      </w:tr>
    </w:tbl>
    <w:p>
      <w:pPr>
        <w:spacing w:line="240" w:lineRule="auto" w:before="3"/>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270"/>
      <w:bookmarkEnd w:id="27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271"/>
      <w:bookmarkEnd w:id="27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29"/>
        <w:gridCol w:w="2268"/>
        <w:gridCol w:w="1702"/>
        <w:gridCol w:w="177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78,360.00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2,544,320.90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4,630,958.15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681,278.80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61,008.56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1,451,410.00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2,627.54</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61,723.08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94,181.09</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76,063.25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39,279,837.35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5,353,037.58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14,367,315.07</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1,904,116.39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5,375,400.64</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四川信息安全与通信保密杂志社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102,600.00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18,220.00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29"/>
        <w:gridCol w:w="2268"/>
        <w:gridCol w:w="1702"/>
        <w:gridCol w:w="1770"/>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10,329,059.83</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20,341,880.34</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中国电子科技集团公司第二十四研究所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233,846.15</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中国电子科技集团公司第五十二研究所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4,380.00</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中国电子科技集团公司第五十八研究所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94,170.00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300,928.89</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263,888.89</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杭州海康威视数字技术有限公司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3,701,876.34</w:t>
            </w:r>
          </w:p>
        </w:tc>
        <w:tc>
          <w:tcPr>
            <w:tcW w:w="17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70"/>
        <w:gridCol w:w="1985"/>
        <w:gridCol w:w="1844"/>
        <w:gridCol w:w="1770"/>
      </w:tblGrid>
      <w:tr>
        <w:trPr>
          <w:trHeight w:val="401" w:hRule="exact"/>
        </w:trPr>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188,512.82</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136,317.00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666.67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8,675.21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1,749,256.40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1,225,591.81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779,245.28</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安徽四创电子股份有限公司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16,752.13</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6,274,087.59</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9,042.74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23,965,812.00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145,217.10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890,000.00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7,024,280.32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691,193.19</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1,538.46</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中电集团华北计算技术研究所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76,923.08</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中电科航空电子有限公司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1,536,752.34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中电科航空电子有限公司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316,493.58</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中电科技集团重庆声光电有限公司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1,299.15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中电科技国际贸易有限公司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2,042.74</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中电科技国际贸易有限公司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1,111,307.70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948,176.20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75,471.70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1,731,399.49</w:t>
            </w:r>
          </w:p>
        </w:tc>
      </w:tr>
      <w:tr>
        <w:trPr>
          <w:trHeight w:val="403"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37,650,371.24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1,238,461.54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970"/>
        <w:gridCol w:w="1985"/>
        <w:gridCol w:w="1844"/>
        <w:gridCol w:w="1770"/>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1,048,756.78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6,806,451.78</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中国电子科技集团公司第二十八研究所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164,786.33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211,538.46</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中国电子科技集团公司第二十二研究所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151,880.34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8,665,811.95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1,717,948.73</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149,572.65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中国电子科技集团公司第二十七研究所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2,991.45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2,564.10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16,752.13</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中国电子科技集团公司第二十四研究所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1,188,888.88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5,726,495.71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736,324.79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3,145.30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中国电子科技集团公司第二十一研究所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2,051.28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28,461.54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854,000.00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11,863.25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119,347.00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75,555.55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中国电子科技集团公司第七研究所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21,367.52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777,571.36</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220,243.68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863,401.55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42,646.80</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810,289.20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中国电子科技集团公司第三十四研究所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38,444.45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118,806,527.72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68,950,096.54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7,876,468.92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12,395,630.59</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2,719,723.94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中国电子科技集团公司第十八研究所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855,521.37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中国电子科技集团公司第十八研究所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261,606.84</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中国电子科技集团公司第十二研究所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4,666.67</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38,769.23</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中国电子科技集团公司第十六研究所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547.01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2,000,854.69</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132,639.90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中国电子科技集团公司第十四研究所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4,666.67</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中国电子科技集团公司第十五研究所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6,393.16</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36,758,974.36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17,659,692.30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中国电子科技集团公司第十一研究所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376,796.58</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中国电子科技集团公司第四十八研究所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2,303,680.33</w:t>
            </w:r>
          </w:p>
        </w:tc>
        <w:tc>
          <w:tcPr>
            <w:tcW w:w="17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970"/>
        <w:gridCol w:w="1985"/>
        <w:gridCol w:w="1844"/>
        <w:gridCol w:w="1770"/>
      </w:tblGrid>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中国电子科技集团公司第四十九研究所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147,863.25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16,239.31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中国电子科技集团公司第四十六研究所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683.76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40,632.48</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中国电子科技集团公司第四十七研究所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42,832.48</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79,111.11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中国电子科技集团公司第四十四研究所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100,727.35</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中国电子科技集团公司第四十四研究所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83,171.20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中国电子科技集团公司第四十五研究所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53,846.15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286,324.79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292,536.40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中国电子科技集团公司第四十一研究所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507,521.37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中国电子科技集团公司第四十一研究所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80,341.88</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中国电子科技集团公司第五十八研究所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3,111.11</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中国电子科技集团公司第五十三研究所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8,547.01</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中国电子科技集团公司第五十四研究所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852,991.45</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7,607,086.06</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344,786.32</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中国电子科技集团公司第五十一研究所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170,940.17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中国电子科技集团公司电子科学研究所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246,538.47</w:t>
            </w: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中国电子科技集团公司电子科学研究所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中国电子科技集团公司信息化工程总体研究中心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259,931.62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733,230.77</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中国电子科技集团公司信息化工程总体研究中心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43,788.03</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中国电子科技集团公司电子科学研究所</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中国电子科技集团公司信息化工程总体研究中心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733,230.77</w:t>
            </w:r>
          </w:p>
        </w:tc>
      </w:tr>
      <w:tr>
        <w:trPr>
          <w:trHeight w:val="40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中国电子科技集团公司信息化工程总体研究中心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844"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43,788.03</w:t>
            </w:r>
          </w:p>
        </w:tc>
      </w:tr>
    </w:tbl>
    <w:p>
      <w:pPr>
        <w:pStyle w:val="BodyText"/>
        <w:spacing w:line="240" w:lineRule="auto" w:before="51"/>
        <w:ind w:left="15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关联租赁情况" w:id="272"/>
      <w:bookmarkEnd w:id="27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0"/>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0" w:right="0"/>
              <w:jc w:val="left"/>
              <w:rPr>
                <w:rFonts w:ascii="Times New Roman" w:hAnsi="Times New Roman" w:cs="Times New Roman" w:eastAsia="Times New Roman" w:hint="default"/>
                <w:sz w:val="18"/>
                <w:szCs w:val="18"/>
              </w:rPr>
            </w:pPr>
            <w:r>
              <w:rPr>
                <w:rFonts w:ascii="Times New Roman"/>
                <w:sz w:val="18"/>
              </w:rPr>
              <w:t>196,458.32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1,307,599.50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1,743,466.00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3"/>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95,533.96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关联租赁情况说明</w:t>
      </w:r>
    </w:p>
    <w:p>
      <w:pPr>
        <w:pStyle w:val="BodyText"/>
        <w:spacing w:line="300" w:lineRule="auto" w:before="116"/>
        <w:ind w:right="1153"/>
        <w:jc w:val="left"/>
      </w:pPr>
      <w:r>
        <w:rPr/>
        <w:t>成都摩宝网络科技有限公司本年</w:t>
      </w:r>
      <w:r>
        <w:rPr>
          <w:rFonts w:ascii="Times New Roman" w:hAnsi="Times New Roman" w:cs="Times New Roman" w:eastAsia="Times New Roman" w:hint="default"/>
        </w:rPr>
        <w:t>10</w:t>
      </w:r>
      <w:r>
        <w:rPr/>
        <w:t>月开始不再纳入本公司的合并范围，上述租赁收入为本年</w:t>
      </w:r>
      <w:r>
        <w:rPr>
          <w:rFonts w:ascii="Times New Roman" w:hAnsi="Times New Roman" w:cs="Times New Roman" w:eastAsia="Times New Roman" w:hint="default"/>
        </w:rPr>
        <w:t>10-12</w:t>
      </w:r>
      <w:r>
        <w:rPr/>
        <w:t>月发生额，上期纳入合并 范围，所确认收入在合并报表中抵销。</w:t>
      </w:r>
    </w:p>
    <w:p>
      <w:pPr>
        <w:spacing w:line="240" w:lineRule="auto" w:before="5"/>
        <w:rPr>
          <w:rFonts w:ascii="宋体" w:hAnsi="宋体" w:cs="宋体" w:eastAsia="宋体" w:hint="default"/>
          <w:sz w:val="25"/>
          <w:szCs w:val="25"/>
        </w:rPr>
      </w:pPr>
    </w:p>
    <w:p>
      <w:pPr>
        <w:pStyle w:val="BodyText"/>
        <w:spacing w:line="300" w:lineRule="auto"/>
        <w:ind w:left="154" w:right="1130" w:firstLine="360"/>
        <w:jc w:val="both"/>
      </w:pPr>
      <w:r>
        <w:rPr>
          <w:spacing w:val="2"/>
        </w:rPr>
        <w:t>本公司之北京分公司租赁三十所办公用房，根据签订的房屋租赁协议，租用房屋面积</w:t>
      </w:r>
      <w:r>
        <w:rPr>
          <w:rFonts w:ascii="Times New Roman" w:hAnsi="Times New Roman" w:cs="Times New Roman" w:eastAsia="Times New Roman" w:hint="default"/>
          <w:spacing w:val="2"/>
        </w:rPr>
        <w:t>955.30</w:t>
      </w:r>
      <w:r>
        <w:rPr>
          <w:spacing w:val="2"/>
        </w:rPr>
        <w:t>平方米，租金单价</w:t>
      </w:r>
      <w:r>
        <w:rPr>
          <w:rFonts w:ascii="Times New Roman" w:hAnsi="Times New Roman" w:cs="Times New Roman" w:eastAsia="Times New Roman" w:hint="default"/>
          <w:spacing w:val="2"/>
        </w:rPr>
        <w:t>2</w:t>
      </w:r>
      <w:r>
        <w:rPr>
          <w:spacing w:val="2"/>
        </w:rPr>
        <w:t>元</w:t>
      </w:r>
      <w:r>
        <w:rPr>
          <w:rFonts w:ascii="Times New Roman" w:hAnsi="Times New Roman" w:cs="Times New Roman" w:eastAsia="Times New Roman" w:hint="default"/>
          <w:spacing w:val="2"/>
        </w:rPr>
        <w:t>/</w:t>
      </w:r>
      <w:r>
        <w:rPr>
          <w:spacing w:val="2"/>
        </w:rPr>
        <w:t>天</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平方米，租赁期间自</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日止，租金</w:t>
      </w:r>
      <w:r>
        <w:rPr>
          <w:rFonts w:ascii="Times New Roman" w:hAnsi="Times New Roman" w:cs="Times New Roman" w:eastAsia="Times New Roman" w:hint="default"/>
          <w:spacing w:val="-2"/>
        </w:rPr>
        <w:t>523,043.25</w:t>
      </w:r>
      <w:r>
        <w:rPr>
          <w:spacing w:val="-2"/>
        </w:rPr>
        <w:t>元；本公司下属全资子公司成都卫士通信息安全技术</w:t>
      </w:r>
      <w:r>
        <w:rPr>
          <w:spacing w:val="-44"/>
        </w:rPr>
        <w:t> </w:t>
      </w:r>
      <w:r>
        <w:rPr>
          <w:spacing w:val="-44"/>
        </w:rPr>
      </w:r>
      <w:r>
        <w:rPr>
          <w:spacing w:val="-1"/>
        </w:rPr>
        <w:t>有限公司之北京分公司租赁三十所办公用房，根据签订的房屋租赁协议，租赁房屋面积共计</w:t>
      </w:r>
      <w:r>
        <w:rPr>
          <w:rFonts w:ascii="Times New Roman" w:hAnsi="Times New Roman" w:cs="Times New Roman" w:eastAsia="Times New Roman" w:hint="default"/>
          <w:spacing w:val="-1"/>
        </w:rPr>
        <w:t>1432.98</w:t>
      </w:r>
      <w:r>
        <w:rPr>
          <w:spacing w:val="-1"/>
        </w:rPr>
        <w:t>平方米，租金单价为</w:t>
      </w:r>
      <w:r>
        <w:rPr>
          <w:rFonts w:ascii="Times New Roman" w:hAnsi="Times New Roman" w:cs="Times New Roman" w:eastAsia="Times New Roman" w:hint="default"/>
          <w:spacing w:val="-1"/>
        </w:rPr>
        <w:t>2</w:t>
      </w:r>
      <w:r>
        <w:rPr>
          <w:spacing w:val="-1"/>
        </w:rPr>
        <w:t>元</w:t>
      </w:r>
    </w:p>
    <w:p>
      <w:pPr>
        <w:pStyle w:val="BodyText"/>
        <w:spacing w:line="240" w:lineRule="auto" w:before="13"/>
        <w:ind w:right="0"/>
        <w:jc w:val="left"/>
      </w:pPr>
      <w:r>
        <w:rPr>
          <w:rFonts w:ascii="Times New Roman" w:hAnsi="Times New Roman" w:cs="Times New Roman" w:eastAsia="Times New Roman" w:hint="default"/>
        </w:rPr>
        <w:t>/</w:t>
      </w:r>
      <w:r>
        <w:rPr/>
        <w:t>天</w:t>
      </w:r>
      <w:r>
        <w:rPr>
          <w:rFonts w:ascii="Times New Roman" w:hAnsi="Times New Roman" w:cs="Times New Roman" w:eastAsia="Times New Roman" w:hint="default"/>
        </w:rPr>
        <w:t>/</w:t>
      </w:r>
      <w:r>
        <w:rPr/>
        <w:t>平方米，租金共计</w:t>
      </w:r>
      <w:r>
        <w:rPr>
          <w:rFonts w:ascii="Times New Roman" w:hAnsi="Times New Roman" w:cs="Times New Roman" w:eastAsia="Times New Roman" w:hint="default"/>
        </w:rPr>
        <w:t>784,556.25</w:t>
      </w:r>
      <w:r>
        <w:rPr/>
        <w:t>元，房屋租赁期间为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日。从</w:t>
      </w:r>
      <w:r>
        <w:rPr>
          <w:rFonts w:ascii="Times New Roman" w:hAnsi="Times New Roman" w:cs="Times New Roman" w:eastAsia="Times New Roman" w:hint="default"/>
        </w:rPr>
        <w:t>10</w:t>
      </w:r>
      <w:r>
        <w:rPr/>
        <w:t>月开始，该房产重组投入本公司。</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3）关联担保情况" w:id="273"/>
      <w:bookmarkEnd w:id="273"/>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772"/>
        <w:gridCol w:w="1914"/>
        <w:gridCol w:w="1914"/>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20,000,000.00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30,000,000.00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三十所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10,000,000.00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成都三零瑞通移动通信有限公司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20,000,000.00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30,000,000.00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成都三零盛安信息系统有限公司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 w:right="0"/>
              <w:jc w:val="left"/>
              <w:rPr>
                <w:rFonts w:ascii="Times New Roman" w:hAnsi="Times New Roman" w:cs="Times New Roman" w:eastAsia="Times New Roman" w:hint="default"/>
                <w:sz w:val="18"/>
                <w:szCs w:val="18"/>
              </w:rPr>
            </w:pPr>
            <w:r>
              <w:rPr>
                <w:rFonts w:ascii="Times New Roman"/>
                <w:sz w:val="18"/>
              </w:rPr>
              <w:t>10,000,000.00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关联担保情况说明</w:t>
      </w:r>
    </w:p>
    <w:p>
      <w:pPr>
        <w:pStyle w:val="Heading4"/>
        <w:spacing w:line="273" w:lineRule="auto" w:before="90"/>
        <w:ind w:left="154" w:right="0" w:firstLine="84"/>
        <w:jc w:val="left"/>
      </w:pPr>
      <w:r>
        <w:rPr/>
        <w:t>注①：三十所为本公司下属子公司向中国电子科技财务有限公司借款提供担保，金额分别为成都三零瑞</w:t>
      </w:r>
      <w:r>
        <w:rPr>
          <w:spacing w:val="-100"/>
        </w:rPr>
        <w:t> </w:t>
      </w:r>
      <w:r>
        <w:rPr/>
        <w:t>通移动通信有限公司</w:t>
      </w:r>
      <w:r>
        <w:rPr>
          <w:rFonts w:ascii="Times New Roman" w:hAnsi="Times New Roman" w:cs="Times New Roman" w:eastAsia="Times New Roman" w:hint="default"/>
        </w:rPr>
        <w:t>20,000,000.00</w:t>
      </w:r>
      <w:r>
        <w:rPr/>
        <w:t>元和成都三零盛安信息系统有限公司</w:t>
      </w:r>
      <w:r>
        <w:rPr>
          <w:rFonts w:ascii="Times New Roman" w:hAnsi="Times New Roman" w:cs="Times New Roman" w:eastAsia="Times New Roman" w:hint="default"/>
        </w:rPr>
        <w:t>40,000,000.00</w:t>
      </w:r>
      <w:r>
        <w:rPr/>
        <w:t>元；</w:t>
      </w:r>
    </w:p>
    <w:p>
      <w:pPr>
        <w:pStyle w:val="Heading4"/>
        <w:spacing w:line="264" w:lineRule="auto" w:before="60"/>
        <w:ind w:right="1132" w:firstLine="336"/>
        <w:jc w:val="both"/>
      </w:pPr>
      <w:r>
        <w:rPr/>
        <w:t>注②：本公司下属子公司成都三零瑞通移动通信有限公司就注①担保事项与三十所签订反担保合同， </w:t>
      </w:r>
      <w:r>
        <w:rPr>
          <w:spacing w:val="-1"/>
        </w:rPr>
        <w:t>将其位于成都市高新区云华路</w:t>
      </w:r>
      <w:r>
        <w:rPr>
          <w:rFonts w:ascii="Times New Roman" w:hAnsi="Times New Roman" w:cs="Times New Roman" w:eastAsia="Times New Roman" w:hint="default"/>
          <w:spacing w:val="-1"/>
        </w:rPr>
        <w:t>333</w:t>
      </w:r>
      <w:r>
        <w:rPr>
          <w:spacing w:val="-1"/>
        </w:rPr>
        <w:t>号国家西部信息安全产业园</w:t>
      </w:r>
      <w:r>
        <w:rPr>
          <w:rFonts w:ascii="Times New Roman" w:hAnsi="Times New Roman" w:cs="Times New Roman" w:eastAsia="Times New Roman" w:hint="default"/>
          <w:spacing w:val="-1"/>
        </w:rPr>
        <w:t>3</w:t>
      </w:r>
      <w:r>
        <w:rPr>
          <w:spacing w:val="-1"/>
        </w:rPr>
        <w:t>栋办公楼作为抵押财产抵押给三十所，该办</w:t>
      </w:r>
      <w:r>
        <w:rPr>
          <w:spacing w:val="-83"/>
        </w:rPr>
        <w:t> </w:t>
      </w:r>
      <w:r>
        <w:rPr>
          <w:spacing w:val="-83"/>
        </w:rPr>
      </w:r>
      <w:r>
        <w:rPr/>
        <w:t>公楼面积为</w:t>
      </w:r>
      <w:r>
        <w:rPr>
          <w:rFonts w:ascii="Times New Roman" w:hAnsi="Times New Roman" w:cs="Times New Roman" w:eastAsia="Times New Roman" w:hint="default"/>
        </w:rPr>
        <w:t>6715.78</w:t>
      </w:r>
      <w:r>
        <w:rPr/>
        <w:t>平方米；</w:t>
      </w:r>
    </w:p>
    <w:p>
      <w:pPr>
        <w:pStyle w:val="Heading4"/>
        <w:spacing w:line="264" w:lineRule="auto" w:before="70"/>
        <w:ind w:left="154" w:right="1132" w:firstLine="336"/>
        <w:jc w:val="both"/>
      </w:pPr>
      <w:r>
        <w:rPr/>
        <w:t>注③：本公司下属子公司成都三零盛安信息系统有限公司就注①担保事项与三十所签订反担保合同， </w:t>
      </w:r>
      <w:r>
        <w:rPr>
          <w:spacing w:val="-2"/>
        </w:rPr>
        <w:t>将其位于成都高新区云华路</w:t>
      </w:r>
      <w:r>
        <w:rPr>
          <w:rFonts w:ascii="Times New Roman" w:hAnsi="Times New Roman" w:cs="Times New Roman" w:eastAsia="Times New Roman" w:hint="default"/>
          <w:spacing w:val="-2"/>
        </w:rPr>
        <w:t>333</w:t>
      </w:r>
      <w:r>
        <w:rPr>
          <w:spacing w:val="-2"/>
        </w:rPr>
        <w:t>号国家西部信息安全产业园</w:t>
      </w:r>
      <w:r>
        <w:rPr>
          <w:rFonts w:ascii="Times New Roman" w:hAnsi="Times New Roman" w:cs="Times New Roman" w:eastAsia="Times New Roman" w:hint="default"/>
          <w:spacing w:val="-2"/>
        </w:rPr>
        <w:t>2</w:t>
      </w:r>
      <w:r>
        <w:rPr>
          <w:spacing w:val="-2"/>
        </w:rPr>
        <w:t>栋</w:t>
      </w:r>
      <w:r>
        <w:rPr>
          <w:rFonts w:ascii="Times New Roman" w:hAnsi="Times New Roman" w:cs="Times New Roman" w:eastAsia="Times New Roman" w:hint="default"/>
          <w:spacing w:val="-2"/>
        </w:rPr>
        <w:t>6-7</w:t>
      </w:r>
      <w:r>
        <w:rPr>
          <w:spacing w:val="-2"/>
        </w:rPr>
        <w:t>层办公楼作为抵押财产抵押给三十所，该</w:t>
      </w:r>
      <w:r>
        <w:rPr>
          <w:spacing w:val="-103"/>
        </w:rPr>
        <w:t> </w:t>
      </w:r>
      <w:r>
        <w:rPr>
          <w:spacing w:val="-103"/>
        </w:rPr>
      </w:r>
      <w:r>
        <w:rPr/>
        <w:t>办公楼面积为</w:t>
      </w:r>
      <w:r>
        <w:rPr>
          <w:rFonts w:ascii="Times New Roman" w:hAnsi="Times New Roman" w:cs="Times New Roman" w:eastAsia="Times New Roman" w:hint="default"/>
        </w:rPr>
        <w:t>1598.02</w:t>
      </w:r>
      <w:r>
        <w:rPr/>
        <w:t>平方米。</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bookmarkStart w:name="（4）关联方资金拆借" w:id="274"/>
      <w:bookmarkEnd w:id="274"/>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915"/>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担保方为三十所</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担保方为三十所</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中国电子科技财务有限公司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担保方为三十所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5）关键管理人员报酬" w:id="275"/>
      <w:bookmarkEnd w:id="275"/>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3,695,900.00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关联方应收应付款项" w:id="276"/>
      <w:bookmarkEnd w:id="27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277"/>
      <w:bookmarkEnd w:id="27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418"/>
        <w:gridCol w:w="1416"/>
        <w:gridCol w:w="1277"/>
        <w:gridCol w:w="1344"/>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3118"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6,750.00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3,031,134.09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207,806.70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1,981,492.44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163,174.62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2,756,663.58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137,833.18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29,050,640.79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1,828,794.92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30,597,263.04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2,119,880.53</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41,033.80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12,310.14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321,164.00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19,858.20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6,955,484.92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517,458.86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377,076.92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113,123.08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中电集团华北计算技术研究所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中电科航空电子有限公司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15,749.20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1,574.92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400,288.90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20,014.45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中电科技集团信息化工程总体研究中心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467,222.88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31,516.29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163,102.88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8,155.14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中电科技集团重庆声光电有限公司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26,239.99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173,527.62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17,352.76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中电科投资控股有限公司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2,297.50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3,785,493.60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329,274.68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5,066,118.40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253,305.92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中国电子科技集团公司第八研究所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136,186.00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13,618.60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中国电子科技集团公司第二十九研究所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中国电子科技集团公司第二十七研究所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中国电子科技集团公司第二十四研究所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206,750.00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中国电子科技集团公司第二十研究所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43,075.00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2,153.75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2,135.00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中国电子科技集团公司第九研究所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97,605.00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9,760.50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13,815.00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中国电子科技集团公司第七研究所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538,680.00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26,934.00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3118"/>
        <w:gridCol w:w="1418"/>
        <w:gridCol w:w="1416"/>
        <w:gridCol w:w="1277"/>
        <w:gridCol w:w="1344"/>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中国电子科技集团公司第三十八研究所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63,843.00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230,310.00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23,031.00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中国电子科技集团公司第三十二研究所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34,804.00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中国电子科技集团公司第三十九研究所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140,036.00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42,010.80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140,036.00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14,003.60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中国电子科技集团公司第三十六研究所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196,810.00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19,681.00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中国电子科技集团公司第三十三研究所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85,293.60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6,397.02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42,646.80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2,132.34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2,392,962.12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4,300,304.00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270,926.55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中国电子科技集团公司第十八研究所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中国电子科技集团公司第十二研究所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166,280.00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16,628.00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中国电子科技集团公司第十三研究所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23,844.59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1,140,205.97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57,010.30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中国电子科技集团公司第十四研究所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727,500.00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36,375.00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18,141,840.00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907,092.00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中国电子科技集团公司第十一研究所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194,810.00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19,481.00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中国电子科技集团公司第四十八研究所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1,419,948.00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70,997.40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中国电子科技集团公司第四十九研究所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4,036.75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中国电子科技集团公司第四十七研究所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中国电子科技集团公司第四十三研究所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9,256.00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462.80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中国电子科技集团公司第四十四研究所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中国电子科技集团公司第四十一研究所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611,731.62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30,586.58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中国电子科技集团公司第五十四研究所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中国电子科技集团公司第五十研究所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2,158,257.00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107,912.85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中国电子科技集团公司第五十一研究所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中国电子科技集团公司电子科学研究院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288,450.00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14,422.50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31,448.00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3,144.80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57,112,648.78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3,750,357.20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72,186,604.72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4,541,228.38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成都三零凯天实业有限公司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太极计算机股份有限公司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9,034.20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9,034.20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9,034.20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5,009,034.20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444,291.41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22,214.57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287,152.84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14,357.64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456,189.58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364,951.66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456,189.58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228,094.79</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900,480.99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387,166.23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743,342.42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242,452.43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278"/>
      <w:bookmarkEnd w:id="27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3651"/>
        <w:gridCol w:w="2392"/>
        <w:gridCol w:w="239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514,728.56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3651"/>
        <w:gridCol w:w="2392"/>
        <w:gridCol w:w="2392"/>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成都三零凯天通信实业有限公司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1,069,720.00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1,001,367.15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广州杰赛科技股份有限公司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36,384.00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761,243.79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1,571,837.55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2,592,439.60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中国电子科技集团公司第十四研究所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普华基础软件股份有限公司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88,994.00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13,393,887.75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18,135,328.39</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25,625,104.00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7,087,991.44</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44,457,078.59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29,221,255.38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成都三零普瑞科技有限公司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70,966.20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40,846.20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中电科技集团信息化工程总体研究中心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14,653.00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179,701.85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中国电子科技集团公司第二研究所</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256,200.00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13,845,128.00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55,372.45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80,341.88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中国电子科技集团公司第十一研究所</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10,256.42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中国电子科技集团公司第四十六研究所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中国电子科技集团公司第四十七研究所</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32,370.94</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1,532.40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中国电子科技集团公司第四十一所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76,068.38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76,068.38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中国电子科技集团公司第五十四研究所</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154,391.45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中国电子科技集团公司十二研究所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12,444.44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中国电子科技集团公司十五究所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中国电子科技集团公司十一研究所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10,256.42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中国电子科技集团公司四十五研究所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9,828.00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14,376,667.57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737,433.12</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成都国信安信息产业基地有限公司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270,214.80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上海三零卫士信息安全有限公司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1,652,097.93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1,682,280.93</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中国电子科技集团公司第三十研究所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2,516,008.21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6,850,301.76</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4,486,106.14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8,802,797.49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一、资产负债表日后事项" w:id="279"/>
      <w:bookmarkEnd w:id="279"/>
      <w:r>
        <w:rPr>
          <w:b w:val="0"/>
          <w:bCs w:val="0"/>
        </w:rPr>
      </w:r>
      <w:r>
        <w:rPr/>
        <w:t>十一、资产负债表日后事项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的非调整事项" w:id="280"/>
      <w:bookmarkEnd w:id="280"/>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715"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设立全资子公司</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拟在北京成立的全资子公司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4"/>
              <w:jc w:val="left"/>
              <w:rPr>
                <w:rFonts w:ascii="宋体" w:hAnsi="宋体" w:cs="宋体" w:eastAsia="宋体" w:hint="default"/>
                <w:sz w:val="18"/>
                <w:szCs w:val="18"/>
              </w:rPr>
            </w:pPr>
            <w:r>
              <w:rPr>
                <w:rFonts w:ascii="宋体" w:hAnsi="宋体" w:cs="宋体" w:eastAsia="宋体" w:hint="default"/>
                <w:sz w:val="18"/>
                <w:szCs w:val="18"/>
              </w:rPr>
              <w:t>短期内不会对公司的业绩产 生实质性影响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281"/>
      <w:bookmarkEnd w:id="28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6,487,850.20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十二、其他重要事项" w:id="282"/>
      <w:bookmarkEnd w:id="282"/>
      <w:r>
        <w:rPr>
          <w:b w:val="0"/>
          <w:bCs w:val="0"/>
        </w:rPr>
      </w:r>
      <w:r>
        <w:rPr/>
        <w:t>十二、其他重要事项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分部信息" w:id="283"/>
      <w:bookmarkEnd w:id="283"/>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分部的确定依据与会计政策" w:id="284"/>
      <w:bookmarkEnd w:id="28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both"/>
        <w:rPr>
          <w:b w:val="0"/>
          <w:bCs w:val="0"/>
        </w:rPr>
      </w:pPr>
      <w:bookmarkStart w:name="（2）报告分部的财务信息" w:id="285"/>
      <w:bookmarkEnd w:id="28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3）公司无报告分部的，或者上能披露各报告分部的资产总额和负债总额的，应说明原因" w:id="286"/>
      <w:bookmarkEnd w:id="28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4）其他说明" w:id="287"/>
      <w:bookmarkEnd w:id="28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其他对投资者决策有影响的重要交易和事项" w:id="288"/>
      <w:bookmarkEnd w:id="288"/>
      <w:r>
        <w:rPr>
          <w:b w:val="0"/>
          <w:bCs w:val="0"/>
        </w:rPr>
      </w: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3、其他" w:id="289"/>
      <w:bookmarkEnd w:id="28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1</w:t>
      </w:r>
      <w:r>
        <w:rPr/>
        <w:t>、取得三十所承诺的北京房产土地使用权权属证明。作为公司</w:t>
      </w:r>
      <w:r>
        <w:rPr>
          <w:rFonts w:ascii="Times New Roman" w:hAnsi="Times New Roman" w:cs="Times New Roman" w:eastAsia="Times New Roman" w:hint="default"/>
        </w:rPr>
        <w:t>2014</w:t>
      </w:r>
      <w:r>
        <w:rPr/>
        <w:t>年度发行股份购买资产并募集配套资金塈关联交易方案</w:t>
      </w:r>
    </w:p>
    <w:p>
      <w:pPr>
        <w:pStyle w:val="BodyText"/>
        <w:spacing w:line="309" w:lineRule="auto" w:before="63"/>
        <w:ind w:right="1130"/>
        <w:jc w:val="both"/>
      </w:pPr>
      <w:r>
        <w:rPr/>
        <w:t>（下称</w:t>
      </w:r>
      <w:r>
        <w:rPr>
          <w:rFonts w:ascii="Times New Roman" w:hAnsi="Times New Roman" w:cs="Times New Roman" w:eastAsia="Times New Roman" w:hint="default"/>
        </w:rPr>
        <w:t>“</w:t>
      </w:r>
      <w:r>
        <w:rPr/>
        <w:t>本次重组</w:t>
      </w:r>
      <w:r>
        <w:rPr>
          <w:rFonts w:ascii="Times New Roman" w:hAnsi="Times New Roman" w:cs="Times New Roman" w:eastAsia="Times New Roman" w:hint="default"/>
        </w:rPr>
        <w:t>”</w:t>
      </w:r>
      <w:r>
        <w:rPr/>
        <w:t>）的一部分，公司向三十所发行股份购买其位于北京的房产</w:t>
      </w:r>
      <w:r>
        <w:rPr>
          <w:color w:val="FF0000"/>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日，中国证券监督管理委员会</w:t>
      </w:r>
      <w:r>
        <w:rPr>
          <w:spacing w:val="-66"/>
        </w:rPr>
        <w:t> </w:t>
      </w:r>
      <w:r>
        <w:rPr>
          <w:spacing w:val="-66"/>
        </w:rPr>
      </w:r>
      <w:r>
        <w:rPr>
          <w:spacing w:val="-2"/>
        </w:rPr>
        <w:t>作出《关于核准成都卫士通信息产业股份有限公司向中国电子科技集团公司第三十研究所等发行股份购买资产并募集配套资</w:t>
      </w:r>
      <w:r>
        <w:rPr>
          <w:spacing w:val="-64"/>
        </w:rPr>
        <w:t> </w:t>
      </w:r>
      <w:r>
        <w:rPr>
          <w:spacing w:val="-64"/>
        </w:rPr>
      </w:r>
      <w:r>
        <w:rPr/>
        <w:t>金的批复》（证监许可</w:t>
      </w:r>
      <w:r>
        <w:rPr>
          <w:rFonts w:ascii="Times New Roman" w:hAnsi="Times New Roman" w:cs="Times New Roman" w:eastAsia="Times New Roman" w:hint="default"/>
        </w:rPr>
        <w:t>[2014]729</w:t>
      </w:r>
      <w:r>
        <w:rPr/>
        <w:t>号），核准了本次重组</w:t>
      </w:r>
      <w:r>
        <w:rPr>
          <w:color w:val="FF0000"/>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日，公司发布《关于发行股份购买资产并募集配套</w:t>
      </w:r>
      <w:r>
        <w:rPr>
          <w:spacing w:val="-33"/>
        </w:rPr>
        <w:t> </w:t>
      </w:r>
      <w:r>
        <w:rPr>
          <w:spacing w:val="-33"/>
        </w:rPr>
      </w:r>
      <w:r>
        <w:rPr>
          <w:spacing w:val="-2"/>
        </w:rPr>
        <w:t>资金塈关联交易方案实施情况之资产交割过户情况的公告》，交易标的北京房产已经实际完成资产交接，公司已取得三十所</w:t>
      </w:r>
      <w:r>
        <w:rPr>
          <w:spacing w:val="-65"/>
        </w:rPr>
        <w:t> </w:t>
      </w:r>
      <w:r>
        <w:rPr>
          <w:spacing w:val="-65"/>
        </w:rPr>
      </w:r>
      <w:r>
        <w:rPr>
          <w:spacing w:val="-2"/>
        </w:rPr>
        <w:t>北京房产的《房屋所有权证》，对房产已经实际行使占有、使用的权利，并取得三十所出具的《关于三十所北京房产土地使</w:t>
      </w:r>
      <w:r>
        <w:rPr>
          <w:spacing w:val="-68"/>
        </w:rPr>
        <w:t> </w:t>
      </w:r>
      <w:r>
        <w:rPr>
          <w:spacing w:val="-68"/>
        </w:rPr>
      </w:r>
      <w:r>
        <w:rPr/>
        <w:t>用权过户安排的承诺函》，三十所承诺自该承诺函出具之日起</w:t>
      </w:r>
      <w:r>
        <w:rPr>
          <w:rFonts w:ascii="Times New Roman" w:hAnsi="Times New Roman" w:cs="Times New Roman" w:eastAsia="Times New Roman" w:hint="default"/>
        </w:rPr>
        <w:t>6</w:t>
      </w:r>
      <w:r>
        <w:rPr/>
        <w:t>个月内，将办理完毕上述房产的土地使用权权属变更登记手</w:t>
      </w:r>
      <w:r>
        <w:rPr>
          <w:spacing w:val="-82"/>
        </w:rPr>
        <w:t> </w:t>
      </w:r>
      <w:r>
        <w:rPr>
          <w:spacing w:val="-82"/>
        </w:rPr>
      </w:r>
      <w:r>
        <w:rPr/>
        <w:t>续。</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日土地使用权证已办理完毕，并取得</w:t>
      </w:r>
      <w:r>
        <w:rPr>
          <w:rFonts w:ascii="Times New Roman" w:hAnsi="Times New Roman" w:cs="Times New Roman" w:eastAsia="Times New Roman" w:hint="default"/>
        </w:rPr>
        <w:t>“</w:t>
      </w:r>
      <w:r>
        <w:rPr/>
        <w:t>京丰国用</w:t>
      </w:r>
      <w:r>
        <w:rPr>
          <w:rFonts w:ascii="Times New Roman" w:hAnsi="Times New Roman" w:cs="Times New Roman" w:eastAsia="Times New Roman" w:hint="default"/>
        </w:rPr>
        <w:t>2014</w:t>
      </w:r>
      <w:r>
        <w:rPr/>
        <w:t>出</w:t>
      </w:r>
      <w:r>
        <w:rPr>
          <w:rFonts w:ascii="Times New Roman" w:hAnsi="Times New Roman" w:cs="Times New Roman" w:eastAsia="Times New Roman" w:hint="default"/>
        </w:rPr>
        <w:t>00220</w:t>
      </w:r>
      <w:r>
        <w:rPr/>
        <w:t>号</w:t>
      </w:r>
      <w:r>
        <w:rPr>
          <w:rFonts w:ascii="Times New Roman" w:hAnsi="Times New Roman" w:cs="Times New Roman" w:eastAsia="Times New Roman" w:hint="default"/>
        </w:rPr>
        <w:t>”</w:t>
      </w:r>
      <w:r>
        <w:rPr/>
        <w:t>国有土地使用证。</w:t>
      </w:r>
    </w:p>
    <w:p>
      <w:pPr>
        <w:pStyle w:val="BodyText"/>
        <w:spacing w:line="300" w:lineRule="auto" w:before="45"/>
        <w:ind w:right="1130" w:firstLine="290"/>
        <w:jc w:val="both"/>
      </w:pPr>
      <w:r>
        <w:rPr>
          <w:rFonts w:ascii="Times New Roman" w:hAnsi="Times New Roman" w:cs="Times New Roman" w:eastAsia="Times New Roman" w:hint="default"/>
        </w:rPr>
        <w:t>2</w:t>
      </w:r>
      <w:r>
        <w:rPr/>
        <w:t>、取得三十所、成都国信安信息产业基地有限公司及四川发展投资有限公司关于本公司发行股份购买成都三零盛安信</w:t>
      </w:r>
      <w:r>
        <w:rPr>
          <w:spacing w:val="1"/>
        </w:rPr>
        <w:t> </w:t>
      </w:r>
      <w:r>
        <w:rPr/>
        <w:t>息系统有限公司合计</w:t>
      </w:r>
      <w:r>
        <w:rPr>
          <w:rFonts w:ascii="Times New Roman" w:hAnsi="Times New Roman" w:cs="Times New Roman" w:eastAsia="Times New Roman" w:hint="default"/>
        </w:rPr>
        <w:t>93.98%</w:t>
      </w:r>
      <w:r>
        <w:rPr/>
        <w:t>的股权之盈利预测补偿协议：承诺成都三零盛安信息系统有限公司</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年度扣除非经常性损益后的净利润分别不低于</w:t>
      </w:r>
      <w:r>
        <w:rPr>
          <w:rFonts w:ascii="Times New Roman" w:hAnsi="Times New Roman" w:cs="Times New Roman" w:eastAsia="Times New Roman" w:hint="default"/>
        </w:rPr>
        <w:t>1,500.40</w:t>
      </w:r>
      <w:r>
        <w:rPr/>
        <w:t>万元、</w:t>
      </w:r>
      <w:r>
        <w:rPr>
          <w:rFonts w:ascii="Times New Roman" w:hAnsi="Times New Roman" w:cs="Times New Roman" w:eastAsia="Times New Roman" w:hint="default"/>
        </w:rPr>
        <w:t>2,226.72</w:t>
      </w:r>
      <w:r>
        <w:rPr/>
        <w:t>万元及</w:t>
      </w:r>
      <w:r>
        <w:rPr>
          <w:rFonts w:ascii="Times New Roman" w:hAnsi="Times New Roman" w:cs="Times New Roman" w:eastAsia="Times New Roman" w:hint="default"/>
        </w:rPr>
        <w:t>2,739.61</w:t>
      </w:r>
      <w:r>
        <w:rPr/>
        <w:t>万元，若低于，则由其补足。本公司已</w:t>
      </w:r>
      <w:r>
        <w:rPr>
          <w:spacing w:val="-85"/>
        </w:rPr>
        <w:t> </w:t>
      </w:r>
      <w:r>
        <w:rPr>
          <w:spacing w:val="-85"/>
        </w:rPr>
      </w:r>
      <w:r>
        <w:rPr>
          <w:spacing w:val="-2"/>
        </w:rPr>
        <w:t>聘请中天运会计师事务所（特殊普通合伙）对成都三零盛安信息系统有限公司</w:t>
      </w:r>
      <w:r>
        <w:rPr>
          <w:rFonts w:ascii="Times New Roman" w:hAnsi="Times New Roman" w:cs="Times New Roman" w:eastAsia="Times New Roman" w:hint="default"/>
          <w:spacing w:val="-2"/>
        </w:rPr>
        <w:t>2014</w:t>
      </w:r>
      <w:r>
        <w:rPr>
          <w:spacing w:val="-2"/>
        </w:rPr>
        <w:t>年度财务报表进行审计，该公司本年度扣</w:t>
      </w:r>
      <w:r>
        <w:rPr>
          <w:spacing w:val="-62"/>
        </w:rPr>
        <w:t> </w:t>
      </w:r>
      <w:r>
        <w:rPr>
          <w:spacing w:val="-62"/>
        </w:rPr>
      </w:r>
      <w:r>
        <w:rPr/>
        <w:t>除非经常性损益后净利润为</w:t>
      </w:r>
      <w:r>
        <w:rPr>
          <w:rFonts w:ascii="Times New Roman" w:hAnsi="Times New Roman" w:cs="Times New Roman" w:eastAsia="Times New Roman" w:hint="default"/>
        </w:rPr>
        <w:t>2,441.68</w:t>
      </w:r>
      <w:r>
        <w:rPr/>
        <w:t>万元。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firstLine="362"/>
        <w:jc w:val="both"/>
      </w:pPr>
      <w:r>
        <w:rPr>
          <w:rFonts w:ascii="Times New Roman" w:hAnsi="Times New Roman" w:cs="Times New Roman" w:eastAsia="Times New Roman" w:hint="default"/>
        </w:rPr>
        <w:t>3</w:t>
      </w:r>
      <w:r>
        <w:rPr/>
        <w:t>、取得三十所、成都国信安信息产业基地有限公司及四川发展投资有限公司关于本公司发行股份购买成都三零瑞通移 动通信有限公司合计</w:t>
      </w:r>
      <w:r>
        <w:rPr>
          <w:rFonts w:ascii="Times New Roman" w:hAnsi="Times New Roman" w:cs="Times New Roman" w:eastAsia="Times New Roman" w:hint="default"/>
        </w:rPr>
        <w:t>94.41%</w:t>
      </w:r>
      <w:r>
        <w:rPr/>
        <w:t>的股权之盈利预测补偿协议：承诺成都三零瑞通移动通信有限公司</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rFonts w:ascii="Times New Roman" w:hAnsi="Times New Roman" w:cs="Times New Roman" w:eastAsia="Times New Roman" w:hint="default"/>
          <w:spacing w:val="28"/>
        </w:rPr>
        <w:t> </w:t>
      </w:r>
      <w:r>
        <w:rPr/>
        <w:t>年度扣除非经常性损益后的净利润分别不低于</w:t>
      </w:r>
      <w:r>
        <w:rPr>
          <w:rFonts w:ascii="Times New Roman" w:hAnsi="Times New Roman" w:cs="Times New Roman" w:eastAsia="Times New Roman" w:hint="default"/>
        </w:rPr>
        <w:t>1,499.70</w:t>
      </w:r>
      <w:r>
        <w:rPr/>
        <w:t>万元、</w:t>
      </w:r>
      <w:r>
        <w:rPr>
          <w:rFonts w:ascii="Times New Roman" w:hAnsi="Times New Roman" w:cs="Times New Roman" w:eastAsia="Times New Roman" w:hint="default"/>
        </w:rPr>
        <w:t>2,197.96</w:t>
      </w:r>
      <w:r>
        <w:rPr/>
        <w:t>万元及</w:t>
      </w:r>
      <w:r>
        <w:rPr>
          <w:rFonts w:ascii="Times New Roman" w:hAnsi="Times New Roman" w:cs="Times New Roman" w:eastAsia="Times New Roman" w:hint="default"/>
        </w:rPr>
        <w:t>3,076.19</w:t>
      </w:r>
      <w:r>
        <w:rPr/>
        <w:t>万元，若低于，则由其补足。本公司已</w:t>
      </w:r>
      <w:r>
        <w:rPr>
          <w:spacing w:val="-85"/>
        </w:rPr>
        <w:t> </w:t>
      </w:r>
      <w:r>
        <w:rPr>
          <w:spacing w:val="-85"/>
        </w:rPr>
      </w:r>
      <w:r>
        <w:rPr>
          <w:spacing w:val="-2"/>
        </w:rPr>
        <w:t>聘请中天运会计师事务所（特殊普通合伙）对成都三零瑞通移动通信有限公司</w:t>
      </w:r>
      <w:r>
        <w:rPr>
          <w:rFonts w:ascii="Times New Roman" w:hAnsi="Times New Roman" w:cs="Times New Roman" w:eastAsia="Times New Roman" w:hint="default"/>
          <w:spacing w:val="-2"/>
        </w:rPr>
        <w:t>2014</w:t>
      </w:r>
      <w:r>
        <w:rPr>
          <w:spacing w:val="-2"/>
        </w:rPr>
        <w:t>年度财务报表进行审计，该公司本年度扣</w:t>
      </w:r>
      <w:r>
        <w:rPr>
          <w:spacing w:val="-62"/>
        </w:rPr>
        <w:t> </w:t>
      </w:r>
      <w:r>
        <w:rPr>
          <w:spacing w:val="-62"/>
        </w:rPr>
      </w:r>
      <w:r>
        <w:rPr/>
        <w:t>除非经常性损益后净利润为</w:t>
      </w:r>
      <w:r>
        <w:rPr>
          <w:rFonts w:ascii="Times New Roman" w:hAnsi="Times New Roman" w:cs="Times New Roman" w:eastAsia="Times New Roman" w:hint="default"/>
        </w:rPr>
        <w:t>1,858.22</w:t>
      </w:r>
      <w:r>
        <w:rPr/>
        <w:t>万元。</w:t>
      </w:r>
    </w:p>
    <w:p>
      <w:pPr>
        <w:pStyle w:val="BodyText"/>
        <w:spacing w:line="300" w:lineRule="auto" w:before="51"/>
        <w:ind w:right="1132" w:firstLine="362"/>
        <w:jc w:val="both"/>
      </w:pPr>
      <w:r>
        <w:rPr>
          <w:rFonts w:ascii="Times New Roman" w:hAnsi="Times New Roman" w:cs="Times New Roman" w:eastAsia="Times New Roman" w:hint="default"/>
          <w:spacing w:val="-1"/>
        </w:rPr>
        <w:t>4</w:t>
      </w:r>
      <w:r>
        <w:rPr>
          <w:spacing w:val="-1"/>
        </w:rPr>
        <w:t>、取得三十所及四川发展投资有限公司关于本公司发行股份购买成都三零嘉微电子有限公司合计</w:t>
      </w:r>
      <w:r>
        <w:rPr>
          <w:rFonts w:ascii="Times New Roman" w:hAnsi="Times New Roman" w:cs="Times New Roman" w:eastAsia="Times New Roman" w:hint="default"/>
          <w:spacing w:val="-1"/>
        </w:rPr>
        <w:t>85.74%</w:t>
      </w:r>
      <w:r>
        <w:rPr>
          <w:spacing w:val="-1"/>
        </w:rPr>
        <w:t>的股权之盈利</w:t>
      </w:r>
      <w:r>
        <w:rPr/>
        <w:t> 预测补偿协议：承诺成都三零嘉微电子有限公司</w:t>
      </w:r>
      <w:r>
        <w:rPr>
          <w:rFonts w:ascii="Times New Roman" w:hAnsi="Times New Roman" w:cs="Times New Roman" w:eastAsia="Times New Roman" w:hint="default"/>
        </w:rPr>
        <w:t>2014</w:t>
      </w:r>
      <w:r>
        <w:rPr/>
        <w:t>年度、</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年度扣除非经常性损益后的净利润分别不低于</w:t>
      </w:r>
      <w:r>
        <w:rPr>
          <w:spacing w:val="-5"/>
        </w:rPr>
        <w:t> </w:t>
      </w:r>
      <w:r>
        <w:rPr>
          <w:spacing w:val="-5"/>
        </w:rPr>
      </w:r>
      <w:r>
        <w:rPr>
          <w:rFonts w:ascii="Times New Roman" w:hAnsi="Times New Roman" w:cs="Times New Roman" w:eastAsia="Times New Roman" w:hint="default"/>
        </w:rPr>
        <w:t>1,223.99</w:t>
      </w:r>
      <w:r>
        <w:rPr/>
        <w:t>万元、</w:t>
      </w:r>
      <w:r>
        <w:rPr>
          <w:rFonts w:ascii="Times New Roman" w:hAnsi="Times New Roman" w:cs="Times New Roman" w:eastAsia="Times New Roman" w:hint="default"/>
        </w:rPr>
        <w:t>1,749.65</w:t>
      </w:r>
      <w:r>
        <w:rPr/>
        <w:t>万元及</w:t>
      </w:r>
      <w:r>
        <w:rPr>
          <w:rFonts w:ascii="Times New Roman" w:hAnsi="Times New Roman" w:cs="Times New Roman" w:eastAsia="Times New Roman" w:hint="default"/>
        </w:rPr>
        <w:t>2,519.67</w:t>
      </w:r>
      <w:r>
        <w:rPr/>
        <w:t>万元，若低于，则由其补足。本公司已聘请中天运会计师事务所（特殊普通合伙）对</w:t>
      </w:r>
      <w:r>
        <w:rPr>
          <w:spacing w:val="-85"/>
        </w:rPr>
        <w:t> </w:t>
      </w:r>
      <w:r>
        <w:rPr>
          <w:spacing w:val="-85"/>
        </w:rPr>
      </w:r>
      <w:r>
        <w:rPr/>
        <w:t>成都三零嘉微电子有限公司</w:t>
      </w:r>
      <w:r>
        <w:rPr>
          <w:rFonts w:ascii="Times New Roman" w:hAnsi="Times New Roman" w:cs="Times New Roman" w:eastAsia="Times New Roman" w:hint="default"/>
        </w:rPr>
        <w:t>2014</w:t>
      </w:r>
      <w:r>
        <w:rPr/>
        <w:t>年度财务报表进行审计，该公司本年度扣除非经常性损益后净利润为</w:t>
      </w:r>
      <w:r>
        <w:rPr>
          <w:rFonts w:ascii="Times New Roman" w:hAnsi="Times New Roman" w:cs="Times New Roman" w:eastAsia="Times New Roman" w:hint="default"/>
        </w:rPr>
        <w:t>1,342.72</w:t>
      </w:r>
      <w:r>
        <w:rPr/>
        <w:t>万元。</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十三、母公司财务报表主要项目注释" w:id="290"/>
      <w:bookmarkEnd w:id="290"/>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291"/>
      <w:bookmarkEnd w:id="29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292"/>
      <w:bookmarkEnd w:id="29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304,945,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467.13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13,253,6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291,691,8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18.55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256,955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,726.54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10,346,85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3.09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246,608,87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3.45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1,095,20</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1,095,20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1,095,2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05.40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1,095,205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306,040,</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672.53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14,348,8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53.98</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291,691,8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18.55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258,050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,931.94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11,442,05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8.49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246,608,87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3.45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63,602,915.14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3,180,145.75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63,602,915.14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3,180,145.75</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25,574,831.46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2,557,483.15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2"/>
        <w:gridCol w:w="2307"/>
        <w:gridCol w:w="2391"/>
        <w:gridCol w:w="2389"/>
      </w:tblGrid>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1,985,305.87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595,591.76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7,346,360.25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6,920,427.92</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636,242.95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318,121.48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539,054.31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431,243.45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6,171,062.99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6,171,062.99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98,509,412.72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13,253,648.58</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本期计提、收回或转回的坏账准备情况" w:id="293"/>
      <w:bookmarkEnd w:id="29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7"/>
        </w:rPr>
        <w:t> </w:t>
      </w:r>
      <w:r>
        <w:rPr>
          <w:rFonts w:ascii="Times New Roman" w:hAnsi="Times New Roman" w:cs="Times New Roman" w:eastAsia="Times New Roman" w:hint="default"/>
        </w:rPr>
        <w:t>2,906,795.49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按欠款方归集的期末余额前五吊的应收账款情况" w:id="294"/>
      <w:bookmarkEnd w:id="29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47"/>
        <w:gridCol w:w="1602"/>
        <w:gridCol w:w="2403"/>
        <w:gridCol w:w="1951"/>
      </w:tblGrid>
      <w:tr>
        <w:trPr>
          <w:trHeight w:val="742" w:hRule="exact"/>
        </w:trPr>
        <w:tc>
          <w:tcPr>
            <w:tcW w:w="364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217"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0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62"/>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03"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62"/>
              <w:ind w:left="968" w:right="23" w:hanging="94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占应收账款期末余额合计数比 例</w:t>
            </w:r>
            <w:r>
              <w:rPr>
                <w:rFonts w:ascii="Times New Roman" w:hAnsi="Times New Roman" w:cs="Times New Roman" w:eastAsia="Times New Roman" w:hint="default"/>
                <w:sz w:val="18"/>
                <w:szCs w:val="18"/>
              </w:rPr>
              <w:t>(%)</w:t>
            </w:r>
          </w:p>
        </w:tc>
        <w:tc>
          <w:tcPr>
            <w:tcW w:w="1951" w:type="dxa"/>
            <w:tcBorders>
              <w:top w:val="single" w:sz="6" w:space="0" w:color="000000"/>
              <w:left w:val="single" w:sz="6" w:space="0" w:color="000000"/>
              <w:bottom w:val="single" w:sz="8" w:space="0" w:color="000000"/>
              <w:right w:val="nil" w:sz="6" w:space="0" w:color="auto"/>
            </w:tcBorders>
          </w:tcPr>
          <w:p>
            <w:pPr>
              <w:pStyle w:val="TableParagraph"/>
              <w:spacing w:line="316" w:lineRule="auto" w:before="62"/>
              <w:ind w:left="787" w:right="74" w:hanging="720"/>
              <w:jc w:val="left"/>
              <w:rPr>
                <w:rFonts w:ascii="宋体" w:hAnsi="宋体" w:cs="宋体" w:eastAsia="宋体" w:hint="default"/>
                <w:sz w:val="18"/>
                <w:szCs w:val="18"/>
              </w:rPr>
            </w:pPr>
            <w:r>
              <w:rPr>
                <w:rFonts w:ascii="宋体" w:hAnsi="宋体" w:cs="宋体" w:eastAsia="宋体" w:hint="default"/>
                <w:sz w:val="18"/>
                <w:szCs w:val="18"/>
              </w:rPr>
              <w:t>相应计提坏账准备期末 余额</w:t>
            </w:r>
          </w:p>
        </w:tc>
      </w:tr>
      <w:tr>
        <w:trPr>
          <w:trHeight w:val="426"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149,635,313.36</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z w:val="18"/>
              </w:rPr>
              <w:t>48.89</w:t>
            </w:r>
          </w:p>
        </w:tc>
        <w:tc>
          <w:tcPr>
            <w:tcW w:w="1951" w:type="dxa"/>
            <w:tcBorders>
              <w:top w:val="single" w:sz="8" w:space="0" w:color="000000"/>
              <w:left w:val="single" w:sz="6" w:space="0" w:color="000000"/>
              <w:bottom w:val="single" w:sz="8" w:space="0" w:color="000000"/>
              <w:right w:val="nil" w:sz="6" w:space="0" w:color="auto"/>
            </w:tcBorders>
          </w:tcPr>
          <w:p>
            <w:pP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56,800,741.05</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18.56</w:t>
            </w:r>
          </w:p>
        </w:tc>
        <w:tc>
          <w:tcPr>
            <w:tcW w:w="1951" w:type="dxa"/>
            <w:tcBorders>
              <w:top w:val="single" w:sz="8" w:space="0" w:color="000000"/>
              <w:left w:val="single" w:sz="6" w:space="0" w:color="000000"/>
              <w:bottom w:val="single" w:sz="8" w:space="0" w:color="000000"/>
              <w:right w:val="nil" w:sz="6" w:space="0" w:color="auto"/>
            </w:tcBorders>
          </w:tcPr>
          <w:p>
            <w:pP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上海卫士通网络安全有限公司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10,152,524.28</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3.32</w:t>
            </w:r>
          </w:p>
        </w:tc>
        <w:tc>
          <w:tcPr>
            <w:tcW w:w="19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z w:val="18"/>
              </w:rPr>
              <w:t>763,417.88</w:t>
            </w: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郑州天昕电子有限公司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5,547,342.73</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1.81</w:t>
            </w:r>
          </w:p>
        </w:tc>
        <w:tc>
          <w:tcPr>
            <w:tcW w:w="19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z w:val="18"/>
              </w:rPr>
              <w:t>277,367.14</w:t>
            </w:r>
          </w:p>
        </w:tc>
      </w:tr>
      <w:tr>
        <w:trPr>
          <w:trHeight w:val="427" w:hRule="exact"/>
        </w:trPr>
        <w:tc>
          <w:tcPr>
            <w:tcW w:w="364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国电南瑞科技股份有限公司</w:t>
            </w:r>
          </w:p>
        </w:tc>
        <w:tc>
          <w:tcPr>
            <w:tcW w:w="16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1"/>
              <w:jc w:val="right"/>
              <w:rPr>
                <w:rFonts w:ascii="Times New Roman" w:hAnsi="Times New Roman" w:cs="Times New Roman" w:eastAsia="Times New Roman" w:hint="default"/>
                <w:sz w:val="18"/>
                <w:szCs w:val="18"/>
              </w:rPr>
            </w:pPr>
            <w:r>
              <w:rPr>
                <w:rFonts w:ascii="Times New Roman"/>
                <w:spacing w:val="-1"/>
                <w:sz w:val="18"/>
              </w:rPr>
              <w:t>4,622,900.00</w:t>
            </w:r>
          </w:p>
        </w:tc>
        <w:tc>
          <w:tcPr>
            <w:tcW w:w="240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z w:val="18"/>
              </w:rPr>
              <w:t>1.51</w:t>
            </w:r>
          </w:p>
        </w:tc>
        <w:tc>
          <w:tcPr>
            <w:tcW w:w="1951"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97"/>
              <w:ind w:right="8"/>
              <w:jc w:val="right"/>
              <w:rPr>
                <w:rFonts w:ascii="Times New Roman" w:hAnsi="Times New Roman" w:cs="Times New Roman" w:eastAsia="Times New Roman" w:hint="default"/>
                <w:sz w:val="18"/>
                <w:szCs w:val="18"/>
              </w:rPr>
            </w:pPr>
            <w:r>
              <w:rPr>
                <w:rFonts w:ascii="Times New Roman"/>
                <w:sz w:val="18"/>
              </w:rPr>
              <w:t>231,145.00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其他应收款" w:id="295"/>
      <w:bookmarkEnd w:id="2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96"/>
      <w:bookmarkEnd w:id="29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60,355,8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17.94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2,382,60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57,973,21</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4.18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64,980,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474.01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2,189,336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62,791,137.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单项金额不重大但</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819,512.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819,512.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887,012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819,512.7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67,500.00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5" w:right="0"/>
              <w:jc w:val="lef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61,175,3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30.64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3,202,11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6.46</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57,973,21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4.18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65,867,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486.71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3,008,849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62,858,637.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5,635,078.74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281,753.94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5,635,078.74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281,753.94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2,051,007.80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205,100.78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37,146.00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2,290,041.48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1,858,603.04</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561,086.00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280,543.00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754,477.18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603,581.74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974,478.30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974,478.30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10,099,948.02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2,382,603.76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297"/>
      <w:bookmarkEnd w:id="29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本期计提坏账准备金额</w:t>
      </w:r>
      <w:r>
        <w:rPr>
          <w:spacing w:val="-46"/>
        </w:rPr>
        <w:t> </w:t>
      </w:r>
      <w:r>
        <w:rPr>
          <w:rFonts w:ascii="Times New Roman" w:hAnsi="Times New Roman" w:cs="Times New Roman" w:eastAsia="Times New Roman" w:hint="default"/>
        </w:rPr>
        <w:t>193,267.41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3）其他应收款按款项性质分类情况" w:id="298"/>
      <w:bookmarkEnd w:id="298"/>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56,400,640.35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61,062,755.53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4,716,764.89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4,762,254.00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43,925.40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36,477.18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61,175,330.64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65,867,486.71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按欠款方归集的期末余额前五吊的其他应收款情况" w:id="299"/>
      <w:bookmarkEnd w:id="299"/>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992"/>
        <w:gridCol w:w="1559"/>
        <w:gridCol w:w="1094"/>
        <w:gridCol w:w="1614"/>
        <w:gridCol w:w="1615"/>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成都卫士通信息安全技术有限公 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42,909,436.24</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70.14%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成都三零豪赛网络安全技术有限 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7,346,433.68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成都摩宝网络科技有限公司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663,116.53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33,155.83</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中国航空工业集团公司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国信招标集团股份有限公司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52,028,986.45</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693,155.83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长期股权投资" w:id="300"/>
      <w:bookmarkEnd w:id="30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38"/>
        <w:gridCol w:w="1429"/>
        <w:gridCol w:w="1126"/>
        <w:gridCol w:w="1367"/>
        <w:gridCol w:w="1368"/>
        <w:gridCol w:w="1367"/>
        <w:gridCol w:w="1367"/>
      </w:tblGrid>
      <w:tr>
        <w:trPr>
          <w:trHeight w:val="20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2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21"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4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381,953,507.54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381,953,507.54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78,081,272.67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78,081,272.67</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4"/>
              <w:jc w:val="left"/>
              <w:rPr>
                <w:rFonts w:ascii="宋体" w:hAnsi="宋体" w:cs="宋体" w:eastAsia="宋体" w:hint="default"/>
                <w:sz w:val="18"/>
                <w:szCs w:val="18"/>
              </w:rPr>
            </w:pPr>
            <w:r>
              <w:rPr>
                <w:rFonts w:ascii="宋体" w:hAnsi="宋体" w:cs="宋体" w:eastAsia="宋体" w:hint="default"/>
                <w:sz w:val="18"/>
                <w:szCs w:val="18"/>
              </w:rPr>
              <w:t>对联营、合营企业 投资</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12,933,851.84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12,933,851.84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13,414,001.46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13,414,001.46</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394,887,359.38</w:t>
            </w:r>
          </w:p>
        </w:tc>
        <w:tc>
          <w:tcPr>
            <w:tcW w:w="112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394,887,359.38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91,495,274.13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91,495,274.13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301"/>
      <w:bookmarkEnd w:id="30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416"/>
        <w:gridCol w:w="1134"/>
        <w:gridCol w:w="1560"/>
        <w:gridCol w:w="1134"/>
        <w:gridCol w:w="1061"/>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减值准备期 末余额</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成都三零瑞通移动通 信有限公司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107,409,345.53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107,409,345.53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上海卫士通网络安全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2,186,129.61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2,186,129.61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四川卫士通信息安全 平台技术有限公司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15,895,143.06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10,191,700.00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26,086,843.06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成都三零盛安信息系 统有限公司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107,762,680.90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107,762,680.90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成都卫士通信息安全 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4"/>
        <w:gridCol w:w="1418"/>
        <w:gridCol w:w="1416"/>
        <w:gridCol w:w="1134"/>
        <w:gridCol w:w="1560"/>
        <w:gridCol w:w="1134"/>
        <w:gridCol w:w="1061"/>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成都三零豪赛网络安 全技术有限公司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成都三零嘉微电子有 限公司</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38,508,508.44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38,508,508.44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78,081,272.67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303,872,234.87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381,953,507.54</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对联营、合营企业投资" w:id="302"/>
      <w:bookmarkEnd w:id="30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成都摩宝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13,414,00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-480,149.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12,933,85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13,414,00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-480,149.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13,414,00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-480,149.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12,933,85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营业收入和营业成本" w:id="303"/>
      <w:bookmarkEnd w:id="30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267,970,523.61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116,867,314.64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192,970,641.64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71,563,244.35</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3,400,252.62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8,553,788.40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5,206,571.13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271,370,776.23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116,867,314.64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201,524,430.04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76,769,815.48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304"/>
      <w:bookmarkEnd w:id="30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-480,149.62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-2,453,476.51</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-480,149.62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-2,453,476.51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四、补充资料" w:id="305"/>
      <w:bookmarkEnd w:id="305"/>
      <w:r>
        <w:rPr>
          <w:b w:val="0"/>
          <w:bCs w:val="0"/>
        </w:rPr>
      </w:r>
      <w:r>
        <w:rPr/>
        <w:t>十四、补充资料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306"/>
      <w:bookmarkEnd w:id="30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14"/>
        <w:gridCol w:w="2706"/>
        <w:gridCol w:w="2339"/>
      </w:tblGrid>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-42,359.77</w:t>
            </w:r>
            <w:r>
              <w:rPr>
                <w:rFonts w:ascii="Times New Roman"/>
                <w:sz w:val="18"/>
              </w:rPr>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1"/>
                <w:sz w:val="18"/>
                <w:szCs w:val="18"/>
              </w:rPr>
              <w:t>计入当期损益的政府补助（与企业业务密切相关，按照国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家统一标准定额或定量享受的政府补助除外）</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29,471,297.77</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2"/>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 净损益</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1,570,896.59</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120,051.37</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5,269,494.06</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7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1,817,349.48</w:t>
            </w:r>
          </w:p>
        </w:tc>
        <w:tc>
          <w:tcPr>
            <w:tcW w:w="23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24,033,042.42</w:t>
            </w:r>
          </w:p>
        </w:tc>
        <w:tc>
          <w:tcPr>
            <w:tcW w:w="2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1"/>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307"/>
      <w:bookmarkEnd w:id="30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391"/>
        <w:gridCol w:w="2340"/>
        <w:gridCol w:w="1913"/>
        <w:gridCol w:w="1913"/>
      </w:tblGrid>
      <w:tr>
        <w:trPr>
          <w:trHeight w:val="206" w:hRule="exact"/>
        </w:trPr>
        <w:tc>
          <w:tcPr>
            <w:tcW w:w="3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0"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33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3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391" w:type="dxa"/>
            <w:vMerge/>
            <w:tcBorders>
              <w:left w:val="single" w:sz="4" w:space="0" w:color="000000"/>
              <w:bottom w:val="nil" w:sz="6" w:space="0" w:color="auto"/>
              <w:right w:val="single" w:sz="4" w:space="0" w:color="000000"/>
            </w:tcBorders>
            <w:shd w:val="clear" w:color="auto" w:fill="D2D2D2"/>
          </w:tcPr>
          <w:p>
            <w:pPr/>
          </w:p>
        </w:tc>
        <w:tc>
          <w:tcPr>
            <w:tcW w:w="2340"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3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0.5523</w:t>
            </w:r>
          </w:p>
        </w:tc>
      </w:tr>
      <w:tr>
        <w:trPr>
          <w:trHeight w:val="714" w:hRule="exact"/>
        </w:trPr>
        <w:tc>
          <w:tcPr>
            <w:tcW w:w="3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2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东的净利润</w:t>
            </w:r>
          </w:p>
        </w:tc>
        <w:tc>
          <w:tcPr>
            <w:tcW w:w="23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0.4411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0.4411</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会计政策变更相关补充资料" w:id="308"/>
      <w:bookmarkEnd w:id="308"/>
      <w:r>
        <w:rPr>
          <w:b w:val="0"/>
          <w:bCs w:val="0"/>
        </w:rPr>
      </w: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left="154"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日（未经审计）</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561,888,346.95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608,917,658.61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756,880,309.56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12,668,000.00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23,921,600.00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308,533,928.68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427,310,545.47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599,943,797.02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10,614,320.83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23,768,067.68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24,511,666.50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33,496,073.89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30,514,571.77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38,179,444.87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127,848,408.46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83,221,201.78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156,124,056.12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1,044,951,078.81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1,186,400,045.31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1,599,560,874.07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12,933,851.84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195,679,987.72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187,094,814.75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279,699,470.07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1,025.63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13,260,965.96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16,363,771.62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13,162,298.97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5,035,844.54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1,288,350.73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7,991.91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7,991.91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7,991.91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401,698.98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3,497,948.71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3,269,375.86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12,837,560.22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14,725,961.35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19,265,565.86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230,124,049.34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224,979,864.70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330,338,554.51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1,275,075,128.15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1,411,379,910.01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1,929,899,428.58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1,231,213.75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234,011,119.04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280,075,778.82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397,986,566.40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21,500,312.43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16,269,962.69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57,395,439.44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4,805,396.88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4,904,110.80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6,915,269.25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34,270,255.65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37,179,252.28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39,611,914.95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11,582,746.85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25,370,819.20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29,368,351.92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22,815,712.54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402,771,863.80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437,797,456.51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584,724,902.58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70,965,095.47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67,524,986.32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61,385,565.08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70,965,095.47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67,524,986.32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61,385,565.08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473,736,959.27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505,322,442.83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646,110,467.66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172,712,065.00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172,712,065.00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216,261,673.00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231,369,335.93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263,465,501.13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514,383,985.38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38,985,088.08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40,231,909.75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41,067,220.69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272,844,279.09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343,518,416.80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460,391,867.26</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715,910,768.10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819,927,892.74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1,232,104,746.33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85,427,400.78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86,129,574.44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51,684,214.59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801,338,168.88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906,057,467.18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1,283,788,960.92</w:t>
            </w:r>
            <w:r>
              <w:rPr>
                <w:rFonts w:ascii="Times New Roman"/>
                <w:sz w:val="18"/>
              </w:rPr>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1,275,075,128.15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1,411,379,910.01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1,929,899,428.58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9"/>
          <w:szCs w:val="29"/>
        </w:rPr>
      </w:pPr>
    </w:p>
    <w:p>
      <w:pPr>
        <w:pStyle w:val="Heading1"/>
        <w:spacing w:line="240" w:lineRule="auto"/>
        <w:ind w:left="3286" w:right="0"/>
        <w:jc w:val="left"/>
        <w:rPr>
          <w:b w:val="0"/>
          <w:bCs w:val="0"/>
        </w:rPr>
      </w:pPr>
      <w:bookmarkStart w:name="第十二节 备查文件目录" w:id="309"/>
      <w:bookmarkEnd w:id="309"/>
      <w:r>
        <w:rPr>
          <w:b w:val="0"/>
          <w:bCs w:val="0"/>
        </w:rPr>
      </w:r>
      <w:bookmarkStart w:name="_bookmark11" w:id="310"/>
      <w:bookmarkEnd w:id="310"/>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0"/>
          <w:szCs w:val="40"/>
        </w:rPr>
      </w:pPr>
    </w:p>
    <w:p>
      <w:pPr>
        <w:pStyle w:val="Heading4"/>
        <w:spacing w:line="537" w:lineRule="auto" w:before="0"/>
        <w:ind w:left="154" w:right="2562"/>
        <w:jc w:val="left"/>
      </w:pPr>
      <w:r>
        <w:rPr/>
        <w:t>一、载有公司法定代表人签名的公司</w:t>
      </w:r>
      <w:r>
        <w:rPr>
          <w:rFonts w:ascii="Times New Roman" w:hAnsi="Times New Roman" w:cs="Times New Roman" w:eastAsia="Times New Roman" w:hint="default"/>
        </w:rPr>
        <w:t>2014</w:t>
      </w:r>
      <w:r>
        <w:rPr/>
        <w:t>年年度报告文本原件。 二、载有法定代表人、主管会计工作负责人及会计机构负责人签名并盖章的财务报表。 三、载有会计师事务所盖章、注册会计师签名并盖章的审计报告原件。 四、报告期内在中国证监会指定报纸上公开披露过的所有公司文件的正本和公告的原稿。 以上备查文件的备置地点：公司证券部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5472" type="#_x0000_t75" stroked="false">
          <v:imagedata r:id="rId1" o:title=""/>
        </v:shape>
      </w:pict>
    </w:r>
    <w:r>
      <w:rPr/>
      <w:pict>
        <v:shape style="position:absolute;margin-left:533.179993pt;margin-top:795.517944pt;width:6.5pt;height:11pt;mso-position-horizontal-relative:page;mso-position-vertical-relative:page;z-index:-9754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5424" type="#_x0000_t75" stroked="false">
          <v:imagedata r:id="rId1" o:title=""/>
        </v:shape>
      </w:pict>
    </w:r>
    <w:r>
      <w:rPr/>
      <w:pict>
        <v:shape style="position:absolute;margin-left:527.679993pt;margin-top:781.957947pt;width:13pt;height:11pt;mso-position-horizontal-relative:page;mso-position-vertical-relative:page;z-index:-9754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5376" type="#_x0000_t75" stroked="false">
          <v:imagedata r:id="rId1" o:title=""/>
        </v:shape>
      </w:pict>
    </w:r>
    <w:r>
      <w:rPr/>
      <w:pict>
        <v:shape style="position:absolute;margin-left:524.179993pt;margin-top:781.957947pt;width:15.5pt;height:11pt;mso-position-horizontal-relative:page;mso-position-vertical-relative:page;z-index:-9753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975328" type="#_x0000_t75" stroked="false">
          <v:imagedata r:id="rId1" o:title=""/>
        </v:shape>
      </w:pict>
    </w:r>
    <w:r>
      <w:rPr/>
      <w:pict>
        <v:shape style="position:absolute;margin-left:523.179993pt;margin-top:781.957947pt;width:17.5pt;height:11pt;mso-position-horizontal-relative:page;mso-position-vertical-relative:page;z-index:-9753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60004pt;margin-top:36.325607pt;width:222.55pt;height:11.5pt;mso-position-horizontal-relative:page;mso-position-vertical-relative:page;z-index:-975496" type="#_x0000_t202" filled="false" stroked="false">
          <v:textbox inset="0,0,0,0">
            <w:txbxContent>
              <w:p>
                <w:pPr>
                  <w:pStyle w:val="BodyText"/>
                  <w:spacing w:line="214" w:lineRule="exact"/>
                  <w:ind w:left="20" w:right="0"/>
                  <w:jc w:val="left"/>
                </w:pPr>
                <w:r>
                  <w:rPr/>
                  <w:t>成都卫士通信息产业股份有限公司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24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7"/>
      <w:ind w:left="153"/>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estone.com.cn/" TargetMode="External"/><Relationship Id="rId10" Type="http://schemas.openxmlformats.org/officeDocument/2006/relationships/hyperlink" Target="mailto:westone_dm@163.com" TargetMode="External"/><Relationship Id="rId11" Type="http://schemas.openxmlformats.org/officeDocument/2006/relationships/hyperlink" Target="mailto:westone_zd@163.com"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3.xml"/><Relationship Id="rId17"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2020-05-06T16:36:55Z</dcterms:created>
  <dcterms:modified xsi:type="dcterms:W3CDTF">2020-05-06T16:36:55Z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2015-02-16T00:00:00Z</vt:filetime>
  </property>
  <property fmtid="{D5CDD505-2E9C-101B-9397-08002B2CF9AE}" pid="3" name="Creator">
    <vt:lpwstr>Microsoft® Office Word 2007</vt:lpwstr>
  </property>
  <property fmtid="{D5CDD505-2E9C-101B-9397-08002B2CF9AE}" pid="4" name="LastSaved">
    <vt:filetime>2020-05-06T00:00:00Z</vt:filetime>
  </property>
</Properties>
</file>